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04/04/2022</w:t>
      </w:r>
    </w:p>
    <w:tbl>
      <w:tblPr>
        <w:tblOverlap w:val="never"/>
        <w:jc w:val="center"/>
        <w:tblLayout w:type="fixed"/>
      </w:tblPr>
      <w:tblGrid>
        <w:gridCol w:w="2642"/>
        <w:gridCol w:w="7438"/>
      </w:tblGrid>
      <w:tr>
        <w:trPr>
          <w:trHeight w:val="8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pt-PT" w:eastAsia="pt-PT" w:bidi="pt-PT"/>
              </w:rPr>
              <w:t>Revendo as classes</w:t>
            </w:r>
          </w:p>
        </w:tc>
      </w:tr>
      <w:tr>
        <w:trPr>
          <w:trHeight w:val="145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(EF05MA01) Ler, escrever e ordenar números naturais até a ordem das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decimal, respeitando as particularidades dos alunos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portadores de deficiência.</w:t>
            </w:r>
          </w:p>
        </w:tc>
      </w:tr>
      <w:tr>
        <w:trPr>
          <w:trHeight w:val="5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3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também através da devolução das atividades propostas no tempo previsto</w:t>
            </w:r>
          </w:p>
        </w:tc>
      </w:tr>
      <w:tr>
        <w:trPr>
          <w:trHeight w:val="121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09/04/2022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138" w:left="383" w:right="398" w:bottom="193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2020 Desenvolvido por CODIN/SEDUC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35/04/2022</w:t>
      </w:r>
    </w:p>
    <w:tbl>
      <w:tblPr>
        <w:tblOverlap w:val="never"/>
        <w:jc w:val="center"/>
        <w:tblLayout w:type="fixed"/>
      </w:tblPr>
      <w:tblGrid>
        <w:gridCol w:w="2741"/>
        <w:gridCol w:w="7804"/>
      </w:tblGrid>
      <w:tr>
        <w:trPr>
          <w:trHeight w:val="38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Revendo as ordens</w:t>
            </w:r>
          </w:p>
        </w:tc>
      </w:tr>
      <w:tr>
        <w:trPr>
          <w:trHeight w:val="15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7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5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7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75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7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39/04/2022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</w:r>
    </w:p>
    <w:tbl>
      <w:tblPr>
        <w:tblOverlap w:val="never"/>
        <w:jc w:val="center"/>
        <w:tblLayout w:type="fixed"/>
      </w:tblPr>
      <w:tblGrid>
        <w:gridCol w:w="2516"/>
        <w:gridCol w:w="7731"/>
      </w:tblGrid>
      <w:tr>
        <w:trPr>
          <w:trHeight w:val="90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escrita dos nímeros</w:t>
            </w:r>
          </w:p>
        </w:tc>
      </w:tr>
      <w:tr>
        <w:trPr>
          <w:trHeight w:val="148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6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4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5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39/04/2022</w:t>
        <w:br w:type="page"/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35/04/2022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36/04/2022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38/04/2022</w:t>
      </w:r>
    </w:p>
    <w:tbl>
      <w:tblPr>
        <w:tblOverlap w:val="never"/>
        <w:jc w:val="center"/>
        <w:tblLayout w:type="fixed"/>
      </w:tblPr>
      <w:tblGrid>
        <w:gridCol w:w="2622"/>
        <w:gridCol w:w="7731"/>
      </w:tblGrid>
      <w:tr>
        <w:trPr>
          <w:trHeight w:val="104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 de fixação</w:t>
            </w:r>
          </w:p>
        </w:tc>
      </w:tr>
      <w:tr>
        <w:trPr>
          <w:trHeight w:val="148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também através da devolução das atividades propostas no tempo previsto</w:t>
            </w:r>
          </w:p>
        </w:tc>
      </w:tr>
      <w:tr>
        <w:trPr>
          <w:trHeight w:val="1243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39/04/2022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35/04/2022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tbl>
      <w:tblPr>
        <w:tblOverlap w:val="never"/>
        <w:jc w:val="right"/>
        <w:tblLayout w:type="fixed"/>
      </w:tblPr>
      <w:tblGrid>
        <w:gridCol w:w="2516"/>
        <w:gridCol w:w="7715"/>
      </w:tblGrid>
      <w:tr>
        <w:trPr>
          <w:trHeight w:val="89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Ordem de grandeza</w:t>
            </w:r>
          </w:p>
        </w:tc>
      </w:tr>
      <w:tr>
        <w:trPr>
          <w:trHeight w:val="150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6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4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atenda diariamente através de lista de chamada e também através da devolução das atividades propostas no tempo previsto</w:t>
            </w:r>
          </w:p>
        </w:tc>
      </w:tr>
      <w:tr>
        <w:trPr>
          <w:trHeight w:val="124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9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39/04/2022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35/04/2022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38/04/2022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39/04/2022</w:t>
      </w:r>
    </w:p>
    <w:tbl>
      <w:tblPr>
        <w:tblOverlap w:val="never"/>
        <w:jc w:val="center"/>
        <w:tblLayout w:type="fixed"/>
      </w:tblPr>
      <w:tblGrid>
        <w:gridCol w:w="2683"/>
        <w:gridCol w:w="7731"/>
      </w:tblGrid>
      <w:tr>
        <w:trPr>
          <w:trHeight w:val="90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Correção do exercício</w:t>
            </w:r>
          </w:p>
        </w:tc>
      </w:tr>
      <w:tr>
        <w:trPr>
          <w:trHeight w:val="14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4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6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4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sectPr>
      <w:headerReference w:type="default" r:id="rId7"/>
      <w:footerReference w:type="default" r:id="rId8"/>
      <w:headerReference w:type="first" r:id="rId9"/>
      <w:footerReference w:type="first" r:id="rId10"/>
      <w:footnotePr>
        <w:pos w:val="pageBottom"/>
        <w:numFmt w:val="decimal"/>
        <w:numRestart w:val="continuous"/>
      </w:footnotePr>
      <w:pgSz w:w="11900" w:h="16840"/>
      <w:pgMar w:top="2155" w:left="391" w:right="391" w:bottom="3011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9904730</wp:posOffset>
              </wp:positionV>
              <wp:extent cx="5401310" cy="12255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01310" cy="1225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9.550000000000001pt;margin-top:779.89999999999998pt;width:425.30000000000001pt;height:9.6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308610</wp:posOffset>
              </wp:positionH>
              <wp:positionV relativeFrom="page">
                <wp:posOffset>9879330</wp:posOffset>
              </wp:positionV>
              <wp:extent cx="6314440" cy="20193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4440" cy="201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5EDUC- Secretaria de Estado da Educação, 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4.300000000000001pt;margin-top:777.89999999999998pt;width:497.19999999999999pt;height:15.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5EDUC- Secretaria de Estado da Educação, 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308610</wp:posOffset>
              </wp:positionH>
              <wp:positionV relativeFrom="page">
                <wp:posOffset>10254615</wp:posOffset>
              </wp:positionV>
              <wp:extent cx="5428615" cy="12509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2861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:ua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4.300000000000001pt;margin-top:807.45000000000005pt;width:427.44999999999999pt;height:9.8499999999999996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:ua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9872980</wp:posOffset>
              </wp:positionV>
              <wp:extent cx="6430010" cy="19685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430010" cy="1968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 xml:space="preserve">5EDUC- Secretaria de Estado da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BR" w:eastAsia="pt-BR" w:bidi="pt-BR"/>
                            </w:rPr>
                            <w:t xml:space="preserve">Educaçao,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0.350000000000001pt;margin-top:777.39999999999998pt;width:506.30000000000001pt;height:15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 xml:space="preserve">5EDUC- Secretaria de Estado da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BR" w:eastAsia="pt-BR" w:bidi="pt-BR"/>
                      </w:rPr>
                      <w:t xml:space="preserve">Educaçao,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267970</wp:posOffset>
              </wp:positionH>
              <wp:positionV relativeFrom="page">
                <wp:posOffset>10256520</wp:posOffset>
              </wp:positionV>
              <wp:extent cx="5516245" cy="11811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16245" cy="1181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ua Gutemberg Chagas, 169-DIA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-CEP: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21.100000000000001pt;margin-top:807.60000000000002pt;width:434.35000000000002pt;height:9.3000000000000007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ua Gutemberg Chagas, 169-DIA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-CEP: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3325495</wp:posOffset>
              </wp:positionH>
              <wp:positionV relativeFrom="page">
                <wp:posOffset>109855</wp:posOffset>
              </wp:positionV>
              <wp:extent cx="1612265" cy="2260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265" cy="226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1.85000000000002pt;margin-top:8.6500000000000004pt;width:126.95pt;height:17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3263265</wp:posOffset>
              </wp:positionH>
              <wp:positionV relativeFrom="page">
                <wp:posOffset>234315</wp:posOffset>
              </wp:positionV>
              <wp:extent cx="1636395" cy="23114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36395" cy="2311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56.94999999999999pt;margin-top:18.449999999999999pt;width:128.84999999999999pt;height:18.1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308610</wp:posOffset>
              </wp:positionH>
              <wp:positionV relativeFrom="page">
                <wp:posOffset>898525</wp:posOffset>
              </wp:positionV>
              <wp:extent cx="779780" cy="12509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7978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34/04/2022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4.300000000000001pt;margin-top:70.75pt;width:61.399999999999999pt;height:9.8499999999999996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34/04/2022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3247390</wp:posOffset>
              </wp:positionH>
              <wp:positionV relativeFrom="page">
                <wp:posOffset>99695</wp:posOffset>
              </wp:positionV>
              <wp:extent cx="1661795" cy="23622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61795" cy="2362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55.69999999999999pt;margin-top:7.8499999999999996pt;width:130.84999999999999pt;height:18.60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778510</wp:posOffset>
              </wp:positionV>
              <wp:extent cx="786765" cy="12763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86765" cy="1276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34/04/2022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0.350000000000001pt;margin-top:61.299999999999997pt;width:61.950000000000003pt;height:10.0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34/04/2022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4">
    <w:name w:val="Body text|2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1240"/>
      <w:ind w:left="18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FFFFFF"/>
      <w:ind w:left="2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