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drawing>
          <wp:inline distT="0" distB="0" distL="0" distR="0">
            <wp:extent cx="2286000" cy="457200"/>
            <wp:effectExtent t="0" r="0" b="0" l="0"/>
            <wp:docPr id="1" name="logo" descr="Logo Pedro Paez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8FE0" w:sz="6" w:space="1"/>
        </w:pBdr>
        <w:spacing w:after="0" w:before="0"/>
      </w:pPr>
    </w:p>
    <w:p>
      <w:pPr>
        <w:spacing w:after="0" w:before="0" w:line="96"/>
      </w:pPr>
    </w:p>
    <w:p>
      <w:pPr>
        <w:jc w:val="left"/>
      </w:pPr>
      <w:r>
        <w:rPr>
          <w:rFonts w:ascii="Arial" w:cs="Arial" w:eastAsia="Arial" w:hAnsi="Arial"/>
          <w:b/>
          <w:bCs/>
          <w:color w:val="1A2535"/>
          <w:sz w:val="64"/>
          <w:szCs w:val="64"/>
        </w:rPr>
        <w:t xml:space="preserve">Manual de Marca</w:t>
      </w:r>
    </w:p>
    <w:p>
      <w:pPr>
        <w:spacing w:after="0" w:before="0" w:line="32"/>
      </w:pPr>
    </w:p>
    <w:p>
      <w:r>
        <w:rPr>
          <w:rFonts w:ascii="Arial" w:cs="Arial" w:eastAsia="Arial" w:hAnsi="Arial"/>
          <w:color w:val="7D95B0"/>
          <w:sz w:val="26"/>
          <w:szCs w:val="26"/>
        </w:rPr>
        <w:t xml:space="preserve">Pedro Paez — Consultor Salesforce</w:t>
      </w:r>
    </w:p>
    <w:p>
      <w:pPr>
        <w:spacing w:after="0" w:before="0" w:line="24"/>
      </w:pPr>
    </w:p>
    <w:p>
      <w:r>
        <w:rPr>
          <w:rFonts w:ascii="Arial" w:cs="Arial" w:eastAsia="Arial" w:hAnsi="Arial"/>
          <w:color w:val="7D95B0"/>
          <w:sz w:val="20"/>
          <w:szCs w:val="20"/>
        </w:rPr>
        <w:t xml:space="preserve">Versión 1.0 · Marzo 2026</w:t>
      </w:r>
    </w:p>
    <w:p>
      <w:pPr>
        <w:spacing w:after="0" w:before="0" w:line="192"/>
      </w:pPr>
    </w:p>
    <w:p>
      <w:pPr>
        <w:pBdr>
          <w:bottom w:val="single" w:color="1E2D45" w:sz="4" w:space="1"/>
        </w:pBdr>
        <w:spacing w:after="0" w:before="0"/>
      </w:pPr>
    </w:p>
    <w:p>
      <w:pPr>
        <w:spacing w:after="0" w:before="0" w:line="64"/>
      </w:pPr>
    </w:p>
    <w:p>
      <w:r>
        <w:rPr>
          <w:rFonts w:ascii="Arial" w:cs="Arial" w:eastAsia="Arial" w:hAnsi="Arial"/>
          <w:i/>
          <w:iCs/>
          <w:color w:val="4A5568"/>
          <w:sz w:val="21"/>
          <w:szCs w:val="21"/>
        </w:rPr>
        <w:t xml:space="preserve">Este documento define los elementos de identidad visual de la marca Pedro Paez y establece las pautas para su uso consistente en todos los materiales de comunicación.</w:t>
      </w:r>
    </w:p>
    <w:p>
      <w:r>
        <w:br w:type="page"/>
      </w:r>
    </w:p>
    <w:p>
      <w:pPr>
        <w:sectPr>
          <w:pgSz w:w="12240" w:h="15840" w:orient="portrait"/>
          <w:pgMar w:top="2880" w:right="1440" w:bottom="2880" w:left="1440" w:header="708" w:footer="708" w:gutter="0"/>
          <w:pgNumType/>
          <w:docGrid w:linePitch="360"/>
        </w:sectPr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01 — CONCEPTO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Identidad de marca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La marca Pedro Paez comunica competencia técnica sin complejidad innecesaria. El posicionamiento central es el de un consultor que hace que Salesforce funcione — sin código innecesario, sin datos sucios, sin fricción para el equipo comercial.</w:t>
      </w: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Cada elemento de identidad visual refuerza los tres pilares del posicionamiento:</w:t>
      </w:r>
    </w:p>
    <w:p>
      <w:pPr>
        <w:spacing w:after="0" w:before="0" w:line="16"/>
      </w:pP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Claridad — lo complejo explicado de forma simple.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Dirección — siempre hacia adelante, sin rodeos.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Confianza — construida sobre resultados comprobables.</w:t>
      </w:r>
    </w:p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02 — ISOTIPO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El isotipo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El isotipo es un doble chevron con un nodo de decisión en el vértice, contenido en un cuadrado redondeado de fondo navy.</w:t>
      </w:r>
    </w:p>
    <w:p>
      <w:pPr>
        <w:spacing w:after="0" w:before="0" w:line="32"/>
      </w:pPr>
    </w:p>
    <w:p>
      <w:pPr>
        <w:spacing w:after="16" w:before="16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isotipo" descr="Isotipo Pedro Paez" title="Is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2"/>
      </w:pPr>
    </w:p>
    <w:p>
      <w:pPr>
        <w:pStyle w:val="Heading2"/>
        <w:spacing w:after="16" w:before="40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Elementos y significado</w:t>
      </w: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El chevron principal apunta hacia la derecha — dirección, avance, sin rodeos. El chevron secundario (más tenue) sugiere profundidad de proceso. El nodo en el vértice referencia el elemento de decisión de Salesforce Flow: el núcleo de la metodología declarativa.</w:t>
      </w: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1"/>
          <w:szCs w:val="21"/>
        </w:rPr>
        <w:t xml:space="preserve">La forma de conjunto transmite: camino claro, sin fricción, sin complejidad innecesaria.</w:t>
      </w:r>
    </w:p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03 — LOGOTIPO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El logotipo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El logotipo combina el isotipo con el wordmark en disposición horizontal. Existen dos variantes según el fondo de aplicación.</w:t>
      </w:r>
    </w:p>
    <w:p>
      <w:pPr>
        <w:spacing w:after="0" w:before="0" w:line="64"/>
      </w:pPr>
    </w:p>
    <w:p>
      <w:pPr>
        <w:pStyle w:val="Heading2"/>
        <w:spacing w:after="16" w:before="40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Variante oscura — fondo navy o negro</w:t>
      </w:r>
    </w:p>
    <w:p>
      <w:pPr>
        <w:spacing w:after="32" w:before="16"/>
        <w:jc w:val="left"/>
      </w:pPr>
      <w:r>
        <w:drawing>
          <wp:inline distT="0" distB="0" distL="0" distR="0">
            <wp:extent cx="3048000" cy="609600"/>
            <wp:effectExtent t="0" r="0" b="0" l="0"/>
            <wp:docPr id="1" name="logo-dark" descr="Logo Pedro Paez fondo oscuro" title="Logo 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" w:before="40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Variante clara — fondo blanco o gris claro</w:t>
      </w:r>
    </w:p>
    <w:p>
      <w:pPr>
        <w:spacing w:after="32" w:before="16"/>
        <w:jc w:val="left"/>
      </w:pPr>
      <w:r>
        <w:drawing>
          <wp:inline distT="0" distB="0" distL="0" distR="0">
            <wp:extent cx="3048000" cy="609600"/>
            <wp:effectExtent t="0" r="0" b="0" l="0"/>
            <wp:docPr id="1" name="logo-light" descr="Logo Pedro Paez fondo claro" title="Logo 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2"/>
      </w:pPr>
    </w:p>
    <w:p>
      <w:pPr>
        <w:pStyle w:val="Heading2"/>
        <w:spacing w:after="16" w:before="40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Uso del logo — reglas</w:t>
      </w:r>
    </w:p>
    <w:p>
      <w:pPr>
        <w:spacing w:after="0" w:before="0" w:lin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Situación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Usar el logo sobre fondo navy (#0C1624) — variante oscura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63A"/>
                <w:sz w:val="20"/>
                <w:szCs w:val="20"/>
              </w:rPr>
              <w:t xml:space="preserve">✓  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Usar el logo sobre fondo blanco o gris claro — variante clara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63A"/>
                <w:sz w:val="20"/>
                <w:szCs w:val="20"/>
              </w:rPr>
              <w:t xml:space="preserve">✓  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Reducir el isotipo hasta 32x32 px en digital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63A"/>
                <w:sz w:val="20"/>
                <w:szCs w:val="20"/>
              </w:rPr>
              <w:t xml:space="preserve">✓  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Modificar los colores del logo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2431"/>
                <w:sz w:val="20"/>
                <w:szCs w:val="20"/>
              </w:rPr>
              <w:t xml:space="preserve">✕  Incorrecto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Distorsionar o estirar el logo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2431"/>
                <w:sz w:val="20"/>
                <w:szCs w:val="20"/>
              </w:rPr>
              <w:t xml:space="preserve">✕  Incorrecto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Usar el logo sobre fondos de color no previstos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2431"/>
                <w:sz w:val="20"/>
                <w:szCs w:val="20"/>
              </w:rPr>
              <w:t xml:space="preserve">✕  Incorrecto</w:t>
            </w:r>
          </w:p>
        </w:tc>
      </w:tr>
      <w:tr>
        <w:tc>
          <w:tcPr>
            <w:tcW w:type="dxa" w:w="7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Añadir sombras, contornos o efectos al logo</w:t>
            </w:r>
          </w:p>
        </w:tc>
        <w:tc>
          <w:tcPr>
            <w:tcW w:type="dxa" w:w="21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2431"/>
                <w:sz w:val="20"/>
                <w:szCs w:val="20"/>
              </w:rPr>
              <w:t xml:space="preserve">✕  Incorrecto</w:t>
            </w:r>
          </w:p>
        </w:tc>
      </w:tr>
    </w:tbl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04 — COLOR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Paleta de colores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La paleta está construida sobre un navy profundo como base y un azul de acento para todos los elementos interactivos y de énfasis. El sistema es oscuro por defecto, consistente con el posicionamiento tech-profesional.</w:t>
      </w:r>
    </w:p>
    <w:p>
      <w:pPr>
        <w:spacing w:after="0" w:before="0" w:line="3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400"/>
        <w:gridCol w:w="3720"/>
      </w:tblGrid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Muestra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Hex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Nombre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0C162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#0C1624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Navy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Fondo principal, base de toda la identidad visual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111E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#111E32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Navy Mid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Fondo de secciones alternadas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16203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#162036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Navy Card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Tarjetas, paneles, contenedores elevados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1A8F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#1A8FE0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Blue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Color de acento principal — CTAs, íconos, énfasis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3AA5F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#3AA5F2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Blue Light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Hover states, acento secundario, texto sobre fondo oscuro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White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Texto principal sobre fondo oscuro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B0C4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#B0C4D8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Light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Texto secundario, subtítulos</w:t>
            </w:r>
          </w:p>
        </w:tc>
      </w:tr>
      <w:tr>
        <w:tc>
          <w:tcPr>
            <w:tcW w:type="dxa" w:w="144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shd w:fill="7D95B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535"/>
                <w:sz w:val="18"/>
                <w:szCs w:val="18"/>
              </w:rPr>
              <w:t xml:space="preserve">#7D95B0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Muted</w:t>
            </w:r>
          </w:p>
        </w:tc>
        <w:tc>
          <w:tcPr>
            <w:tcW w:type="dxa" w:w="372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7D95B0"/>
                <w:sz w:val="18"/>
                <w:szCs w:val="18"/>
              </w:rPr>
              <w:t xml:space="preserve">Texto terciario, labels, metadatos</w:t>
            </w:r>
          </w:p>
        </w:tc>
      </w:tr>
    </w:tbl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05 — TIPOGRAFÍA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Tipografía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La tipografía principal es Plus Jakarta Sans, disponible gratuitamente a través de Google Fonts. Es geométrica y sofisticada, con trazos cálidos que la hacen profesional sin resultar fría. Funciona excepcionalmente bien en todos los tamaños digitales y en combinaciones de peso bold con regular.</w:t>
      </w:r>
    </w:p>
    <w:p>
      <w:pPr>
        <w:spacing w:after="0" w:before="0" w:line="3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60"/>
        <w:gridCol w:w="3000"/>
      </w:tblGrid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Peso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Tamaño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Hero / Título principal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Bold 700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4.2rem / ~67px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Titular principal de la página web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Título de sección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Bold 700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2.5rem / ~40px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H2 en secciones internas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Subtítulo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1.05rem / ~17px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Texto introductorio de sección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Etiqueta de sección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0.72rem / ~12px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Labels en mayúsculas con tracking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Cuerpo de texto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1rem / ~16px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Párrafos generales</w:t>
            </w:r>
          </w:p>
        </w:tc>
      </w:tr>
      <w:tr>
        <w:tc>
          <w:tcPr>
            <w:tcW w:type="dxa" w:w="22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9"/>
                <w:szCs w:val="19"/>
              </w:rPr>
              <w:t xml:space="preserve">Texto muted / auxiliar</w:t>
            </w:r>
          </w:p>
        </w:tc>
        <w:tc>
          <w:tcPr>
            <w:tcW w:type="dxa" w:w="18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Medium 500</w:t>
            </w:r>
          </w:p>
        </w:tc>
        <w:tc>
          <w:tcPr>
            <w:tcW w:type="dxa" w:w="2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0.875rem / ~14px</w:t>
            </w:r>
          </w:p>
        </w:tc>
        <w:tc>
          <w:tcPr>
            <w:tcW w:type="dxa" w:w="30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Descripciones, metadatos</w:t>
            </w:r>
          </w:p>
        </w:tc>
      </w:tr>
    </w:tbl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06 — VOZ Y TONO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Voz de marca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La comunicación de marca Pedro Paez sigue cuatro principios de tono:</w:t>
      </w:r>
    </w:p>
    <w:p>
      <w:pPr>
        <w:spacing w:after="0" w:before="0" w:line="16"/>
      </w:pPr>
    </w:p>
    <w:p>
      <w:pPr>
        <w:spacing w:after="8" w:before="20"/>
      </w:pPr>
      <w:r>
        <w:rPr>
          <w:rFonts w:ascii="Arial" w:cs="Arial" w:eastAsia="Arial" w:hAnsi="Arial"/>
          <w:b/>
          <w:bCs/>
          <w:color w:val="1A2535"/>
          <w:sz w:val="21"/>
          <w:szCs w:val="21"/>
        </w:rPr>
        <w:t xml:space="preserve">Directo, no frío. 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 dice lo que se quiere decir sin rodeos, pero con calidez. Sin jerga innecesaria ni tecnicismos vacíos.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1A2535"/>
          <w:sz w:val="21"/>
          <w:szCs w:val="21"/>
        </w:rPr>
        <w:t xml:space="preserve">Experto, no elitista. 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La experiencia se demuestra con claridad, no con terminología que excluye al interlocutor.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1A2535"/>
          <w:sz w:val="21"/>
          <w:szCs w:val="21"/>
        </w:rPr>
        <w:t xml:space="preserve">Honesto, no vendedor. 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 se promete lo que no se puede entregar. La consultoría parte siempre de un diagnóstico honesto.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1A2535"/>
          <w:sz w:val="21"/>
          <w:szCs w:val="21"/>
        </w:rPr>
        <w:t xml:space="preserve">Simple, no simplista. 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La complejidad del problema se reconoce; la propuesta de solución se comunica de manera accesible.</w:t>
      </w:r>
    </w:p>
    <w:p>
      <w:pPr>
        <w:spacing w:after="0" w:before="0" w:line="80"/>
      </w:pPr>
    </w:p>
    <w:p>
      <w:pPr>
        <w:spacing w:after="20" w:before="56"/>
      </w:pPr>
      <w:r>
        <w:rPr>
          <w:rFonts w:ascii="Arial" w:cs="Arial" w:eastAsia="Arial" w:hAnsi="Arial"/>
          <w:b/>
          <w:bCs/>
          <w:color w:val="1A8FE0"/>
          <w:spacing w:val="120"/>
          <w:sz w:val="16"/>
          <w:szCs w:val="16"/>
        </w:rPr>
        <w:t xml:space="preserve">07 — ARCHIVOS</w:t>
      </w:r>
    </w:p>
    <w:p>
      <w:pPr>
        <w:pStyle w:val="Heading1"/>
        <w:spacing w:after="32" w:before="12"/>
      </w:pPr>
      <w:r>
        <w:rPr>
          <w:rFonts w:ascii="Arial" w:cs="Arial" w:eastAsia="Arial" w:hAnsi="Arial"/>
          <w:b/>
          <w:bCs/>
          <w:color w:val="1A2535"/>
          <w:sz w:val="44"/>
          <w:szCs w:val="44"/>
        </w:rPr>
        <w:t xml:space="preserve">Archivos de marca</w:t>
      </w:r>
    </w:p>
    <w:p>
      <w:pPr>
        <w:pBdr>
          <w:bottom w:val="single" w:color="1E2D45" w:sz="8" w:space="1"/>
        </w:pBdr>
        <w:spacing w:after="0" w:before="0"/>
      </w:pPr>
    </w:p>
    <w:p>
      <w:pPr>
        <w:spacing w:after="0" w:before="0" w:line="48"/>
      </w:pPr>
    </w:p>
    <w:p>
      <w:pPr>
        <w:spacing w:after="16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Todos los archivos de marca se encuentran en la carpeta:</w:t>
      </w:r>
    </w:p>
    <w:p>
      <w:pPr>
        <w:spacing w:after="24" w:before="8"/>
      </w:pPr>
      <w:r>
        <w:rPr>
          <w:rFonts w:ascii="Courier New" w:cs="Courier New" w:eastAsia="Courier New" w:hAnsi="Courier New"/>
          <w:b/>
          <w:bCs/>
          <w:color w:val="1A8FE0"/>
          <w:sz w:val="20"/>
          <w:szCs w:val="20"/>
        </w:rPr>
        <w:t xml:space="preserve">website/assets/brand/</w:t>
      </w:r>
    </w:p>
    <w:p>
      <w:pPr>
        <w:spacing w:after="0" w:before="0" w:lin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Formato</w:t>
            </w:r>
          </w:p>
        </w:tc>
        <w:tc>
          <w:tcPr>
            <w:tcW w:type="dxa" w:w="3360"/>
            <w:tcBorders>
              <w:top w:val="single" w:color="E0E6ED" w:sz="4"/>
              <w:left w:val="single" w:color="E0E6ED" w:sz="4"/>
              <w:bottom w:val="single" w:color="1A8FE0" w:sz="4"/>
              <w:right w:val="single" w:color="E0E6ED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36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0"/>
                <w:sz w:val="19"/>
                <w:szCs w:val="19"/>
              </w:rPr>
              <w:t xml:space="preserve">logo-dark.svg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SVG (vectorial)</w:t>
            </w:r>
          </w:p>
        </w:tc>
        <w:tc>
          <w:tcPr>
            <w:tcW w:type="dxa" w:w="3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Web, materiales digitales sobre fondo oscuro</w:t>
            </w:r>
          </w:p>
        </w:tc>
      </w:tr>
      <w:tr>
        <w:tc>
          <w:tcPr>
            <w:tcW w:type="dxa" w:w="36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0"/>
                <w:sz w:val="19"/>
                <w:szCs w:val="19"/>
              </w:rPr>
              <w:t xml:space="preserve">logo-light.svg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SVG (vectorial)</w:t>
            </w:r>
          </w:p>
        </w:tc>
        <w:tc>
          <w:tcPr>
            <w:tcW w:type="dxa" w:w="3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Documentos, presentaciones, fondo claro</w:t>
            </w:r>
          </w:p>
        </w:tc>
      </w:tr>
      <w:tr>
        <w:tc>
          <w:tcPr>
            <w:tcW w:type="dxa" w:w="36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0"/>
                <w:sz w:val="19"/>
                <w:szCs w:val="19"/>
              </w:rPr>
              <w:t xml:space="preserve">isotipo.svg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SVG (vectorial)</w:t>
            </w:r>
          </w:p>
        </w:tc>
        <w:tc>
          <w:tcPr>
            <w:tcW w:type="dxa" w:w="3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Favicon, avatar, uso reducido del logo</w:t>
            </w:r>
          </w:p>
        </w:tc>
      </w:tr>
      <w:tr>
        <w:tc>
          <w:tcPr>
            <w:tcW w:type="dxa" w:w="36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0"/>
                <w:sz w:val="19"/>
                <w:szCs w:val="19"/>
              </w:rPr>
              <w:t xml:space="preserve">manual-marca.docx</w:t>
            </w:r>
          </w:p>
        </w:tc>
        <w:tc>
          <w:tcPr>
            <w:tcW w:type="dxa" w:w="240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Word</w:t>
            </w:r>
          </w:p>
        </w:tc>
        <w:tc>
          <w:tcPr>
            <w:tcW w:type="dxa" w:w="3360"/>
            <w:tcBorders>
              <w:top w:val="single" w:color="E0E6ED" w:sz="4"/>
              <w:left w:val="single" w:color="E0E6ED" w:sz="4"/>
              <w:bottom w:val="single" w:color="E0E6ED" w:sz="4"/>
              <w:right w:val="single" w:color="E0E6E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Este documento — referencia de uso de marca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45" w:sz="4" w:space="1"/>
      </w:pBdr>
      <w:spacing w:after="0" w:before="120"/>
      <w:jc w:val="right"/>
    </w:pPr>
    <w:r>
      <w:rPr>
        <w:rFonts w:ascii="Arial" w:cs="Arial" w:eastAsia="Arial" w:hAnsi="Arial"/>
        <w:color w:val="7D95B0"/>
        <w:sz w:val="16"/>
        <w:szCs w:val="16"/>
      </w:rPr>
      <w:t xml:space="preserve">Pág. </w:t>
    </w:r>
    <w:r>
      <w:rPr>
        <w:rFonts w:ascii="Arial" w:cs="Arial" w:eastAsia="Arial" w:hAnsi="Arial"/>
        <w:color w:val="7D95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5" w:sz="4" w:space="1"/>
      </w:pBdr>
      <w:spacing w:after="120" w:before="0"/>
    </w:pPr>
    <w:r>
      <w:rPr>
        <w:rFonts w:ascii="Arial" w:cs="Arial" w:eastAsia="Arial" w:hAnsi="Arial"/>
        <w:color w:val="7D95B0"/>
        <w:sz w:val="16"/>
        <w:szCs w:val="16"/>
      </w:rPr>
      <w:t xml:space="preserve">Manual de Marca  ·  Pedro Paez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" w:before="12"/>
      <w:outlineLvl w:val="0"/>
    </w:pPr>
    <w:rPr>
      <w:rFonts w:ascii="Arial" w:cs="Arial" w:eastAsia="Arial" w:hAnsi="Arial"/>
      <w:b/>
      <w:bCs/>
      <w:color w:val="1A253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" w:before="4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4da3ae849110f88c15ef3460e8d91b02194ea7.png"/><Relationship Id="rId10" Type="http://schemas.openxmlformats.org/officeDocument/2006/relationships/image" Target="media/9f2b7aa742cd8a9c44ec27dc639887f7162c6b31.png"/><Relationship Id="rId11" Type="http://schemas.openxmlformats.org/officeDocument/2006/relationships/image" Target="media/827077242e77f96d68dc8917c2ac99aa6cbec31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2026-03-22T19:02:15.398Z</dcterms:created>
  <dcterms:modified xsi:type="dcterms:W3CDTF">2026-03-22T19:02:15.398Z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