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268" w:hanging="1417.606299212598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 FEDERAL DE GOIÁS</w:t>
      </w:r>
    </w:p>
    <w:p w:rsidR="00000000" w:rsidDel="00000000" w:rsidP="00000000" w:rsidRDefault="00000000" w:rsidRPr="00000000" w14:paraId="00000002">
      <w:pPr>
        <w:spacing w:line="240" w:lineRule="auto"/>
        <w:ind w:left="2268" w:hanging="1417.606299212598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INSTITUTO DE PATOLOGIA TROPICAL E SAÚDE PÚBLICA</w:t>
      </w:r>
    </w:p>
    <w:p w:rsidR="00000000" w:rsidDel="00000000" w:rsidP="00000000" w:rsidRDefault="00000000" w:rsidRPr="00000000" w14:paraId="00000003">
      <w:pPr>
        <w:spacing w:line="240" w:lineRule="auto"/>
        <w:ind w:left="2268" w:hanging="1417.606299212598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DE PÓS-GRADUAÇÃO EM SAÚDE COLETIVA</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DIAGNÓSTICO SITUACIONAL DA GESTÃO DO CAPSij GIRASSOL GOIÂNIA</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Karla Francisca de Araújo Guimarães</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Letícia Freire Melo</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Marcos Vinícius Rodrigues de Melo</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Gomes Ferreira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Pandora Gomes Borges</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Augusto Barbosa Borges</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Goiânia</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3">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DIAGNÓSTICO SITUACIONAL</w:t>
      </w:r>
      <w:r w:rsidDel="00000000" w:rsidR="00000000" w:rsidRPr="00000000">
        <w:rPr>
          <w:rtl w:val="0"/>
        </w:rPr>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Centro de Atenção Psicossocial Infantojuvenil Girassol (CAPSij Girassol), constitui-se como um dispositivo estratégico da Rede de Atenção Psicossocial (RAPS) do município de Goiânia, configurando um campo de atuação marcado pela alta complexidade demográfica e social. Por configurar um dos três CAPS infantojuvenis do município, a unidade é referência para a Região Oeste (parcial) e para a Região Noroeste, esta caracterizada como o território de provável maior adensamento populacional da capital, com estimativas superiores a 350 mil habitantes (O Popular, 2014).</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cenário caracteriza-se por acentuadas vulnerabilidades estruturais e desigualdades socioeconômicas, que atuam como determinantes sociais da saúde mental dos usuários. O serviço atende crianças e adolescentes em intenso sofrimento psíquico (grave e persistente) decorrente ou não  do uso problemático de álcool e outras drogas. Demanda, portanto, uma prática clínica ampliada que articula reabilitação psicossocial e intervenção territorial em áreas de histórica exclusão social.</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unidade é também referência para atendimento de adolescentes em conflito com a lei que estão em medida restritiva de liberdade no Centro de Atendimento Socioeducativo Regionalizado de Goiânia (Caser Goiânia), um dos públicos mais vulnerabilizados e com demandas mais complexas do território.</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Inaugurado em 15 de outubro de 2003, foi o primeiro CAPS infantojuvenil de Goiânia para assistência a álcool e drogas, o CAPS ADi Girassol. Em 2021 o serviço foi reformulado, seu escopo de atendimento foi ampliado, e seu território de atendimento delimitado, transformando-se em CAPSij Girassol. Passou então a atender o público infantojuvenil com outras demandas de sofrimento psíquico, além do uso problemático de álcool e outras drogas, e a cobrir a região noroeste e parte da região oeste, e não mais toda a cidade de Goiânia, com decorrente mudança de sede do Setor Oeste para o Capuava, com a nova sede situada dentro de seu território adscrito. </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sua estrutura macroadministrativa, a unidade está subordinada à Gerência de Saúde Mental, que compõe a Diretoria de Atenção Secundária e Urgência e Emergência, que por sua vez integra a Superintendência de Gestão de Redes de Atenção à Saúde da Secretaria Municipal de Saúde de Goiânia (SMS Goiânia). Sob a lógica de descentralização e regionalização do Sistema Único de Saúde (SUS), o centro opera vinculado ao Distrito Sanitário Oeste. </w:t>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serviços do CAPSij Girassol são prestados por equipe multiprofissional e interdisciplinar, dividida em dois turnos de trabalho (matutino e vespertino), composta por profissionais psicólogas (5), assistentes sociais (3), médicos (3, incluindo 1 psiquiatra) enfermeiras (2), arteterapeutas (2), fonoaudiólogas (2), educador físico (1), professora de artes (1, atualmente na gestão da unidade). As principais ofertas de serviço incluem: acolhimento inicial, atendimentos terapêuticos individuais e em grupo, atendimentos médicos, oficinas terapêuticas, atendimento e orientação psicossocial às famílias, atividades de reinserção social, atendimento domiciliar, além da articulação de Planos Terapêuticos Singulares (PTS).</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unidade funciona de segunda a sexta-feira, das 7h às 19h, em formato de porta aberta, o que significa que não é obrigatório ter um encaminhamento ou regulação para ser acolhido. Entretanto, dado o aumento expressivo de demandas para atendimento e considerando que a equipe técnica da unidade encontra-se reduzida, anterior ao acolhimento, é realizada uma escuta inicial com preenchimento de uma ficha pelo responsável da criança ou adolescente. Após esse processo, o acolhimento inicial é agendado, com exceção dos casos de maior gravidade que envolvem risco de vida, cujos atendimentos são priorizados. </w:t>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segunda à quinta acontecem, nos dois turnos, as oficinas e atendimentos terapêuticos em grupo e individuais das crianças e adolescentes, os grupos de família, os acolhimentos/avaliações iniciais, as orientações e escuta inicial e os atendimentos médicos. Às sextas-feiras são realizadas as reuniões de equipe, os atendimentos médicos e os atendimentos domiciliares. </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19 de março de 2007 foi realizada a Assembleia Geral para a criação do Conselho Local de Saúde do CAPS Girassol, instância colegiada de participação social, ativa desde então, sendo a atual Mesa Diretora composta em março deste ano de 2026, com reuniões ordinárias ocorrendo todas as segundas e quartas-feira do mês na unidade, com primeira chamada às 8h30 e chamada final às 9h. Os conselheiros, usuários, trabalhadores e gestores do CAPS também marcaram presença ao longo dos últimos anos em eventos e reuniões de diferentes instâncias do controle social, como nas plenárias do Conselho Municipal de Saúde e na Conferência Municipal de Saúde. </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decorrer dos últimos cinco anos, a instituição implementou inovações de gestão estratégicas voltadas para a qualificação do fluxo de acolhimento e a otimização dos processos assistenciais. A principal melhoria na porta de entrada consistiu na introdução da Ficha de Escuta, ferramenta desenvolvida para balizar a triagem inicial e a escuta qualificada breve. Essa medida transformou o primeiro contato com o usuário, garantindo maior resolutividade e um direcionamento mais preciso das demandas desde o ingresso no serviço.</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âmbito do planejamento institucional recente, foi estabelecido um cronograma fixo por meio de um calendário anual de atividades. Essa organização permitiu integrar ações terapêuticas à datas alusivas estratégicas, como a festa do Dia do Adolescente, além de estruturar programações culturais e de lazer voltadas para o período de recesso escolar. O planejamento também formalizou pausas programadas nos atendimentos clínicos, assegurando períodos dedicados exclusivamente ao alinhamento técnico e à organização interna da equipe.</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governança da clínica também foi fortalecida por meio da regulamentação do fluxo médico, fixando metas de atendimentos diários por profissional e por período de trabalho. De maneira complementar, a gestão consolidou ainda uma delimitação rigorosa do escopo de atuação e do público-alvo do serviço. Esta definição foi fundamental para estabelecer a distinção clara entre a linha de cuidado do CAPS e os demais serviços da rede, como os de reabilitação física e intelectual, mitigando a sobreposição de ações e otimizando a identidade assistencial da unidade.</w:t>
      </w:r>
    </w:p>
    <w:p w:rsidR="00000000" w:rsidDel="00000000" w:rsidP="00000000" w:rsidRDefault="00000000" w:rsidRPr="00000000" w14:paraId="0000003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seguintes estratégias de qualificação foram ofertadas nos últimos anos: Curso “Nós na Rede”, formação de preceptores da SMS, Capacitação “Vigilância de Violência e Cultura de Paz”, instrucional para preenchimento da Ficha de Notificação de Violência Interpessoal e Autoprovocada, Fórum Centro-Oeste de Saúde Mental de Crianças e Adolescentes, Curso “Tratamento do Tabagismo”, Seminário “Crise e Urgência em Saúde Mental”, Encontro Estadual Sinase: Saúde Na Socioeducação. Apesar da gestão local tender a liberar e flexibilizar horários para qualificação dos trabalhadores, a gestão municipal carece de oferta e incentivo.</w:t>
      </w:r>
    </w:p>
    <w:p w:rsidR="00000000" w:rsidDel="00000000" w:rsidP="00000000" w:rsidRDefault="00000000" w:rsidRPr="00000000" w14:paraId="0000003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financiamento do CAPSij Girassol ocorre de forma tripartite, combinando recursos das três esferas de governo conforme o arcabouço normativo do Sistema Único de Saúde (SUS). A principal fonte de custeio federal provém do Ministério da Saúde por meio do Bloco de Manutenção das Ações e Serviços Públicos de Saúde (Grupo de Atenção Especializada), com repasses regulares e automáticos do Fundo Nacional de Saúde (FNS). Esse modelo é estruturado pela Portaria de Consolidação GM/MS nº 3, de 28 de setembro de 2017 (Brasil, 2017a), que organiza a Rede de Atenção Psicossocial (RAPS), e regulamentado pela Portaria de Consolidação GM/MS nº 6, de 28 de setembro de 2017 (Brasil, 2017b), com valores de recomposição financeira mensal fixados pela Portaria GM/MS nº 660, de 5 de junho de 2023 (BRASIL, 2023) para a modalidade infantil. </w:t>
      </w:r>
    </w:p>
    <w:p w:rsidR="00000000" w:rsidDel="00000000" w:rsidP="00000000" w:rsidRDefault="00000000" w:rsidRPr="00000000" w14:paraId="0000003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Complementarmente, amparado pela Lei nº 8.080, de 19 de setembro de 1990 (Brasil, 1990), o Município de Goiânia, por meio de recursos próprios do tesouro municipal repassados à Secretaria Municipal de Saúde, assume as despesas com a folha de pagamento da equipe multiprofissional e a manutenção predial da unidade vinculada ao Distrito Sanitário Oeste, enquanto o Estado de Goiás participa via cofinanciamento e provimento de insumos da Assistência Farmacêutica em Saúde Mental. </w: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jc w:val="both"/>
        <w:rPr>
          <w:rFonts w:ascii="Times New Roman" w:cs="Times New Roman" w:eastAsia="Times New Roman" w:hAnsi="Times New Roman"/>
          <w:color w:val="1f1f1f"/>
          <w:sz w:val="24"/>
          <w:szCs w:val="24"/>
        </w:rPr>
      </w:pPr>
      <w:bookmarkStart w:colFirst="0" w:colLast="0" w:name="_7j9cqfh9hoyc" w:id="0"/>
      <w:bookmarkEnd w:id="0"/>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Fonts w:ascii="Times New Roman" w:cs="Times New Roman" w:eastAsia="Times New Roman" w:hAnsi="Times New Roman"/>
          <w:b w:val="1"/>
          <w:bCs w:val="1"/>
          <w:color w:val="1f1f1f"/>
          <w:sz w:val="24"/>
          <w:szCs w:val="24"/>
          <w:rtl w:val="0"/>
        </w:rPr>
        <w:t xml:space="preserve">. ANÁLISE CRÍTICA E REFLEXIVA DO DIAGNÓSTICO SITUACIONAL</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00"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análise do Diagnóstico Situacional do CAPSij Girassol permite compreender e questionar as complexas dinâmicas que atravessam a gestão da unidade em questão, a formulação de políticas públicas e a produção do cuidado em saúde mental. Ao tensionar a realidade empírica do serviço com os referenciais conceituais da Saúde Coletiva, emergem os nós críticos e as potencialidades que caracterizam o cotidiano deste dispositivo estratégico.</w:t>
      </w: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jc w:val="both"/>
        <w:rPr>
          <w:rFonts w:ascii="Times New Roman" w:cs="Times New Roman" w:eastAsia="Times New Roman" w:hAnsi="Times New Roman"/>
          <w:color w:val="1f1f1f"/>
          <w:sz w:val="24"/>
          <w:szCs w:val="24"/>
        </w:rPr>
      </w:pPr>
      <w:bookmarkStart w:colFirst="0" w:colLast="0" w:name="_oac3nnclgrsq" w:id="1"/>
      <w:bookmarkEnd w:id="1"/>
      <w:r w:rsidDel="00000000" w:rsidR="00000000" w:rsidRPr="00000000">
        <w:rPr>
          <w:rFonts w:ascii="Times New Roman" w:cs="Times New Roman" w:eastAsia="Times New Roman" w:hAnsi="Times New Roman"/>
          <w:b w:val="1"/>
          <w:bCs w:val="1"/>
          <w:color w:val="1f1f1f"/>
          <w:sz w:val="24"/>
          <w:szCs w:val="24"/>
          <w:rtl w:val="0"/>
        </w:rPr>
        <w:t xml:space="preserve">2.1. A reforma sanitária brasileira e o modelo de atenção psicossocial</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trajetória institucional do CA</w:t>
      </w:r>
      <w:r w:rsidDel="00000000" w:rsidR="00000000" w:rsidRPr="00000000">
        <w:rPr>
          <w:rFonts w:ascii="Times New Roman" w:cs="Times New Roman" w:eastAsia="Times New Roman" w:hAnsi="Times New Roman"/>
          <w:color w:val="1f1f1f"/>
          <w:sz w:val="24"/>
          <w:szCs w:val="24"/>
          <w:rtl w:val="0"/>
        </w:rPr>
        <w:t xml:space="preserve">PSij Girassol é um reflexo vivo das conquistas e das disputas decorrentes da reforma sanitária brasileira e, especificamente, da Reforma Psiquiátrica (regulamentada pela Lei nº 10.216</w:t>
      </w:r>
      <w:r w:rsidDel="00000000" w:rsidR="00000000" w:rsidRPr="00000000">
        <w:rPr>
          <w:rFonts w:ascii="Times New Roman" w:cs="Times New Roman" w:eastAsia="Times New Roman" w:hAnsi="Times New Roman"/>
          <w:color w:val="1f1f1f"/>
          <w:sz w:val="24"/>
          <w:szCs w:val="24"/>
          <w:rtl w:val="0"/>
        </w:rPr>
        <w:t xml:space="preserve">/2001). A transição histórica do serviço inaugurado em 2003 como CAPS ADi (voltado exclusivamente para álcool e outras drogas) e reformulado em 2021 para abranger a saúde mental infantojuvenil de forma ampliada sinaliza a consolidação de um modelo antimanicomial.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Essa mudança paradigmática é acompanhada por um deslocamento geográfico estratégico, promove</w:t>
      </w:r>
      <w:r w:rsidDel="00000000" w:rsidR="00000000" w:rsidRPr="00000000">
        <w:rPr>
          <w:rFonts w:ascii="Times New Roman" w:cs="Times New Roman" w:eastAsia="Times New Roman" w:hAnsi="Times New Roman"/>
          <w:color w:val="1f1f1f"/>
          <w:sz w:val="24"/>
          <w:szCs w:val="24"/>
          <w:rtl w:val="0"/>
        </w:rPr>
        <w:t xml:space="preserve">ndo a regionalização do serviço. Ao mover-se para dentro de seu território adscrito, o serviço rompe com a lógica da segregação histórica e assume o compromisso com a desinstitucionalização, garantindo que o cuidado à criança e ao adolescente ocorra próximo ao seu </w:t>
      </w:r>
      <w:r w:rsidDel="00000000" w:rsidR="00000000" w:rsidRPr="00000000">
        <w:rPr>
          <w:rFonts w:ascii="Times New Roman" w:cs="Times New Roman" w:eastAsia="Times New Roman" w:hAnsi="Times New Roman"/>
          <w:color w:val="1f1f1f"/>
          <w:sz w:val="24"/>
          <w:szCs w:val="24"/>
          <w:rtl w:val="0"/>
        </w:rPr>
        <w:t xml:space="preserve">local de reprodução social e de suas vivências coletivas, fortalecendo o princípio da equidade e o direito à cidadania.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00"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imposição de metas estritamente quantitativas por parte da Secretaria Municipal de Saúde de Goiânia, entretanto, sugere uma ainda persistente racionalidade gerencialista que tensiona as bases da Reforma Sanitária Brasileira. Conforme adverte </w:t>
      </w:r>
      <w:r w:rsidDel="00000000" w:rsidR="00000000" w:rsidRPr="00000000">
        <w:rPr>
          <w:rFonts w:ascii="Times New Roman" w:cs="Times New Roman" w:eastAsia="Times New Roman" w:hAnsi="Times New Roman"/>
          <w:color w:val="1f1f1f"/>
          <w:sz w:val="24"/>
          <w:szCs w:val="24"/>
          <w:rtl w:val="0"/>
        </w:rPr>
        <w:t xml:space="preserve">Breilh (2006),</w:t>
      </w:r>
      <w:r w:rsidDel="00000000" w:rsidR="00000000" w:rsidRPr="00000000">
        <w:rPr>
          <w:rFonts w:ascii="Times New Roman" w:cs="Times New Roman" w:eastAsia="Times New Roman" w:hAnsi="Times New Roman"/>
          <w:color w:val="1f1f1f"/>
          <w:sz w:val="24"/>
          <w:szCs w:val="24"/>
          <w:rtl w:val="0"/>
        </w:rPr>
        <w:t xml:space="preserve"> há uma linha divisória clara entre a Saúde Pública tradicional (funcional), pragmática, focada no nexo causal empirista e no controle estatístico de riscos isolados e a Saúde Coletiva, que compreende a saúde a partir da determinação social e do potencial emancipatório dos sujeitos. Ao reduzir a complexidade do sofrimento infantojuvenil no CAPSij a indicadores numéricos de produtividade, a gestão central desidrata o caráter contra-hegemônico do movimento sanitário, operando sob a égide de uma saúde pública burocratizada que ignora o metabolismo social excludente e as reais necessidades de reprodução da vida no território.</w: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1f1f1f"/>
          <w:sz w:val="24"/>
          <w:szCs w:val="24"/>
        </w:rPr>
      </w:pPr>
      <w:bookmarkStart w:colFirst="0" w:colLast="0" w:name="_4re4cvqysft4" w:id="2"/>
      <w:bookmarkEnd w:id="2"/>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jc w:val="both"/>
        <w:rPr>
          <w:rFonts w:ascii="Times New Roman" w:cs="Times New Roman" w:eastAsia="Times New Roman" w:hAnsi="Times New Roman"/>
          <w:color w:val="1f1f1f"/>
          <w:sz w:val="24"/>
          <w:szCs w:val="24"/>
        </w:rPr>
      </w:pPr>
      <w:bookmarkStart w:colFirst="0" w:colLast="0" w:name="_u4onhlroh7jw" w:id="3"/>
      <w:bookmarkEnd w:id="3"/>
      <w:r w:rsidDel="00000000" w:rsidR="00000000" w:rsidRPr="00000000">
        <w:rPr>
          <w:rFonts w:ascii="Times New Roman" w:cs="Times New Roman" w:eastAsia="Times New Roman" w:hAnsi="Times New Roman"/>
          <w:b w:val="1"/>
          <w:bCs w:val="1"/>
          <w:color w:val="1f1f1f"/>
          <w:sz w:val="24"/>
          <w:szCs w:val="24"/>
          <w:rtl w:val="0"/>
        </w:rPr>
        <w:t xml:space="preserve">2.2. Saúde Coletiva versus Saúde Pública no cotidiano institucional</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diagnóstico da unidade evidencia a constante dialética entre a Saúde Pública tradicional e a Saúde Coletiva. A Saúde Pública se manifesta na rigidez da macroestrutura administrativa do município, expressa na subordinação hierárquica do CAPSij às gerências e superintendências da Secretaria Municipal de Saúde de Goiânia (SMS), no monitoramento epidemiológico obrigatório como as notificações compulsórias de violências via Ficha de Notificação Violência (FNV) e na imposição de metas quantitativas, a exemplo da padronização do número de atendimentos médicos por período.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00"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 outro lado, o serviço pulsa sob a égide da Saúde Coletiva ao compreender que o sofrimento psíquico não se restringe a uma disfunção biológica individual, mas é um reflexo dos determinantes sociais da saúde. A atuação orientada por uma equipe multiprofissional e interdisciplinar e o funcionamento histórico do Conselho Local de Saúde (criado em 2007 e renovado em março de 2026) materializam as premissas da Saúde Coletiva. A garantia de reuniões de equipe em ambos os turnos às sextas-feiras reafirma a democracia institucional e o espaço de cogestão, onde o cuidado e as diretrizes políticas são debatidos coletivamente.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jc w:val="both"/>
        <w:rPr>
          <w:rFonts w:ascii="Times New Roman" w:cs="Times New Roman" w:eastAsia="Times New Roman" w:hAnsi="Times New Roman"/>
          <w:b w:val="1"/>
          <w:bCs w:val="1"/>
          <w:color w:val="1f1f1f"/>
          <w:sz w:val="24"/>
          <w:szCs w:val="24"/>
        </w:rPr>
      </w:pPr>
      <w:bookmarkStart w:colFirst="0" w:colLast="0" w:name="_6lb2w3lx3foo" w:id="4"/>
      <w:bookmarkEnd w:id="4"/>
      <w:r w:rsidDel="00000000" w:rsidR="00000000" w:rsidRPr="00000000">
        <w:rPr>
          <w:rFonts w:ascii="Times New Roman" w:cs="Times New Roman" w:eastAsia="Times New Roman" w:hAnsi="Times New Roman"/>
          <w:b w:val="1"/>
          <w:bCs w:val="1"/>
          <w:color w:val="1f1f1f"/>
          <w:sz w:val="24"/>
          <w:szCs w:val="24"/>
          <w:rtl w:val="0"/>
        </w:rPr>
        <w:t xml:space="preserve">2.3. Política em ato: escolhas, decisões, prioridades e as omissões da gestão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campo da gestão em saúde, a política não se reduz a documentos normativos, ela se traduz em ações, decisões e, frequentemente, em omissões. Diante de um cenário de escassez, seja em recursos humanos ou materiais, e alta demanda da busca por atendimentos, a gestão local do CAPSij opera o que se conceitua como "política em ato". A criação de inovações gerenciais como a ficha de escuta inicial, a definição do calendário anual e a diferenciação explícita do público-alvo em relação aos serviços de reabilitação representa decisões e escolhas políticas locais para salvaguardar a identidade do serviço e racionalizar o fluxo assistencial.</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distância entre a legislação protetiva e a precarização estrutural do CAPSij Girassol traduz o que Paim (2008) conceitua como as contradições da Reforma Sanitária Brasileira, entendida não como um sistema pronto, mas como um processo social inconcluso. O bloqueio ao desenvolvimento do serviço decorre de uma gestão municipal que reduz a universalidade à imposição de metas produtivistas, gerando um descompasso agudo entre o ideal reformista e a realidade de um prédio alugado e desprovido de recursos essenciais.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 contrapartida, a omissão do poder público municipal é explicitada na constatação da "pouca oferta de qualificação pela gestão municipal". A ausência de uma política institucional perene de Educação Permanente em Saúde (EPS) transfere a responsabilidade da formação para a criatividade local. A coordenação do CAPSij assume a prioridade política de liberar e flexibilizar horários para que os trabalhadores busquem, de forma autônoma, espaços de qualificação externa (como os cursos "Nós na Rede", capacitações em preceptoria e manejo de violências), tentando mitigar o vazio assistencial pedagógico deixado pelo nível central.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tensões observadas na reunião do Conselho Local de Saúde, marcado pelo esvaziamento popular e pelas denúncias de sucateamento e terceirização, ilustram a importância da participação social defendida por Paim (2008). Diante da omissão institucional, a formulação da ficha de escuta inicial pela gerência e trabalhadoras do CAPSij reflete o conceito de "política em ato" de Merhy (2002), em que o poder de decisão e as escolhas prioritárias são exercidos na micropolítica cotidiana para resguardar o acesso.</w: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jc w:val="both"/>
        <w:rPr>
          <w:rFonts w:ascii="Times New Roman" w:cs="Times New Roman" w:eastAsia="Times New Roman" w:hAnsi="Times New Roman"/>
          <w:color w:val="1f1f1f"/>
          <w:sz w:val="24"/>
          <w:szCs w:val="24"/>
        </w:rPr>
      </w:pPr>
      <w:bookmarkStart w:colFirst="0" w:colLast="0" w:name="_lezqnw5vg3vf" w:id="5"/>
      <w:bookmarkEnd w:id="5"/>
      <w:r w:rsidDel="00000000" w:rsidR="00000000" w:rsidRPr="00000000">
        <w:rPr>
          <w:rFonts w:ascii="Times New Roman" w:cs="Times New Roman" w:eastAsia="Times New Roman" w:hAnsi="Times New Roman"/>
          <w:b w:val="1"/>
          <w:bCs w:val="1"/>
          <w:color w:val="1f1f1f"/>
          <w:sz w:val="24"/>
          <w:szCs w:val="24"/>
          <w:rtl w:val="0"/>
        </w:rPr>
        <w:t xml:space="preserve">2.4. O território como lugar dinâmico e o descompasso entre necessidade, oferta e acesso</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território que abrange a Região Noroeste e parte da Região Oeste de Goiânia transcende a mera delimitação geográfica; configura-se como um território-lugar dinâmico, marcado por densidade demográfica expressiva (excedendo 350 mil habitantes) e históricas vulnerabilidades estruturais. Este dinamismo social dita as necessidades de saúde da população infantojuvenil, as quais se revelam agudas, plurais e profundamente impactadas pela exclusão social.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Desse modo, descortina-se um visível descompasso entre a necessidade social e a oferta de serviços. Embora o CAPSij conte com uma equipe diversificada, o contingente populacional sob sua responsabilidade impõe severos limites ao acesso universal. O formato original de "porta aberta" sofreu uma necessária reconfiguração gerencial: para conter o estrangulamento do serviço, instituiu-se a triagem por meio da ficha de escuta inicial seguida de agendamento prévio para o acolhimento. A manutenção do acesso imediato restringe-se exclusivamente aos casos com risco de vida iminente. Essa barreira burocrática intermediária, embora necessária para a sobrevivência da equipe, acende um alerta crítico sobre como a escassez de recursos restringe o direito constitucional ao acesso à saúde mental especializada.</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ind w:firstLine="720"/>
        <w:jc w:val="both"/>
        <w:rPr/>
      </w:pPr>
      <w:bookmarkStart w:colFirst="0" w:colLast="0" w:name="_fxcvy67wx6m0" w:id="6"/>
      <w:bookmarkEnd w:id="6"/>
      <w:r w:rsidDel="00000000" w:rsidR="00000000" w:rsidRPr="00000000">
        <w:rPr>
          <w:rFonts w:ascii="Times New Roman" w:cs="Times New Roman" w:eastAsia="Times New Roman" w:hAnsi="Times New Roman"/>
          <w:color w:val="1f1f1f"/>
          <w:sz w:val="24"/>
          <w:szCs w:val="24"/>
          <w:rtl w:val="0"/>
        </w:rPr>
        <w:t xml:space="preserve">A distância entre a legislação protetiva e a precarização estrutural do CAPSij Girassol traduz o que Paim (2008) conceitua como as contradições da Reforma Sanitária Brasileira, entendida não como um sistema pronto, mas como um processo social inconcluso. O bloqueio ao desenvolvimento do serviço decorre de uma gestão municipal que reduz a universalidade à imposição de metas produtivistas, gerando um descompasso agudo entre o ideal reformista e a realidade de um prédio alugado e desprovido de recursos essenciais.</w: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jc w:val="both"/>
        <w:rPr>
          <w:rFonts w:ascii="Times New Roman" w:cs="Times New Roman" w:eastAsia="Times New Roman" w:hAnsi="Times New Roman"/>
          <w:color w:val="1f1f1f"/>
          <w:sz w:val="24"/>
          <w:szCs w:val="24"/>
        </w:rPr>
      </w:pPr>
      <w:bookmarkStart w:colFirst="0" w:colLast="0" w:name="_53eum8tfd1iw" w:id="7"/>
      <w:bookmarkEnd w:id="7"/>
      <w:r w:rsidDel="00000000" w:rsidR="00000000" w:rsidRPr="00000000">
        <w:rPr>
          <w:rFonts w:ascii="Times New Roman" w:cs="Times New Roman" w:eastAsia="Times New Roman" w:hAnsi="Times New Roman"/>
          <w:b w:val="1"/>
          <w:bCs w:val="1"/>
          <w:color w:val="1f1f1f"/>
          <w:sz w:val="24"/>
          <w:szCs w:val="24"/>
          <w:rtl w:val="0"/>
        </w:rPr>
        <w:t xml:space="preserve">2.5. Cuidados em saúde: singularidade e coletividade</w:t>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ofertas terapêuticas descritas no diagnóstico revelam o esforço contínuo da equipe em equilibrar a singularidade e a coletividade nas práticas de cuidado. A dimensão singular é preservada nos atendimentos individuais, nas consultas médicas e, fundamentalmente, na articulação dos Planos Terapêuticos Singulares (PTS), ferramentas que reconhecem o sujeito em sua subjetividade, história de vida e sofrimento único. Paralelamente, a dimensão coletiva e comunitária é estimulada através de atendimentos e oficinas grupais, práticas artísticas e intervenções de reinserção social que envolvem diretamente as famílias e o território. O cuidado, portanto, assume uma perspectiva ampliada, recusando a redução do sofrimento infantojuvenil à patologização ou à medicalização isolada, buscando reinserir o indivíduo em sua rede social de apoio</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garantia da singularidade do usuário por meio do Projeto Terapêutico Singular (PTS), articulada com a potência da coletividade nas oficinas, materializa a Clínica Ampliada proposta por </w:t>
      </w:r>
      <w:r w:rsidDel="00000000" w:rsidR="00000000" w:rsidRPr="00000000">
        <w:rPr>
          <w:rFonts w:ascii="Times New Roman" w:cs="Times New Roman" w:eastAsia="Times New Roman" w:hAnsi="Times New Roman"/>
          <w:color w:val="1f1f1f"/>
          <w:sz w:val="24"/>
          <w:szCs w:val="24"/>
          <w:rtl w:val="0"/>
        </w:rPr>
        <w:t xml:space="preserve">Campos (2003). </w:t>
      </w:r>
      <w:r w:rsidDel="00000000" w:rsidR="00000000" w:rsidRPr="00000000">
        <w:rPr>
          <w:rFonts w:ascii="Times New Roman" w:cs="Times New Roman" w:eastAsia="Times New Roman" w:hAnsi="Times New Roman"/>
          <w:color w:val="1f1f1f"/>
          <w:sz w:val="24"/>
          <w:szCs w:val="24"/>
          <w:rtl w:val="0"/>
        </w:rPr>
        <w:t xml:space="preserve">No entanto, as observações de campo revelam o desafio de sustentar essa lógica antimanicomial; falhas estruturais básicas de manutenção e posturas profissionais puramente diretivas e silenciadoras ameaçam reduzir a tecnologia grupal a uma reprodução de assimetrias escolares e institucionais normatizadoras.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que se põe em questão, neste caso, é uma perspectiva ampliada do cuidado em saúde. As dimensões do singular e do coletivo se imbricam na estrutura pessoal do sujeito que, em sua singularidade, é sociohistórico em sua gênese e constituição (Vigotski, 2007; Vigotski, 2021). A perspectiva de cuidado, neste sentido, objetiva resgatar esse sujeito em processo de amadurecimento, o adolescente, ora instalado no complexo período crítico de transitividade que constitui a adolescência, zelando sempre por sua dignidade. Esse trabalho de cuidado, por seu caráter essencialmente político, se realiza de forma a restaurar e potencializar, no adolescente, sua capacidade de produção de laço social e seu potencial criativo e maturacional, à luz da clínica da atenção psicossocial (ampliada). Além disso, o trabalho de cuidado aqui em causa objetiva ainda resgatar a cidadania do adolescente, de forma articulada com a permanente atuação na garantia de direitos, no interior do que diz respeito ao escopo e à governabilidade da RAPS.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estratégias de intervenção em saúde, agrupadas aqui pelo significante do cuidado, se articulam na convergência das determinações sociohistóricas da saúde e a dimensão singular na qual emerge o que podemos aqui chamar de sujeito. A clínica da atenção psicossocial, neste contexto, se fundamenta, entre outros alicerces, na negação da imaginada cisão entre o técnico e o político. No plano da linguagem, separamos ambos os significantes; ora para fazer referência a um conjunto de ações rigorosamente prescritas por um saber científico verificado e que atendem a um objetivo (técnica), ora para dizer a respeito de ações estatais e de gestão pública que se fundamentam constitucionalmente (política).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Compreender que o técnico é essencialmente político, nesse contexto, exigiria uma explanação mais extensiva do significado amplo e polivalente do que é político, procedimento que nos levaria à Grécia Antiga em primeira análise. O que é necessário aqui assinalar é que o político, em seu sentido prático, não assume apenas um sentido regimental, mas diz respeito àquilo que se fundamenta nas relações sociais entre sujeitos que coexistem no mesmo espaço geográfico em um determinado recorte histórico (temporal). Politizar a técnica, neste sentido, significa sofisticá-la.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âmbito do cuidado em saúde, esse movimento de sofisticação consiste, antes de tudo, em considerar que as ações de intervenção que se fundamentam em um conhecimento científico, trazendo consigo um objetivo predeterminado, não obedecem tão somente a parâmetros cognitivos, seja na configuração de sua estrutura, seja na finalidade segundo a qual seu emprego se justifica. São critérios políticos, em primeira instância, que autorizam e fornecem as condições e orientações de elaboração e operacionalização de tais arcabouços interventivos. Essas ações de cuidado são, em essência, técnico-políticas, sem separação. Esse é o ponto no qual se instala uma potencial contradição do cuidado ao adolescente no âmbito da atenção psicossocial na contemporaneidade em território brasileiro.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cuidado em saúde, à luz da atenção psicossocial, é revolucionário em seu sentido social e avançado em seu sentido técnico-político. A questão persistente reside no fato de que, à medida em que se atua sobre a situação de sofrimento do usuário da rede e no sentido de resgatar seu potencial de socialização, não se alcança os elementos que se instalam no plano da determinação social da saúde (Albuquerque; Silva, 2014), instância anterior aos determinantes proximais que influenciam o estado de bem estar psicofísico, social e espiritual desse usuário, bem como em seu potencial maturacional e relacional. A efetividade do cuidado, nesses termos, se encerra nas barreiras históricas que demarcam a apropriação do horizonte de potencialidades de uma juventude historicamente marcada por exclusões diversas e vulnerabilidades sociais.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tensão que se apresenta diante dessas relações de forças e determinações que partem do singular para o social e do social para o singular, leva a reconhecer que a efetividade do cuidado em saúde, ainda que esteja alicerçado sobre os fundamentos da clínica psicossocial (considerando a integralidade do SUS) está condicionada à conquista de justiça social e esforços intersetoriais pela garantia de direitos. Apartado de sua dimensão política, o cuidado regride ao paradigma médico-curativista, e a politização da técnica não se desdobra na realidade concreta do cuidado em rede, tendo sua realidade restrita tão só a capítulos teóricos e bem intencionados nas publicações da literatura científica e filosófica em saúde coletiva. O trabalho de sanitaristas, neste contexto, independentemente do núcleo disciplinar de competências do qual se desdobra, se restringe a maneiras diversas de arrefecimento contínuo, na medida em que se desdobra sobre problemáticas cujas causas materiais permanecem distantes de seu efeito.</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1f1f1f"/>
          <w:sz w:val="24"/>
          <w:szCs w:val="24"/>
        </w:rPr>
      </w:pPr>
      <w:bookmarkStart w:colFirst="0" w:colLast="0" w:name="_prawagkdqhsn" w:id="8"/>
      <w:bookmarkEnd w:id="8"/>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60" w:lineRule="auto"/>
        <w:jc w:val="both"/>
        <w:rPr>
          <w:rFonts w:ascii="Times New Roman" w:cs="Times New Roman" w:eastAsia="Times New Roman" w:hAnsi="Times New Roman"/>
          <w:color w:val="1f1f1f"/>
          <w:sz w:val="24"/>
          <w:szCs w:val="24"/>
        </w:rPr>
      </w:pPr>
      <w:bookmarkStart w:colFirst="0" w:colLast="0" w:name="_emrid1908rzo" w:id="9"/>
      <w:bookmarkEnd w:id="9"/>
      <w:r w:rsidDel="00000000" w:rsidR="00000000" w:rsidRPr="00000000">
        <w:rPr>
          <w:rFonts w:ascii="Times New Roman" w:cs="Times New Roman" w:eastAsia="Times New Roman" w:hAnsi="Times New Roman"/>
          <w:b w:val="1"/>
          <w:bCs w:val="1"/>
          <w:color w:val="1f1f1f"/>
          <w:sz w:val="24"/>
          <w:szCs w:val="24"/>
          <w:rtl w:val="0"/>
        </w:rPr>
        <w:t xml:space="preserve">2.6. O SUS entre a fragmentação e as redes: o desafio da integração de sistemas</w: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 fim, o diagnóstico situacional do CAPSij Girassol ilustra o principal desafio contemporâneo do Sistema Único de Saúde (SUS): a superação da fragmentação assistencial rumo à consolidação das Redes de Atenção à Saúde (RAS). Formalmente, o dispositivo integra a Rede de Atenção Psicossocial (RAPS) de Goiânia e está vinculado ao Distrito Sanitário Oeste. No entanto, na dimensão real da gestão de sistemas de saúde, a necessidade de criar delimitações rígidas para diferenciar o público do CAPSij de serviços de reabilitação indica que as fronteiras e competências dos pontos da rede ainda são difusas e geram ruídos na regulação.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busca por estratégias como o curso "Nós na Rede" denota o reconhecimento, por parte dos trabalhadores, de que o CAPSij não pode operar como um serviço isolado. Sem a efetiva integração dos sistemas de saúde que pressupõe o diálogo fluido com a Atenção Primária à Saúde (Unidades Básicas e Estratégias de Saúde da Família), com a rede de urgência e com os setores da assistência social (CRAS/CREAS) e educação , o CAPSij corre o risco de sofrer uma sobrecarga estrutural. A fragmentação do sistema exila o CAPSij na posição de único responder ao sofrimento psíquico do território, evidenciando que a consolidação de uma rede viva e integrada permanece como a maior tarefa política e gerencial da saúde mental no municíp</w:t>
      </w:r>
      <w:r w:rsidDel="00000000" w:rsidR="00000000" w:rsidRPr="00000000">
        <w:rPr>
          <w:rFonts w:ascii="Times New Roman" w:cs="Times New Roman" w:eastAsia="Times New Roman" w:hAnsi="Times New Roman"/>
          <w:color w:val="1f1f1f"/>
          <w:sz w:val="24"/>
          <w:szCs w:val="24"/>
          <w:rtl w:val="0"/>
        </w:rPr>
        <w:t xml:space="preserve">io.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fragmentação do modelo de rede em Goiânia compromete a efetiva integração de sistemas de saúde. O projeto "Nós na Rede" tenta contrapor-se à postura estritamente encaminhadora e ambulatorial da Atenção Primária à Saúde (APS), a qual, ao isolar o CAPSij e eximir-se do apoio matricial e da responsabilidade compartilhada, converte o sistema assistencial em um arquipélago de serviços desconectados.</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8"/>
          <w:szCs w:val="28"/>
        </w:rPr>
      </w:pPr>
      <w:bookmarkStart w:colFirst="0" w:colLast="0" w:name="_ie5seessn3gq" w:id="10"/>
      <w:bookmarkEnd w:id="10"/>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1f1f1f"/>
          <w:sz w:val="24"/>
          <w:szCs w:val="24"/>
        </w:rPr>
      </w:pPr>
      <w:bookmarkStart w:colFirst="0" w:colLast="0" w:name="_thb6dg43yw8l" w:id="11"/>
      <w:bookmarkEnd w:id="11"/>
      <w:r w:rsidDel="00000000" w:rsidR="00000000" w:rsidRPr="00000000">
        <w:rPr>
          <w:rFonts w:ascii="Times New Roman" w:cs="Times New Roman" w:eastAsia="Times New Roman" w:hAnsi="Times New Roman"/>
          <w:b w:val="1"/>
          <w:bCs w:val="1"/>
          <w:color w:val="1f1f1f"/>
          <w:sz w:val="24"/>
          <w:szCs w:val="24"/>
          <w:rtl w:val="0"/>
        </w:rPr>
        <w:t xml:space="preserve">3. PROPOSTA DE INTERVENÇÃO E MELHORIA DO SERVIÇO: OPERAÇÃO REDE GIRASSOL</w:t>
      </w:r>
    </w:p>
    <w:p w:rsidR="00000000" w:rsidDel="00000000" w:rsidP="00000000" w:rsidRDefault="00000000" w:rsidRPr="00000000" w14:paraId="00000057">
      <w:pPr>
        <w:pStyle w:val="Heading2"/>
        <w:keepNext w:val="0"/>
        <w:keepLines w:val="0"/>
        <w:spacing w:after="160" w:before="220" w:line="240" w:lineRule="auto"/>
        <w:rPr>
          <w:rFonts w:ascii="Times New Roman" w:cs="Times New Roman" w:eastAsia="Times New Roman" w:hAnsi="Times New Roman"/>
          <w:color w:val="1f1f1f"/>
          <w:sz w:val="24"/>
          <w:szCs w:val="24"/>
        </w:rPr>
      </w:pPr>
      <w:bookmarkStart w:colFirst="0" w:colLast="0" w:name="_j1oiskfeyzac" w:id="12"/>
      <w:bookmarkEnd w:id="12"/>
      <w:r w:rsidDel="00000000" w:rsidR="00000000" w:rsidRPr="00000000">
        <w:rPr>
          <w:rFonts w:ascii="Times New Roman" w:cs="Times New Roman" w:eastAsia="Times New Roman" w:hAnsi="Times New Roman"/>
          <w:b w:val="1"/>
          <w:bCs w:val="1"/>
          <w:sz w:val="26"/>
          <w:szCs w:val="26"/>
          <w:rtl w:val="0"/>
        </w:rPr>
        <w:t xml:space="preserve">3.1. Apresentação da proposta: contexto e justificativa</w:t>
      </w:r>
      <w:r w:rsidDel="00000000" w:rsidR="00000000" w:rsidRPr="00000000">
        <w:rPr>
          <w:rtl w:val="0"/>
        </w:rPr>
      </w:r>
    </w:p>
    <w:p w:rsidR="00000000" w:rsidDel="00000000" w:rsidP="00000000" w:rsidRDefault="00000000" w:rsidRPr="00000000" w14:paraId="00000058">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crítica do Diagnóstico Situacional evidenciou que os nós críticos do CAPSij Girassol não derivam de deficiências na organização interna do dispositivo, a qual revela alto grau de inovação e governança local, mas de um conjunto articulado de constrangimentos estruturais e de rede: o isolamento assistencial na Rede de Atenção Psicossocial (RAPS), o superadensamento populacional do território adscrito (mais de 350 mil habitantes), o descompasso entre necessidade social e oferta de serviços, a fragmentação do SUS municipal, a sobrecarga da equipe associada às barreiras de acesso, a precariedade estrutural materializada em prédio alugado e desprovido de recursos essenciais, a baixa oferta de Educação Permanente pela gestão municipal e a frágil integração com a Atenção Primária à Saúde (APS) e com os demais setores.</w:t>
      </w:r>
    </w:p>
    <w:p w:rsidR="00000000" w:rsidDel="00000000" w:rsidP="00000000" w:rsidRDefault="00000000" w:rsidRPr="00000000" w14:paraId="00000059">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 a premissa metodológica de simular a atuação como Gestores Municipais de Saúde (Secretário Municipal) por um dia, a proposta de intervenção aqui delineada assume caráter macrogerencial e busca reposicionar o CAPSij Girassol não como ambulatório isolado e sobrecarregado, mas como nó potente, regulador e integrado de uma rede de cuidados genuinamente territorializada, equânime e resolutiva. Tal reposicionamento exige, simultaneamente, intervir sobre as condições materiais do trabalho e sobre os arranjos de rede que ordenam o acesso e o cuidado.</w:t>
      </w:r>
    </w:p>
    <w:p w:rsidR="00000000" w:rsidDel="00000000" w:rsidP="00000000" w:rsidRDefault="00000000" w:rsidRPr="00000000" w14:paraId="0000005A">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justificativa teórica da proposta parte do reconhecimento de que a gestão em saúde não pode se restringir ao controle estatístico de riscos isolados. Conforme adverte Breilh (2006), há uma linha divisória entre a Saúde Pública tradicional (pragmática, focada no nexo causal empirista e na produtividade quantitativa) e a Saúde Coletiva, que compreende a saúde a partir da determinação social e do potencial emancipatório dos sujeitos. Reduzir a complexidade do sofrimento infantojuvenil a indicadores numéricos de produtividade desidrata o caráter contra-hegemônico do movimento sanitário (BREILH, 2006). Por isso, a presente intervenção orienta-se por uma racionalidade que recusa o gerencialismo produtivista e busca, ao contrário, criar as condições materiais, informacionais e pedagógicas para que a determinação social do processo saúde-doença seja efetivamente enfrentada no território.</w:t>
      </w:r>
    </w:p>
    <w:p w:rsidR="00000000" w:rsidDel="00000000" w:rsidP="00000000" w:rsidRDefault="00000000" w:rsidRPr="00000000" w14:paraId="0000005B">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horizonte dialoga com a compreensão da Reforma Sanitária Brasileira como processo social inconcluso (Paim, 2008). A distância entre a legislação protetiva e a precarização estrutural do CAPSij traduz contradições internas a esse processo, que não se resolve por decreto, mas pela disputa permanente de recursos, projetos e prioridades. Intervir sobre o serviço, nesse sentido, é assumir uma posição política no interior dessa disputa, em defesa da universalidade, da integralidade e da equidade. Por fim, toda a proposta é atravessada pela noção de que a gestão é “política em ato” (Merhy, 2002): as escolhas, decisões e prioridades aqui formuladas pretendem criar condições para que a micropolítica do trabalho vivo possa se realizar sem os entraves cotidianos da escassez de recursos.</w:t>
      </w:r>
    </w:p>
    <w:p w:rsidR="00000000" w:rsidDel="00000000" w:rsidP="00000000" w:rsidRDefault="00000000" w:rsidRPr="00000000" w14:paraId="0000005C">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proposta organiza-se em quatro eixos estratégicos, complementados por mecanismos de governança e por um cronograma de implementação. O Eixo I atua sobre a infraestrutura e os recursos humanos; o Eixo II qualifica a gestão da informação e o monitoramento; o Eixo III reordena o acesso e integra a rede; e o Eixo IV institucionaliza a Educação Permanente e as parcerias intersetoriais. Os instrumentos já consolidados na versão original da Operação Rede Girassol, ou seja, o Fluxograma Analisador do Acesso, o Protocolo Municipal de Matriciamento, o Guia de Linha de Cuidado para a Atenção Primária e o Painel de Indicadores de Monitoramento de Rede, são mantidos e potencializados ao longo dos eixos, agora articulados a um conjunto mais amplo de ações estruturantes.</w:t>
      </w:r>
    </w:p>
    <w:p w:rsidR="00000000" w:rsidDel="00000000" w:rsidP="00000000" w:rsidRDefault="00000000" w:rsidRPr="00000000" w14:paraId="0000005D">
      <w:pPr>
        <w:pStyle w:val="Heading2"/>
        <w:keepNext w:val="0"/>
        <w:keepLines w:val="0"/>
        <w:spacing w:after="160" w:before="2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Eixo I: Fortalecimento da infraestrutura e dos recursos humanos</w:t>
      </w:r>
    </w:p>
    <w:p w:rsidR="00000000" w:rsidDel="00000000" w:rsidP="00000000" w:rsidRDefault="00000000" w:rsidRPr="00000000" w14:paraId="0000005E">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primeiro eixo enfrenta a precariedade estrutural e a sobrecarga da equipe, condições que comprometem a sustentação cotidiana da clínica psicossocial. Trata-se de criar as bases materiais sem as quais o cuidado ampliado permanece restrito, como adverte a análise crítica, a “capítulos teóricos e bem intencionados”. A proposta de ampliação do quadro e de adequação da estrutura física responde à necessidade de criar condições para que a micropolítica do trabalho vivo, conforme Merhy (2002), possa se realizar sem os entraves da escassez de recursos.</w:t>
      </w:r>
    </w:p>
    <w:p w:rsidR="00000000" w:rsidDel="00000000" w:rsidP="00000000" w:rsidRDefault="00000000" w:rsidRPr="00000000" w14:paraId="0000005F">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3.2.1. Construção de sede própria e adequada ao público infantojuvenil</w:t>
      </w:r>
    </w:p>
    <w:p w:rsidR="00000000" w:rsidDel="00000000" w:rsidP="00000000" w:rsidRDefault="00000000" w:rsidRPr="00000000" w14:paraId="00000060">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a transferência da sede para o território adscrito, ocorrida em 2021, tenha representado avanço rumo à desinstitucionalização e à regionalização do cuidado, o serviço permanece instalado em prédio alugado, não projetado para as especificidades da clínica infantojuvenil. Propõe-se, portanto, a construção de sede própria, com espaços lúdicos e terapêuticos concebidos para crianças e adolescentes, ambientes que favoreçam o acolhimento e a desinstitucionalização, e localização estratégica no interior do território adscrito.</w:t>
      </w:r>
    </w:p>
    <w:p w:rsidR="00000000" w:rsidDel="00000000" w:rsidP="00000000" w:rsidRDefault="00000000" w:rsidRPr="00000000" w14:paraId="00000061">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construção de uma sede própria e adequada ao público infantojuvenil materializa a Clínica Ampliada proposta por Campos (2003), ao criar espaços que favorecem a produção de autonomia e a desinstitucionalização do cuidado, em contraposição às assimetrias escolares e institucionais normatizadoras apontadas no diagnóstico. A adequação arquitetônica não é detalhe acessório: ela é condição material para que a tecnologia grupal e o Plano Terapêutico Singular (PTS) se realizem como dispositivos de produção de laço social e de cidadania, e não como reprodução de ambientes disciplinares.</w:t>
      </w:r>
    </w:p>
    <w:p w:rsidR="00000000" w:rsidDel="00000000" w:rsidP="00000000" w:rsidRDefault="00000000" w:rsidRPr="00000000" w14:paraId="00000062">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Ademais, a fixação de uma sede própria no território-lugar adensa o vínculo entre serviço e população. Conforme Santos (2002), o território não é demarcação passiva, mas espaço de relações sociais dinâmicas; uma edificação pública, estável e identificada com a comunidade reforça o pertencimento e a permanência do dispositivo no espaço de reprodução social dos usuários, em coerência com o princípio da equidade.</w:t>
      </w:r>
    </w:p>
    <w:p w:rsidR="00000000" w:rsidDel="00000000" w:rsidP="00000000" w:rsidRDefault="00000000" w:rsidRPr="00000000" w14:paraId="00000063">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3.2.2. Ampliação do quadro de funcionários</w:t>
      </w:r>
    </w:p>
    <w:p w:rsidR="00000000" w:rsidDel="00000000" w:rsidP="00000000" w:rsidRDefault="00000000" w:rsidRPr="00000000" w14:paraId="00000064">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descompasso entre a demanda de um território com mais de 350 mil habitantes e o contingente reduzido da equipe é causa direta da barreira de acesso instituída pela ficha de escuta com agendamento. A ampliação do quadro é, assim, medida estruturante. Conforme Breilh (2006), a gestão em saúde não pode se restringir ao controle estatístico de riscos, mas deve atuar sobre a determinação social do processo saúde-doença, o que exige equipes qualificadas e em número suficiente para a complexidade do território.</w:t>
      </w:r>
    </w:p>
    <w:p w:rsidR="00000000" w:rsidDel="00000000" w:rsidP="00000000" w:rsidRDefault="00000000" w:rsidRPr="00000000" w14:paraId="00000065">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Propõem-se três frentes articuladas: (i) o </w:t>
      </w:r>
      <w:r w:rsidDel="00000000" w:rsidR="00000000" w:rsidRPr="00000000">
        <w:rPr>
          <w:rFonts w:ascii="Times New Roman" w:cs="Times New Roman" w:eastAsia="Times New Roman" w:hAnsi="Times New Roman"/>
          <w:b w:val="1"/>
          <w:bCs w:val="1"/>
          <w:sz w:val="24"/>
          <w:szCs w:val="24"/>
          <w:rtl w:val="0"/>
        </w:rPr>
        <w:t xml:space="preserve">chamamento imediato dos aprovados em concurso público vigente</w:t>
      </w:r>
      <w:r w:rsidDel="00000000" w:rsidR="00000000" w:rsidRPr="00000000">
        <w:rPr>
          <w:rFonts w:ascii="Times New Roman" w:cs="Times New Roman" w:eastAsia="Times New Roman" w:hAnsi="Times New Roman"/>
          <w:sz w:val="24"/>
          <w:szCs w:val="24"/>
          <w:rtl w:val="0"/>
        </w:rPr>
        <w:t xml:space="preserve">, provendo as vagas existentes e reduzindo a precarização dos vínculos; (ii) o </w:t>
      </w:r>
      <w:r w:rsidDel="00000000" w:rsidR="00000000" w:rsidRPr="00000000">
        <w:rPr>
          <w:rFonts w:ascii="Times New Roman" w:cs="Times New Roman" w:eastAsia="Times New Roman" w:hAnsi="Times New Roman"/>
          <w:b w:val="1"/>
          <w:bCs w:val="1"/>
          <w:sz w:val="24"/>
          <w:szCs w:val="24"/>
          <w:rtl w:val="0"/>
        </w:rPr>
        <w:t xml:space="preserve">reforço das equipes multiprofissionais</w:t>
      </w:r>
      <w:r w:rsidDel="00000000" w:rsidR="00000000" w:rsidRPr="00000000">
        <w:rPr>
          <w:rFonts w:ascii="Times New Roman" w:cs="Times New Roman" w:eastAsia="Times New Roman" w:hAnsi="Times New Roman"/>
          <w:sz w:val="24"/>
          <w:szCs w:val="24"/>
          <w:rtl w:val="0"/>
        </w:rPr>
        <w:t xml:space="preserve">, psicólogos, assistentes sociais, terapeutas ocupacionais, psiquiatras e enfermeiros, fortalecendo os núcleos profissionais que sustentam o PTS e a clínica ampliada; e (iii) a </w:t>
      </w:r>
      <w:r w:rsidDel="00000000" w:rsidR="00000000" w:rsidRPr="00000000">
        <w:rPr>
          <w:rFonts w:ascii="Times New Roman" w:cs="Times New Roman" w:eastAsia="Times New Roman" w:hAnsi="Times New Roman"/>
          <w:b w:val="1"/>
          <w:bCs w:val="1"/>
          <w:sz w:val="24"/>
          <w:szCs w:val="24"/>
          <w:rtl w:val="0"/>
        </w:rPr>
        <w:t xml:space="preserve">criação de novas categorias profissionais</w:t>
      </w:r>
      <w:r w:rsidDel="00000000" w:rsidR="00000000" w:rsidRPr="00000000">
        <w:rPr>
          <w:rFonts w:ascii="Times New Roman" w:cs="Times New Roman" w:eastAsia="Times New Roman" w:hAnsi="Times New Roman"/>
          <w:sz w:val="24"/>
          <w:szCs w:val="24"/>
          <w:rtl w:val="0"/>
        </w:rPr>
        <w:t xml:space="preserve"> no serviço, com a contratação de educador físico em número adequado, arteterapeutas e fonoaudiólogos, ampliando o repertório de ofertas terapêuticas territoriais e grupais. O dimensionamento da equipe a partir da complexidade real do território, e não de metas produtivistas abstratas, traduz a recusa ao gerencialismo (BREILH, 2006) e a defesa da integralidade do cuidado.</w:t>
      </w:r>
    </w:p>
    <w:p w:rsidR="00000000" w:rsidDel="00000000" w:rsidP="00000000" w:rsidRDefault="00000000" w:rsidRPr="00000000" w14:paraId="00000066">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bookmarkStart w:colFirst="0" w:colLast="0" w:name="_czr1heju00rf" w:id="13"/>
      <w:bookmarkEnd w:id="13"/>
      <w:r w:rsidDel="00000000" w:rsidR="00000000" w:rsidRPr="00000000">
        <w:rPr>
          <w:rFonts w:ascii="Times New Roman" w:cs="Times New Roman" w:eastAsia="Times New Roman" w:hAnsi="Times New Roman"/>
          <w:b w:val="1"/>
          <w:bCs w:val="1"/>
          <w:color w:val="000000"/>
          <w:sz w:val="24"/>
          <w:szCs w:val="24"/>
          <w:rtl w:val="0"/>
        </w:rPr>
        <w:t xml:space="preserve">3.2.3. Lotação de Guarda Municipal fixa na unidade</w:t>
      </w:r>
    </w:p>
    <w:p w:rsidR="00000000" w:rsidDel="00000000" w:rsidP="00000000" w:rsidRDefault="00000000" w:rsidRPr="00000000" w14:paraId="00000067">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presença permanente de Guarda Municipal na unidade responde à necessidade de assegurar um ambiente protegido tanto para os profissionais quanto para os usuários, sobretudo diante do atendimento a adolescentes em situações de crise e do público em medida socioeducativa referenciado ao serviço. A medida visa garantir segurança e, simultaneamente, facilitar o manejo do acesso em situações de crise aguda, contribuindo para que a porta aberta não seja convertida, na prática, em ambiente de tensão ou exposição. A segurança, nesse arranjo, é compreendida como suporte ao cuidado e à garantia de direitos, e não como dispositivo de controle ou disciplinarização dos usuários.</w:t>
      </w:r>
    </w:p>
    <w:p w:rsidR="00000000" w:rsidDel="00000000" w:rsidP="00000000" w:rsidRDefault="00000000" w:rsidRPr="00000000" w14:paraId="00000068">
      <w:pPr>
        <w:pStyle w:val="Heading2"/>
        <w:keepNext w:val="0"/>
        <w:keepLines w:val="0"/>
        <w:spacing w:after="160" w:before="2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Eixo II: Qualificação da gestão da informação e do monitoramento</w:t>
      </w:r>
    </w:p>
    <w:p w:rsidR="00000000" w:rsidDel="00000000" w:rsidP="00000000" w:rsidRDefault="00000000" w:rsidRPr="00000000" w14:paraId="00000069">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segundo eixo enfrenta a fragmentação informacional do SUS municipal, condição que reforça o isolamento do CAPSij e dificulta a coordenação do cuidado em rede. A atualização do prontuário eletrônico e a consolidação do Painel de Indicadores criam as condições técnicas para que a integração se efetive não apenas no plano normativo, mas na micropolítica cotidiana do trabalho (Merhy, 2002).</w:t>
      </w:r>
    </w:p>
    <w:p w:rsidR="00000000" w:rsidDel="00000000" w:rsidP="00000000" w:rsidRDefault="00000000" w:rsidRPr="00000000" w14:paraId="0000006A">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3.3.1. Atualização e integração do prontuário eletrônico</w:t>
      </w:r>
    </w:p>
    <w:p w:rsidR="00000000" w:rsidDel="00000000" w:rsidP="00000000" w:rsidRDefault="00000000" w:rsidRPr="00000000" w14:paraId="0000006B">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Propõe-se a implantação de prontuário eletrônico atualizado e </w:t>
      </w:r>
      <w:r w:rsidDel="00000000" w:rsidR="00000000" w:rsidRPr="00000000">
        <w:rPr>
          <w:rFonts w:ascii="Times New Roman" w:cs="Times New Roman" w:eastAsia="Times New Roman" w:hAnsi="Times New Roman"/>
          <w:b w:val="1"/>
          <w:bCs w:val="1"/>
          <w:sz w:val="24"/>
          <w:szCs w:val="24"/>
          <w:rtl w:val="0"/>
        </w:rPr>
        <w:t xml:space="preserve">interoperável com a RAPS e com a APS</w:t>
      </w:r>
      <w:r w:rsidDel="00000000" w:rsidR="00000000" w:rsidRPr="00000000">
        <w:rPr>
          <w:rFonts w:ascii="Times New Roman" w:cs="Times New Roman" w:eastAsia="Times New Roman" w:hAnsi="Times New Roman"/>
          <w:sz w:val="24"/>
          <w:szCs w:val="24"/>
          <w:rtl w:val="0"/>
        </w:rPr>
        <w:t xml:space="preserve">, permitindo o registro ágil e o compartilhamento seguro de informações entre os pontos de atenção. A integração informacional sustenta a continuidade do cuidado: viabiliza que a discussão de caso no matriciamento, a construção compartilhada do PTS e o seguimento pós-crise ocorram sobre uma base de dados comum, reduzindo a perda de informação nas transições entre serviços. O sistema deve, ainda, possibilitar o monitoramento de indicadores clínicos e de gestão diretamente alimentado pelo registro cotidiano, evitando a sobreposição de tarefas burocráticas à equipe assistencial.</w:t>
      </w:r>
    </w:p>
    <w:p w:rsidR="00000000" w:rsidDel="00000000" w:rsidP="00000000" w:rsidRDefault="00000000" w:rsidRPr="00000000" w14:paraId="0000006C">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preciso, todavia, advertir, com Breilh (2006), que o instrumento informacional não pode tornar-se um fim em si mesmo nem reduzir o sofrimento infantojuvenil a indicadores de produtividade. O prontuário eletrônico aqui proposto é meio para qualificar o cuidado e a integração de rede, e não dispositivo de vigilância produtivista da equipe. Trata-se de mobilizar a tecnologia da informação a serviço do trabalho vivo (Merhy, 2002), e não de subordinar o trabalho vivo à lógica do registro.</w:t>
      </w:r>
    </w:p>
    <w:p w:rsidR="00000000" w:rsidDel="00000000" w:rsidP="00000000" w:rsidRDefault="00000000" w:rsidRPr="00000000" w14:paraId="0000006D">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3.3.2. Painel de Indicadores de Monitoramento de Rede</w:t>
      </w:r>
    </w:p>
    <w:p w:rsidR="00000000" w:rsidDel="00000000" w:rsidP="00000000" w:rsidRDefault="00000000" w:rsidRPr="00000000" w14:paraId="0000006E">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Mantém-se e detalha-se o Painel de Indicadores (Dashboard) quadrimestral, gerenciado pela Diretoria de Atenção Secundária e Urgência e Emergência da SMS Goiânia, agora alimentado pelo prontuário eletrônico integrado. São consolidados três indicadores estratégicos:</w:t>
      </w:r>
    </w:p>
    <w:p w:rsidR="00000000" w:rsidDel="00000000" w:rsidP="00000000" w:rsidRDefault="00000000" w:rsidRPr="00000000" w14:paraId="0000006F">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 médio de espera para o acolhimento inicial no CAPSij</w:t>
      </w:r>
      <w:r w:rsidDel="00000000" w:rsidR="00000000" w:rsidRPr="00000000">
        <w:rPr>
          <w:rFonts w:ascii="Times New Roman" w:cs="Times New Roman" w:eastAsia="Times New Roman" w:hAnsi="Times New Roman"/>
          <w:sz w:val="24"/>
          <w:szCs w:val="24"/>
          <w:rtl w:val="0"/>
        </w:rPr>
        <w:t xml:space="preserve"> — intervalo, em dias, entre a escuta inicial e o acolhimento efetivo. </w:t>
      </w:r>
      <w:r w:rsidDel="00000000" w:rsidR="00000000" w:rsidRPr="00000000">
        <w:rPr>
          <w:rFonts w:ascii="Times New Roman" w:cs="Times New Roman" w:eastAsia="Times New Roman" w:hAnsi="Times New Roman"/>
          <w:i w:val="1"/>
          <w:iCs w:val="1"/>
          <w:sz w:val="24"/>
          <w:szCs w:val="24"/>
          <w:rtl w:val="0"/>
        </w:rPr>
        <w:t xml:space="preserve">Meta:</w:t>
      </w:r>
      <w:r w:rsidDel="00000000" w:rsidR="00000000" w:rsidRPr="00000000">
        <w:rPr>
          <w:rFonts w:ascii="Times New Roman" w:cs="Times New Roman" w:eastAsia="Times New Roman" w:hAnsi="Times New Roman"/>
          <w:sz w:val="24"/>
          <w:szCs w:val="24"/>
          <w:rtl w:val="0"/>
        </w:rPr>
        <w:t xml:space="preserve"> redução para o teto máximo de 5 dias úteis, viabilizada pelo escoamento da demanda leve para a APS e pela ampliação do quadro.</w:t>
      </w:r>
    </w:p>
    <w:p w:rsidR="00000000" w:rsidDel="00000000" w:rsidP="00000000" w:rsidRDefault="00000000" w:rsidRPr="00000000" w14:paraId="00000070">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Taxa de encaminhamentos inadequados para o CAPSij</w:t>
      </w:r>
      <w:r w:rsidDel="00000000" w:rsidR="00000000" w:rsidRPr="00000000">
        <w:rPr>
          <w:rFonts w:ascii="Times New Roman" w:cs="Times New Roman" w:eastAsia="Times New Roman" w:hAnsi="Times New Roman"/>
          <w:sz w:val="24"/>
          <w:szCs w:val="24"/>
          <w:rtl w:val="0"/>
        </w:rPr>
        <w:t xml:space="preserve"> — percentual de solicitações que não preenchem os critérios de gravidade e persistência ou que competem a serviços de reabilitação. </w:t>
      </w:r>
      <w:r w:rsidDel="00000000" w:rsidR="00000000" w:rsidRPr="00000000">
        <w:rPr>
          <w:rFonts w:ascii="Times New Roman" w:cs="Times New Roman" w:eastAsia="Times New Roman" w:hAnsi="Times New Roman"/>
          <w:i w:val="1"/>
          <w:iCs w:val="1"/>
          <w:sz w:val="24"/>
          <w:szCs w:val="24"/>
          <w:rtl w:val="0"/>
        </w:rPr>
        <w:t xml:space="preserve">Meta:</w:t>
      </w:r>
      <w:r w:rsidDel="00000000" w:rsidR="00000000" w:rsidRPr="00000000">
        <w:rPr>
          <w:rFonts w:ascii="Times New Roman" w:cs="Times New Roman" w:eastAsia="Times New Roman" w:hAnsi="Times New Roman"/>
          <w:sz w:val="24"/>
          <w:szCs w:val="24"/>
          <w:rtl w:val="0"/>
        </w:rPr>
        <w:t xml:space="preserve"> redução de 40% após o primeiro ciclo de matriciamento.</w:t>
      </w:r>
    </w:p>
    <w:p w:rsidR="00000000" w:rsidDel="00000000" w:rsidP="00000000" w:rsidRDefault="00000000" w:rsidRPr="00000000" w14:paraId="00000071">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cobertura de matriciamento distrital</w:t>
      </w:r>
      <w:r w:rsidDel="00000000" w:rsidR="00000000" w:rsidRPr="00000000">
        <w:rPr>
          <w:rFonts w:ascii="Times New Roman" w:cs="Times New Roman" w:eastAsia="Times New Roman" w:hAnsi="Times New Roman"/>
          <w:sz w:val="24"/>
          <w:szCs w:val="24"/>
          <w:rtl w:val="0"/>
        </w:rPr>
        <w:t xml:space="preserve"> — percentual de Equipes de Saúde da Família (ESF) dos Distritos Oeste e Noroeste que realizaram ao menos uma ação de suporte técnico-pedagógico com o CAPSij no trimestre. </w:t>
      </w:r>
      <w:r w:rsidDel="00000000" w:rsidR="00000000" w:rsidRPr="00000000">
        <w:rPr>
          <w:rFonts w:ascii="Times New Roman" w:cs="Times New Roman" w:eastAsia="Times New Roman" w:hAnsi="Times New Roman"/>
          <w:i w:val="1"/>
          <w:iCs w:val="1"/>
          <w:sz w:val="24"/>
          <w:szCs w:val="24"/>
          <w:rtl w:val="0"/>
        </w:rPr>
        <w:t xml:space="preserve">Meta:</w:t>
      </w:r>
      <w:r w:rsidDel="00000000" w:rsidR="00000000" w:rsidRPr="00000000">
        <w:rPr>
          <w:rFonts w:ascii="Times New Roman" w:cs="Times New Roman" w:eastAsia="Times New Roman" w:hAnsi="Times New Roman"/>
          <w:sz w:val="24"/>
          <w:szCs w:val="24"/>
          <w:rtl w:val="0"/>
        </w:rPr>
        <w:t xml:space="preserve"> atingir 100% de cobertura na rede adscrita.</w:t>
      </w:r>
    </w:p>
    <w:p w:rsidR="00000000" w:rsidDel="00000000" w:rsidP="00000000" w:rsidRDefault="00000000" w:rsidRPr="00000000" w14:paraId="00000072">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Coerente com a crítica ao gerencialismo (Breilh, 2006), o Painel é concebido como instrumento de gestão orientada à determinação social e à garantia do acesso, e não como mecanismo de cobrança produtivista. Seus indicadores medem condições de acesso, qualidade da integração e cobertura pedagógica da rede — dimensões que expressam o compromisso com a universalidade e a integralidade —, e não meramente o volume de procedimentos.</w:t>
      </w:r>
    </w:p>
    <w:p w:rsidR="00000000" w:rsidDel="00000000" w:rsidP="00000000" w:rsidRDefault="00000000" w:rsidRPr="00000000" w14:paraId="00000073">
      <w:pPr>
        <w:pStyle w:val="Heading2"/>
        <w:keepNext w:val="0"/>
        <w:keepLines w:val="0"/>
        <w:spacing w:after="160" w:before="2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Eixo III: Integração da rede e ordenação do acesso</w:t>
      </w:r>
    </w:p>
    <w:p w:rsidR="00000000" w:rsidDel="00000000" w:rsidP="00000000" w:rsidRDefault="00000000" w:rsidRPr="00000000" w14:paraId="00000074">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terceiro eixo retoma e potencializa os dois instrumentos centrais da Operação Rede Girassol: o Fluxograma Analisador e o Protocolo de Matriciamento, agora sustentados pela infraestrutura (Eixo I) e pela integração informacional (Eixo II). Trata-se de enfrentar a fragmentação que, conforme a análise, “exila o CAPSij na posição de único responder ao sofrimento psíquico do território”.</w:t>
      </w:r>
    </w:p>
    <w:p w:rsidR="00000000" w:rsidDel="00000000" w:rsidP="00000000" w:rsidRDefault="00000000" w:rsidRPr="00000000" w14:paraId="00000075">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3.4.1. O Fluxograma Analisador: da porta aberta à linha de cuidado</w:t>
      </w:r>
    </w:p>
    <w:p w:rsidR="00000000" w:rsidDel="00000000" w:rsidP="00000000" w:rsidRDefault="00000000" w:rsidRPr="00000000" w14:paraId="00000076">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Mantém-se o desenho do Fluxograma Analisador do Acesso (Operação Rede Girassol) como dispositivo tecnológico de gestão destinado a reverter o estrangulamento da unidade especializada. O instrumento intervém na porta de entrada do sistema: em vez de absorver diretamente no CAPSij a demanda espontânea por sofrimentos leves e moderados, o que gera a necessidade de barreiras burocráticas como o agendamento prévio, estabelece a Unidade Básica de Saúde (UBS/ESF) como ordenadora preferencial do cuidado. A partir de uma pergunta disparadora baseada na gravidade e no risco de vida iminente, opera-se dupla função regulatória: os casos de crise aguda mantêm acesso imediato e direto no CAPSij, enquanto os casos leves a moderados são acolhidos e acompanhados no próprio território, sob coordenação da APS.</w:t>
      </w:r>
    </w:p>
    <w:p w:rsidR="00000000" w:rsidDel="00000000" w:rsidP="00000000" w:rsidRDefault="00000000" w:rsidRPr="00000000" w14:paraId="00000077">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reordenação do acesso é, nesse sentido, “política em ato” (Merhy, 2002): a decisão de redefinir a porta de entrada constitui escolha micropolítica que disputa o sentido do cuidado e protege a missão institucional da atenção secundária. Ao fixar o cuidado no território-lugar (Santos, 2002), o fluxograma reconhece que as necessidades de saúde emergem das relações sociais dinâmicas de um espaço marcado por vulnerabilidades estruturais, e que a resposta a elas não pode concentrar-se em um único ponto da rede.</w:t>
      </w:r>
    </w:p>
    <w:p w:rsidR="00000000" w:rsidDel="00000000" w:rsidP="00000000" w:rsidRDefault="00000000" w:rsidRPr="00000000" w14:paraId="00000078">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3.4.2. Protocolo Municipal de Matriciamento em Saúde Mental Infantojuvenil</w:t>
      </w:r>
    </w:p>
    <w:p w:rsidR="00000000" w:rsidDel="00000000" w:rsidP="00000000" w:rsidRDefault="00000000" w:rsidRPr="00000000" w14:paraId="00000079">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o Fluxograma não se converta em mera barreira de exclusão, institucionaliza-se o Protocolo Municipal de Matriciamento, compreendido como arranjo organizacional que assegura retaguarda assistencial e suporte técnico-pedagógico às equipes de Saúde da Família dos Distritos Oeste e Noroeste. A equipe multiprofissional do CAPSij, agora ampliada (Eixo I), dividirá referências técnicas para apoiar diretamente as UBS do território. Mensalmente, profissionais da atenção especializada e da atenção primária realizarão discussões conjuntas de casos complexos e, quando necessário, atendimentos compartilhados (co-consultas).</w:t>
      </w:r>
    </w:p>
    <w:p w:rsidR="00000000" w:rsidDel="00000000" w:rsidP="00000000" w:rsidRDefault="00000000" w:rsidRPr="00000000" w14:paraId="0000007A">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matriciamento descentraliza o saber em saúde mental, instrumentaliza médicos e enfermeiros generalistas e fixa o cuidado no território do usuário, reduzindo encaminhamentos desnecessários e estreitando a integração de sistemas. Trata-se, em essência, da materialização da clínica ampliada (Campos, 2003) em escala de rede: a corresponsabilização entre serviços recusa a postura estritamente encaminhadora da APS e converte o “arquipélago de serviços desconectados” em rede viva e integrada. Sustenta esse arranjo o Guia de Linha de Cuidado para a Atenção Primária, ferramenta que padroniza os critérios de elegibilidade: sofrimentos leves a moderados, com manejo longitudinal na UBS; sofrimentos graves e persistentes (perfil CAPSij), com acionamento do matriciamento e construção compartilhada do PTS; e crises agudas, com estabilização nas Unidades de Pronto Atendimento e seguimento pós-crise regulado pelo CAPSij.</w:t>
      </w:r>
    </w:p>
    <w:p w:rsidR="00000000" w:rsidDel="00000000" w:rsidP="00000000" w:rsidRDefault="00000000" w:rsidRPr="00000000" w14:paraId="0000007B">
      <w:pPr>
        <w:pStyle w:val="Heading2"/>
        <w:keepNext w:val="0"/>
        <w:keepLines w:val="0"/>
        <w:spacing w:after="160" w:before="2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Eixo IV: Educação Permanente em Saúde e parcerias intersetoriais</w:t>
      </w:r>
    </w:p>
    <w:p w:rsidR="00000000" w:rsidDel="00000000" w:rsidP="00000000" w:rsidRDefault="00000000" w:rsidRPr="00000000" w14:paraId="0000007C">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quarto eixo responde a dois nós críticos articulados: a baixa oferta de Educação Permanente pela gestão municipal e a frágil integração intersetorial. Ambos remetem ao reconhecimento, já presente na análise, de que a efetividade do cuidado está condicionada a esforços intersetoriais pela garantia de direitos e à superação da omissão formativa do nível central.</w:t>
      </w:r>
    </w:p>
    <w:p w:rsidR="00000000" w:rsidDel="00000000" w:rsidP="00000000" w:rsidRDefault="00000000" w:rsidRPr="00000000" w14:paraId="0000007D">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3.5.1. Programa Municipal Permanente de Educação Permanente em Saúde (EPS)</w:t>
      </w:r>
    </w:p>
    <w:p w:rsidR="00000000" w:rsidDel="00000000" w:rsidP="00000000" w:rsidRDefault="00000000" w:rsidRPr="00000000" w14:paraId="0000007E">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resposta direta à constatação de “pouca oferta de qualificação pela gestão municipal”, institui-se um Programa Municipal Permanente de EPS, de oferta sistemática e regular pela SMS Goiânia, substituindo a lógica atual em que a formação é transferida à criatividade e à autonomia da gestão local. O programa contemplará, entre outras, as seguintes temáticas: saúde mental infantojuvenil, matriciamento, manejo de crises, notificação de violências e clínica ampliada, articulando-se ao Guia de Linha de Cuidado (Eixo III) como material técnico-pedagógico de referência.</w:t>
      </w:r>
    </w:p>
    <w:p w:rsidR="00000000" w:rsidDel="00000000" w:rsidP="00000000" w:rsidRDefault="00000000" w:rsidRPr="00000000" w14:paraId="0000007F">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EPS é compreendida, conforme Ceccim e Feuerwerker (2004), a partir do quadrilátero da formação para a área da saúde, que integra ensino, gestão, atenção e controle social. Sob essa perspectiva, a qualificação dos trabalhadores não se reduz à transmissão de conteúdos, mas se constitui como dispositivo de transformação das práticas, conectando a formação às necessidades reais do serviço e do território e ao protagonismo do controle social — no caso, o histórico Conselho Local de Saúde do CAPSij. Ao assumir a oferta perene de EPS como prioridade política, a gestão municipal supera a omissão denunciada no diagnóstico e reafirma a dimensão técnico-política indissociável do cuidado.</w:t>
      </w:r>
    </w:p>
    <w:p w:rsidR="00000000" w:rsidDel="00000000" w:rsidP="00000000" w:rsidRDefault="00000000" w:rsidRPr="00000000" w14:paraId="00000080">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3.5.2. Parcerias intersetoriais para a garantia de direitos</w:t>
      </w:r>
    </w:p>
    <w:p w:rsidR="00000000" w:rsidDel="00000000" w:rsidP="00000000" w:rsidRDefault="00000000" w:rsidRPr="00000000" w14:paraId="00000081">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clínica psicossocial, como aponta a análise, não alcança sozinha os elementos situados no plano da determinação social da saúde. Por isso, propõe-se um conjunto estruturado de parcerias intersetoriais, coordenadas pela gestão municipal:</w:t>
      </w:r>
    </w:p>
    <w:p w:rsidR="00000000" w:rsidDel="00000000" w:rsidP="00000000" w:rsidRDefault="00000000" w:rsidRPr="00000000" w14:paraId="00000082">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Saúde e Cultura:</w:t>
      </w:r>
      <w:r w:rsidDel="00000000" w:rsidR="00000000" w:rsidRPr="00000000">
        <w:rPr>
          <w:rFonts w:ascii="Times New Roman" w:cs="Times New Roman" w:eastAsia="Times New Roman" w:hAnsi="Times New Roman"/>
          <w:sz w:val="24"/>
          <w:szCs w:val="24"/>
          <w:rtl w:val="0"/>
        </w:rPr>
        <w:t xml:space="preserve"> oficinas, atividades artísticas e eventos comunitários que ampliem o repertório terapêutico e fortaleçam a produção de laço social e o potencial criativo dos adolescentes.</w:t>
      </w:r>
    </w:p>
    <w:p w:rsidR="00000000" w:rsidDel="00000000" w:rsidP="00000000" w:rsidRDefault="00000000" w:rsidRPr="00000000" w14:paraId="00000083">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Saúde e Educação:</w:t>
      </w:r>
      <w:r w:rsidDel="00000000" w:rsidR="00000000" w:rsidRPr="00000000">
        <w:rPr>
          <w:rFonts w:ascii="Times New Roman" w:cs="Times New Roman" w:eastAsia="Times New Roman" w:hAnsi="Times New Roman"/>
          <w:sz w:val="24"/>
          <w:szCs w:val="24"/>
          <w:rtl w:val="0"/>
        </w:rPr>
        <w:t xml:space="preserve"> parcerias com as escolas do território para identificação precoce do sofrimento psíquico, ações de prevenção e enfrentamento da patologização da infância, evitando que demandas escolares cotidianas sejam medicalizadas.</w:t>
      </w:r>
    </w:p>
    <w:p w:rsidR="00000000" w:rsidDel="00000000" w:rsidP="00000000" w:rsidRDefault="00000000" w:rsidRPr="00000000" w14:paraId="00000084">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Saúde e Assistência Social:</w:t>
      </w:r>
      <w:r w:rsidDel="00000000" w:rsidR="00000000" w:rsidRPr="00000000">
        <w:rPr>
          <w:rFonts w:ascii="Times New Roman" w:cs="Times New Roman" w:eastAsia="Times New Roman" w:hAnsi="Times New Roman"/>
          <w:sz w:val="24"/>
          <w:szCs w:val="24"/>
          <w:rtl w:val="0"/>
        </w:rPr>
        <w:t xml:space="preserve"> articulação com CRAS e CREAS para o suporte às famílias e o enfrentamento das vulnerabilidades estruturais que atravessam o sofrimento infantojuvenil.</w:t>
      </w:r>
    </w:p>
    <w:p w:rsidR="00000000" w:rsidDel="00000000" w:rsidP="00000000" w:rsidRDefault="00000000" w:rsidRPr="00000000" w14:paraId="00000085">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Saúde, Esporte e Lazer:</w:t>
      </w:r>
      <w:r w:rsidDel="00000000" w:rsidR="00000000" w:rsidRPr="00000000">
        <w:rPr>
          <w:rFonts w:ascii="Times New Roman" w:cs="Times New Roman" w:eastAsia="Times New Roman" w:hAnsi="Times New Roman"/>
          <w:sz w:val="24"/>
          <w:szCs w:val="24"/>
          <w:rtl w:val="0"/>
        </w:rPr>
        <w:t xml:space="preserve"> atividades físicas e recreativas no território, ampliando os espaços de pertencimento e socialização dos usuários.</w:t>
      </w:r>
    </w:p>
    <w:p w:rsidR="00000000" w:rsidDel="00000000" w:rsidP="00000000" w:rsidRDefault="00000000" w:rsidRPr="00000000" w14:paraId="00000086">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intersetorialidade fundamenta-se na compreensão do território-lugar como espaço de relações sociais dinâmicas (Santos, 2002), no qual as intervenções do CAPSij devem considerar as vulnerabilidades estruturais que determinam o sofrimento psíquico. Articular Saúde, Cultura, Educação, Assistência Social e Esporte é reconhecer, com Paim (2008), que a Reforma Sanitária é processo social inconcluso cuja efetivação depende da ação coordenada do Estado para além das fronteiras setoriais da saúde. As parcerias materializam, ainda, o princípio da integralidade e o compromisso com a garantia de direitos no escopo da RAPS.</w:t>
      </w:r>
    </w:p>
    <w:p w:rsidR="00000000" w:rsidDel="00000000" w:rsidP="00000000" w:rsidRDefault="00000000" w:rsidRPr="00000000" w14:paraId="00000087">
      <w:pPr>
        <w:pStyle w:val="Heading3"/>
        <w:keepNext w:val="0"/>
        <w:keepLines w:val="0"/>
        <w:spacing w:after="140" w:before="180" w:line="240" w:lineRule="auto"/>
        <w:rPr>
          <w:rFonts w:ascii="Times New Roman" w:cs="Times New Roman" w:eastAsia="Times New Roman" w:hAnsi="Times New Roman"/>
          <w:b w:val="1"/>
          <w:bCs w:val="1"/>
          <w:color w:val="000000"/>
          <w:sz w:val="24"/>
          <w:szCs w:val="24"/>
        </w:rPr>
      </w:pPr>
      <w:bookmarkStart w:colFirst="0" w:colLast="0" w:name="_yghjqsoqpba7" w:id="14"/>
      <w:bookmarkEnd w:id="14"/>
      <w:r w:rsidDel="00000000" w:rsidR="00000000" w:rsidRPr="00000000">
        <w:rPr>
          <w:rFonts w:ascii="Times New Roman" w:cs="Times New Roman" w:eastAsia="Times New Roman" w:hAnsi="Times New Roman"/>
          <w:b w:val="1"/>
          <w:bCs w:val="1"/>
          <w:color w:val="000000"/>
          <w:sz w:val="24"/>
          <w:szCs w:val="24"/>
          <w:rtl w:val="0"/>
        </w:rPr>
        <w:t xml:space="preserve">3.5.3. Supervisão clínico-institucional: parceria entre município, estado e universidade</w:t>
      </w:r>
    </w:p>
    <w:p w:rsidR="00000000" w:rsidDel="00000000" w:rsidP="00000000" w:rsidRDefault="00000000" w:rsidRPr="00000000" w14:paraId="00000088">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Propõe-se, por fim, a instituição de uma parceria entre o município, o estado e a universidade para o provimento de supervisão clínico-institucional regular na unidade. Esse dispositivo oferece à equipe um espaço sistemático de análise das práticas, dos processos de trabalho e dos impasses do cuidado, fortalecendo a clínica ampliada (Campos, 2003) e articulando-se ao quadrilátero da formação (Ceccim; Feuerwerker, 2004) ao integrar atenção, ensino, gestão e controle social. A cooperação tripartite distribui responsabilidades e custos entre os entes federativos e a academia, conferindo sustentabilidade à ação e aproximando a produção de conhecimento das necessidades concretas do serviço e do território. </w:t>
      </w:r>
      <w:r w:rsidDel="00000000" w:rsidR="00000000" w:rsidRPr="00000000">
        <w:rPr>
          <w:rtl w:val="0"/>
        </w:rPr>
        <w:tab/>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spacing w:after="160" w:before="2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Mecanismos de governança e sustentabilidade</w:t>
      </w:r>
    </w:p>
    <w:p w:rsidR="00000000" w:rsidDel="00000000" w:rsidP="00000000" w:rsidRDefault="00000000" w:rsidRPr="00000000" w14:paraId="0000008B">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sustentabilidade da Operação Rede Girassol depende de arranjos de governança que articulem os quatro eixos e assegurem a participação social em sua condução. Propõem-se os seguintes mecanismos:</w:t>
      </w:r>
    </w:p>
    <w:p w:rsidR="00000000" w:rsidDel="00000000" w:rsidP="00000000" w:rsidRDefault="00000000" w:rsidRPr="00000000" w14:paraId="0000008C">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Coordenação macrogerencial:</w:t>
      </w:r>
      <w:r w:rsidDel="00000000" w:rsidR="00000000" w:rsidRPr="00000000">
        <w:rPr>
          <w:rFonts w:ascii="Times New Roman" w:cs="Times New Roman" w:eastAsia="Times New Roman" w:hAnsi="Times New Roman"/>
          <w:sz w:val="24"/>
          <w:szCs w:val="24"/>
          <w:rtl w:val="0"/>
        </w:rPr>
        <w:t xml:space="preserve"> a Diretoria de Atenção Secundária e Urgência e Emergência da SMS Goiânia, em articulação com a Gerência de Saúde Mental e o Distrito Sanitário Oeste, coordenará a implementação, monitorará o Painel de Indicadores e responderá pela alocação de recursos para a sede própria, a ampliação do quadro e a Guarda Municipal.</w:t>
      </w:r>
    </w:p>
    <w:p w:rsidR="00000000" w:rsidDel="00000000" w:rsidP="00000000" w:rsidRDefault="00000000" w:rsidRPr="00000000" w14:paraId="0000008D">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Pactuação de rede:</w:t>
      </w:r>
      <w:r w:rsidDel="00000000" w:rsidR="00000000" w:rsidRPr="00000000">
        <w:rPr>
          <w:rFonts w:ascii="Times New Roman" w:cs="Times New Roman" w:eastAsia="Times New Roman" w:hAnsi="Times New Roman"/>
          <w:sz w:val="24"/>
          <w:szCs w:val="24"/>
          <w:rtl w:val="0"/>
        </w:rPr>
        <w:t xml:space="preserve"> instituição de instância periódica de pactuação entre o CAPSij, as ESF dos Distritos Oeste e Noroeste, a rede de urgência e os setores parceiros (Cultura, Educação, Assistência Social, Esporte), garantindo a corresponsabilização e a revisão contínua dos fluxos.</w:t>
      </w:r>
    </w:p>
    <w:p w:rsidR="00000000" w:rsidDel="00000000" w:rsidP="00000000" w:rsidRDefault="00000000" w:rsidRPr="00000000" w14:paraId="0000008E">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Participação e controle social:</w:t>
      </w:r>
      <w:r w:rsidDel="00000000" w:rsidR="00000000" w:rsidRPr="00000000">
        <w:rPr>
          <w:rFonts w:ascii="Times New Roman" w:cs="Times New Roman" w:eastAsia="Times New Roman" w:hAnsi="Times New Roman"/>
          <w:sz w:val="24"/>
          <w:szCs w:val="24"/>
          <w:rtl w:val="0"/>
        </w:rPr>
        <w:t xml:space="preserve"> fortalecimento do Conselho Local de Saúde do CAPSij como espaço de cogestão e de acompanhamento da proposta, em coerência com a defesa da participação social como pilar da Reforma Sanitária (Paim, 2008). A condução da intervenção deve submeter-se ao escrutínio do controle social, evitando que a reestruturação se converta em medida tecnocrática imposta de cima para baixo.</w:t>
      </w:r>
    </w:p>
    <w:p w:rsidR="00000000" w:rsidDel="00000000" w:rsidP="00000000" w:rsidRDefault="00000000" w:rsidRPr="00000000" w14:paraId="0000008F">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Compromisso com a determinação social:</w:t>
      </w:r>
      <w:r w:rsidDel="00000000" w:rsidR="00000000" w:rsidRPr="00000000">
        <w:rPr>
          <w:rFonts w:ascii="Times New Roman" w:cs="Times New Roman" w:eastAsia="Times New Roman" w:hAnsi="Times New Roman"/>
          <w:sz w:val="24"/>
          <w:szCs w:val="24"/>
          <w:rtl w:val="0"/>
        </w:rPr>
        <w:t xml:space="preserve"> a governança orienta-se pela superação do gerencialismo e das metas estritamente quantitativas (Breilh, 2006), avaliando o sucesso da proposta não pelo volume de procedimentos, mas pela ampliação efetiva do acesso, da integralidade e da equidade no cuidado infantojuvenil.</w:t>
      </w:r>
    </w:p>
    <w:p w:rsidR="00000000" w:rsidDel="00000000" w:rsidP="00000000" w:rsidRDefault="00000000" w:rsidRPr="00000000" w14:paraId="00000090">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mecanismos asseguram que a proposta seja conduzida como política em ato (Merhy, 2002) — sustentada por decisões e prioridades explícitas — e não como mero documento normativo desprovido de efetividade na micropolítica do trabalho.</w:t>
      </w:r>
    </w:p>
    <w:p w:rsidR="00000000" w:rsidDel="00000000" w:rsidP="00000000" w:rsidRDefault="00000000" w:rsidRPr="00000000" w14:paraId="00000091">
      <w:pPr>
        <w:pStyle w:val="Heading2"/>
        <w:keepNext w:val="0"/>
        <w:keepLines w:val="0"/>
        <w:spacing w:after="160" w:before="2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Cronograma de implementação</w:t>
      </w:r>
    </w:p>
    <w:p w:rsidR="00000000" w:rsidDel="00000000" w:rsidP="00000000" w:rsidRDefault="00000000" w:rsidRPr="00000000" w14:paraId="00000092">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é proposta em três horizontes temporais, compatíveis com a realidade orçamentária e administrativa do município de Goiânia, observando que ações de baixo custo e alto impacto sejam priorizadas no curto prazo, enquanto as intervenções de maior complexidade estrutural se distribuem ao longo do médio e do longo prazo.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9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Horizonte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9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Ações prioritárias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Curto prazo (0–6 meses)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vAlign w:val="top"/>
          </w:tcPr>
          <w:p w:rsidR="00000000" w:rsidDel="00000000" w:rsidP="00000000" w:rsidRDefault="00000000" w:rsidRPr="00000000" w14:paraId="0000009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Chamamento dos aprovados em concurso público vigente; lotação da Guarda Municipal fixa; institucionalização do Fluxograma Analisador e do Protocolo de Matriciamento; lançamento do Programa Municipal de EPS e distribuição do Guia de Linha de Cuidado; pactuação inicial das parcerias intersetoriais.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vAlign w:val="top"/>
          </w:tcPr>
          <w:p w:rsidR="00000000" w:rsidDel="00000000" w:rsidP="00000000" w:rsidRDefault="00000000" w:rsidRPr="00000000" w14:paraId="0000009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Médio prazo (6–18 meses)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Atualização e integração do prontuário eletrônico com a RAPS e a APS; consolidação do Painel de Indicadores alimentado pelo novo sistema; ampliação progressiva do quadro multiprofissional e criação das novas categorias (educador físico, arteterapeutas, fonoaudiólogos); expansão das ações intersetoriais e do matriciamento até a cobertura plena dos Distritos Oeste e Noroeste.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Longo prazo (18–36 meses)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vAlign w:val="top"/>
          </w:tcPr>
          <w:p w:rsidR="00000000" w:rsidDel="00000000" w:rsidP="00000000" w:rsidRDefault="00000000" w:rsidRPr="00000000" w14:paraId="0000009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Construção e inauguração da sede própria adequada ao público infantojuvenil no território adscrito; avaliação global da Operação Rede Girassol pelos indicadores pactuados e pelo Conselho Local de Saúde; institucionalização permanente dos arranjos de governança e revisão das metas à luz da determinação social da saúde.</w:t>
            </w:r>
            <w:r w:rsidDel="00000000" w:rsidR="00000000" w:rsidRPr="00000000">
              <w:rPr>
                <w:rtl w:val="0"/>
              </w:rPr>
            </w:r>
          </w:p>
        </w:tc>
      </w:tr>
    </w:tbl>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escalonamento reconhece, com Paim (2008), o caráter processual e inconcluso da Reforma Sanitária: a transformação do serviço não se realiza por ato isolado, mas por um percurso de disputas, pactuações e conquistas progressivas, conduzido com a participação dos trabalhadores, dos usuários e do controle social.</w:t>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firstLine="720"/>
        <w:jc w:val="both"/>
        <w:rPr>
          <w:rFonts w:ascii="Times New Roman" w:cs="Times New Roman" w:eastAsia="Times New Roman" w:hAnsi="Times New Roman"/>
          <w:color w:val="1f1f1f"/>
          <w:sz w:val="24"/>
          <w:szCs w:val="24"/>
        </w:rPr>
      </w:pPr>
      <w:bookmarkStart w:colFirst="0" w:colLast="0" w:name="_zfof7f4vkae9" w:id="15"/>
      <w:bookmarkEnd w:id="15"/>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right"/>
        <w:rPr/>
      </w:pPr>
      <w:bookmarkStart w:colFirst="0" w:colLast="0" w:name="_u4ve5st5rf48" w:id="16"/>
      <w:bookmarkEnd w:id="16"/>
      <w:r w:rsidDel="00000000" w:rsidR="00000000" w:rsidRPr="00000000">
        <w:rPr>
          <w:rFonts w:ascii="Times New Roman" w:cs="Times New Roman" w:eastAsia="Times New Roman" w:hAnsi="Times New Roman"/>
          <w:color w:val="1f1f1f"/>
          <w:sz w:val="24"/>
          <w:szCs w:val="24"/>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REFERÊNCIAS BIBLIOGRÁFICAS</w:t>
      </w:r>
    </w:p>
    <w:p w:rsidR="00000000" w:rsidDel="00000000" w:rsidP="00000000" w:rsidRDefault="00000000" w:rsidRPr="00000000" w14:paraId="000000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ALBUQUERQUE, Guilherme Souza Cavalcanti de; SILVA, Marcelo José de Souza. Sobre a saúde, os determinantes da saúde e a determinação social da saúde. </w:t>
      </w:r>
      <w:r w:rsidDel="00000000" w:rsidR="00000000" w:rsidRPr="00000000">
        <w:rPr>
          <w:rFonts w:ascii="Times New Roman" w:cs="Times New Roman" w:eastAsia="Times New Roman" w:hAnsi="Times New Roman"/>
          <w:b w:val="1"/>
          <w:bCs w:val="1"/>
          <w:sz w:val="24"/>
          <w:szCs w:val="24"/>
          <w:rtl w:val="0"/>
        </w:rPr>
        <w:t xml:space="preserve">Saúde em Debate</w:t>
      </w:r>
      <w:r w:rsidDel="00000000" w:rsidR="00000000" w:rsidRPr="00000000">
        <w:rPr>
          <w:rFonts w:ascii="Times New Roman" w:cs="Times New Roman" w:eastAsia="Times New Roman" w:hAnsi="Times New Roman"/>
          <w:sz w:val="24"/>
          <w:szCs w:val="24"/>
          <w:rtl w:val="0"/>
        </w:rPr>
        <w:t xml:space="preserve">, Rio de Janeiro, v. 38, n. 103, p. 953–965, out./dez. 2014</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[Lei Orgânica da Saúde]. </w:t>
      </w:r>
      <w:r w:rsidDel="00000000" w:rsidR="00000000" w:rsidRPr="00000000">
        <w:rPr>
          <w:rFonts w:ascii="Times New Roman" w:cs="Times New Roman" w:eastAsia="Times New Roman" w:hAnsi="Times New Roman"/>
          <w:b w:val="1"/>
          <w:bCs w:val="1"/>
          <w:sz w:val="24"/>
          <w:szCs w:val="24"/>
          <w:rtl w:val="0"/>
        </w:rPr>
        <w:t xml:space="preserve">Lei nº 8.080, de 19 de setembro de 1990</w:t>
      </w:r>
      <w:r w:rsidDel="00000000" w:rsidR="00000000" w:rsidRPr="00000000">
        <w:rPr>
          <w:rFonts w:ascii="Times New Roman" w:cs="Times New Roman" w:eastAsia="Times New Roman" w:hAnsi="Times New Roman"/>
          <w:sz w:val="24"/>
          <w:szCs w:val="24"/>
          <w:rtl w:val="0"/>
        </w:rPr>
        <w:t xml:space="preserve">. Dispõe sobre as condições para a promoção, proteção e recuperação da saúde, a organização e o funcionamento dos serviços correspondentes e dá outras providências. Brasília, DF: Presidência da República, 1990.</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w:t>
      </w:r>
      <w:r w:rsidDel="00000000" w:rsidR="00000000" w:rsidRPr="00000000">
        <w:rPr>
          <w:rFonts w:ascii="Times New Roman" w:cs="Times New Roman" w:eastAsia="Times New Roman" w:hAnsi="Times New Roman"/>
          <w:b w:val="1"/>
          <w:bCs w:val="1"/>
          <w:sz w:val="24"/>
          <w:szCs w:val="24"/>
          <w:rtl w:val="0"/>
        </w:rPr>
        <w:t xml:space="preserve">Portaria de Consolidação GM/MS nº 3, de 28 de setembro de 2017</w:t>
      </w:r>
      <w:r w:rsidDel="00000000" w:rsidR="00000000" w:rsidRPr="00000000">
        <w:rPr>
          <w:rFonts w:ascii="Times New Roman" w:cs="Times New Roman" w:eastAsia="Times New Roman" w:hAnsi="Times New Roman"/>
          <w:sz w:val="24"/>
          <w:szCs w:val="24"/>
          <w:rtl w:val="0"/>
        </w:rPr>
        <w:t xml:space="preserve">. Consolidação das normas sobre as redes do Sistema Único de Saúde. Brasília, DF: Ministério da Saúde, 2017a.</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w:t>
      </w:r>
      <w:r w:rsidDel="00000000" w:rsidR="00000000" w:rsidRPr="00000000">
        <w:rPr>
          <w:rFonts w:ascii="Times New Roman" w:cs="Times New Roman" w:eastAsia="Times New Roman" w:hAnsi="Times New Roman"/>
          <w:b w:val="1"/>
          <w:bCs w:val="1"/>
          <w:sz w:val="24"/>
          <w:szCs w:val="24"/>
          <w:rtl w:val="0"/>
        </w:rPr>
        <w:t xml:space="preserve">Portaria de Consolidação GM/MS nº 6, de 28 de setembro de 2017</w:t>
      </w:r>
      <w:r w:rsidDel="00000000" w:rsidR="00000000" w:rsidRPr="00000000">
        <w:rPr>
          <w:rFonts w:ascii="Times New Roman" w:cs="Times New Roman" w:eastAsia="Times New Roman" w:hAnsi="Times New Roman"/>
          <w:sz w:val="24"/>
          <w:szCs w:val="24"/>
          <w:rtl w:val="0"/>
        </w:rPr>
        <w:t xml:space="preserve">. Consolidação das normas sobre o financiamento e a transferência dos recursos federais para as ações e os serviços de saúde do Sistema Único de Saúde. Brasília, DF: Ministério da Saúde, 2017b.</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w:t>
      </w:r>
      <w:r w:rsidDel="00000000" w:rsidR="00000000" w:rsidRPr="00000000">
        <w:rPr>
          <w:rFonts w:ascii="Times New Roman" w:cs="Times New Roman" w:eastAsia="Times New Roman" w:hAnsi="Times New Roman"/>
          <w:b w:val="1"/>
          <w:bCs w:val="1"/>
          <w:sz w:val="24"/>
          <w:szCs w:val="24"/>
          <w:rtl w:val="0"/>
        </w:rPr>
        <w:t xml:space="preserve">Portaria GM/MS nº 660, de 5 de junho de 2023</w:t>
      </w:r>
      <w:r w:rsidDel="00000000" w:rsidR="00000000" w:rsidRPr="00000000">
        <w:rPr>
          <w:rFonts w:ascii="Times New Roman" w:cs="Times New Roman" w:eastAsia="Times New Roman" w:hAnsi="Times New Roman"/>
          <w:sz w:val="24"/>
          <w:szCs w:val="24"/>
          <w:rtl w:val="0"/>
        </w:rPr>
        <w:t xml:space="preserve">. Altera a Portaria de Consolidação GM/MS nº 6, de 28 de setembro de 2017, para recompor os valores dos incentivos financeiros de custeio mensal dos Centros de Atenção Psicossocial (CAPS) e da transição dos Centros de Atenção Psicossocial (CAPS) e Serviços Residenciais Terapêuticos (SRT). Brasília, DF: Ministério da Saúde, 2023. Disponível em:</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https://www.in.gov.br/</w:t>
        </w:r>
      </w:hyperlink>
      <w:r w:rsidDel="00000000" w:rsidR="00000000" w:rsidRPr="00000000">
        <w:rPr>
          <w:rFonts w:ascii="Times New Roman" w:cs="Times New Roman" w:eastAsia="Times New Roman" w:hAnsi="Times New Roman"/>
          <w:sz w:val="24"/>
          <w:szCs w:val="24"/>
          <w:rtl w:val="0"/>
        </w:rPr>
        <w:t xml:space="preserve">. Acesso em: 25 jun. 2026.</w:t>
      </w:r>
    </w:p>
    <w:p w:rsidR="00000000" w:rsidDel="00000000" w:rsidP="00000000" w:rsidRDefault="00000000" w:rsidRPr="00000000" w14:paraId="000000A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BREILH, Jai</w:t>
      </w:r>
      <w:r w:rsidDel="00000000" w:rsidR="00000000" w:rsidRPr="00000000">
        <w:rPr>
          <w:rFonts w:ascii="Times New Roman" w:cs="Times New Roman" w:eastAsia="Times New Roman" w:hAnsi="Times New Roman"/>
          <w:sz w:val="24"/>
          <w:szCs w:val="24"/>
          <w:rtl w:val="0"/>
        </w:rPr>
        <w:t xml:space="preserve">me. </w:t>
      </w:r>
      <w:r w:rsidDel="00000000" w:rsidR="00000000" w:rsidRPr="00000000">
        <w:rPr>
          <w:rFonts w:ascii="Times New Roman" w:cs="Times New Roman" w:eastAsia="Times New Roman" w:hAnsi="Times New Roman"/>
          <w:b w:val="1"/>
          <w:bCs w:val="1"/>
          <w:sz w:val="24"/>
          <w:szCs w:val="24"/>
          <w:rtl w:val="0"/>
        </w:rPr>
        <w:t xml:space="preserve">Epidemiologia crítica</w:t>
      </w:r>
      <w:r w:rsidDel="00000000" w:rsidR="00000000" w:rsidRPr="00000000">
        <w:rPr>
          <w:rFonts w:ascii="Times New Roman" w:cs="Times New Roman" w:eastAsia="Times New Roman" w:hAnsi="Times New Roman"/>
          <w:sz w:val="24"/>
          <w:szCs w:val="24"/>
          <w:rtl w:val="0"/>
        </w:rPr>
        <w:t xml:space="preserve">: ciência emancipadora e interculturalidade. Rio de Janeiro: FIOCRUZ, 2006. </w:t>
      </w:r>
    </w:p>
    <w:p w:rsidR="00000000" w:rsidDel="00000000" w:rsidP="00000000" w:rsidRDefault="00000000" w:rsidRPr="00000000" w14:paraId="000000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Gastão Wagner de Sousa. Clínica ampliada, desintoxicação da herança biomédica e produção de autonomia. </w:t>
      </w:r>
      <w:r w:rsidDel="00000000" w:rsidR="00000000" w:rsidRPr="00000000">
        <w:rPr>
          <w:rFonts w:ascii="Times New Roman" w:cs="Times New Roman" w:eastAsia="Times New Roman" w:hAnsi="Times New Roman"/>
          <w:b w:val="1"/>
          <w:bCs w:val="1"/>
          <w:sz w:val="24"/>
          <w:szCs w:val="24"/>
          <w:rtl w:val="0"/>
        </w:rPr>
        <w:t xml:space="preserve">Ciência &amp; Saúde Coletiva</w:t>
      </w:r>
      <w:r w:rsidDel="00000000" w:rsidR="00000000" w:rsidRPr="00000000">
        <w:rPr>
          <w:rFonts w:ascii="Times New Roman" w:cs="Times New Roman" w:eastAsia="Times New Roman" w:hAnsi="Times New Roman"/>
          <w:sz w:val="24"/>
          <w:szCs w:val="24"/>
          <w:rtl w:val="0"/>
        </w:rPr>
        <w:t xml:space="preserve">, v. 8, p. 569-592, 2003. </w:t>
      </w:r>
    </w:p>
    <w:p w:rsidR="00000000" w:rsidDel="00000000" w:rsidP="00000000" w:rsidRDefault="00000000" w:rsidRPr="00000000" w14:paraId="000000A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CECCIM, Ricardo Burg; FEUERWERKER, Laura Camargo Macruz. </w:t>
      </w:r>
      <w:r w:rsidDel="00000000" w:rsidR="00000000" w:rsidRPr="00000000">
        <w:rPr>
          <w:rFonts w:ascii="Times New Roman" w:cs="Times New Roman" w:eastAsia="Times New Roman" w:hAnsi="Times New Roman"/>
          <w:b w:val="1"/>
          <w:bCs w:val="1"/>
          <w:sz w:val="24"/>
          <w:szCs w:val="24"/>
          <w:rtl w:val="0"/>
        </w:rPr>
        <w:t xml:space="preserve">O quadrilátero da formação para a área da saúde: ensino, gestão, atenção e controle social</w:t>
      </w:r>
      <w:r w:rsidDel="00000000" w:rsidR="00000000" w:rsidRPr="00000000">
        <w:rPr>
          <w:rFonts w:ascii="Times New Roman" w:cs="Times New Roman" w:eastAsia="Times New Roman" w:hAnsi="Times New Roman"/>
          <w:sz w:val="24"/>
          <w:szCs w:val="24"/>
          <w:rtl w:val="0"/>
        </w:rPr>
        <w:t xml:space="preserve">. Physis: Revista de Saúde Coletiva, v. 14, n. 1, p. 41-65, 2004.</w:t>
      </w:r>
    </w:p>
    <w:p w:rsidR="00000000" w:rsidDel="00000000" w:rsidP="00000000" w:rsidRDefault="00000000" w:rsidRPr="00000000" w14:paraId="000000A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IGLESIAS, Alexandra; AVELLAR, Luziane Zacché. Matriciamento em saúde mental: práticas e concepções trazidas por equipes de referência, matriciadores e gestores. </w:t>
      </w:r>
      <w:r w:rsidDel="00000000" w:rsidR="00000000" w:rsidRPr="00000000">
        <w:rPr>
          <w:rFonts w:ascii="Times New Roman" w:cs="Times New Roman" w:eastAsia="Times New Roman" w:hAnsi="Times New Roman"/>
          <w:b w:val="1"/>
          <w:bCs w:val="1"/>
          <w:sz w:val="24"/>
          <w:szCs w:val="24"/>
          <w:rtl w:val="0"/>
        </w:rPr>
        <w:t xml:space="preserve">Ciência &amp; Saúde Coletiva</w:t>
      </w:r>
      <w:r w:rsidDel="00000000" w:rsidR="00000000" w:rsidRPr="00000000">
        <w:rPr>
          <w:rFonts w:ascii="Times New Roman" w:cs="Times New Roman" w:eastAsia="Times New Roman" w:hAnsi="Times New Roman"/>
          <w:sz w:val="24"/>
          <w:szCs w:val="24"/>
          <w:rtl w:val="0"/>
        </w:rPr>
        <w:t xml:space="preserve">, Rio de Janeiro, v. 24, n. 4, p. 1247–1254, 2019. </w:t>
      </w:r>
    </w:p>
    <w:p w:rsidR="00000000" w:rsidDel="00000000" w:rsidP="00000000" w:rsidRDefault="00000000" w:rsidRPr="00000000" w14:paraId="000000B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MERHY, Emerson Elias.</w:t>
      </w:r>
      <w:r w:rsidDel="00000000" w:rsidR="00000000" w:rsidRPr="00000000">
        <w:rPr>
          <w:rFonts w:ascii="Times New Roman" w:cs="Times New Roman" w:eastAsia="Times New Roman" w:hAnsi="Times New Roman"/>
          <w:b w:val="1"/>
          <w:bCs w:val="1"/>
          <w:sz w:val="24"/>
          <w:szCs w:val="24"/>
          <w:rtl w:val="0"/>
        </w:rPr>
        <w:t xml:space="preserve"> Saúde: a cartografia do trabalho vivo.</w:t>
      </w:r>
      <w:r w:rsidDel="00000000" w:rsidR="00000000" w:rsidRPr="00000000">
        <w:rPr>
          <w:rFonts w:ascii="Times New Roman" w:cs="Times New Roman" w:eastAsia="Times New Roman" w:hAnsi="Times New Roman"/>
          <w:sz w:val="24"/>
          <w:szCs w:val="24"/>
          <w:rtl w:val="0"/>
        </w:rPr>
        <w:t xml:space="preserve"> São Paulo: Hucitec, 2002.</w:t>
      </w:r>
    </w:p>
    <w:p w:rsidR="00000000" w:rsidDel="00000000" w:rsidP="00000000" w:rsidRDefault="00000000" w:rsidRPr="00000000" w14:paraId="000000B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POPULAR.</w:t>
      </w:r>
      <w:r w:rsidDel="00000000" w:rsidR="00000000" w:rsidRPr="00000000">
        <w:rPr>
          <w:rFonts w:ascii="Times New Roman" w:cs="Times New Roman" w:eastAsia="Times New Roman" w:hAnsi="Times New Roman"/>
          <w:b w:val="1"/>
          <w:bCs w:val="1"/>
          <w:sz w:val="24"/>
          <w:szCs w:val="24"/>
          <w:rtl w:val="0"/>
        </w:rPr>
        <w:t xml:space="preserve"> De periferia, Região Noroeste já é quase uma cidade média</w:t>
      </w:r>
      <w:r w:rsidDel="00000000" w:rsidR="00000000" w:rsidRPr="00000000">
        <w:rPr>
          <w:rFonts w:ascii="Times New Roman" w:cs="Times New Roman" w:eastAsia="Times New Roman" w:hAnsi="Times New Roman"/>
          <w:sz w:val="24"/>
          <w:szCs w:val="24"/>
          <w:rtl w:val="0"/>
        </w:rPr>
        <w:t xml:space="preserve">. Goiânia, 15 jun. 2014. Disponível em: https://opopular.com.br. Acesso em: 24 maio 2024.</w:t>
      </w:r>
    </w:p>
    <w:p w:rsidR="00000000" w:rsidDel="00000000" w:rsidP="00000000" w:rsidRDefault="00000000" w:rsidRPr="00000000" w14:paraId="000000B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w:t>
      </w:r>
      <w:r w:rsidDel="00000000" w:rsidR="00000000" w:rsidRPr="00000000">
        <w:rPr>
          <w:rFonts w:ascii="Times New Roman" w:cs="Times New Roman" w:eastAsia="Times New Roman" w:hAnsi="Times New Roman"/>
          <w:b w:val="1"/>
          <w:bCs w:val="1"/>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(GPT-5.5) [modelo de linguagem]. </w:t>
      </w:r>
      <w:r w:rsidDel="00000000" w:rsidR="00000000" w:rsidRPr="00000000">
        <w:rPr>
          <w:rFonts w:ascii="Times New Roman" w:cs="Times New Roman" w:eastAsia="Times New Roman" w:hAnsi="Times New Roman"/>
          <w:sz w:val="24"/>
          <w:szCs w:val="24"/>
          <w:rtl w:val="0"/>
        </w:rPr>
        <w:t xml:space="preserve">Disponível em:</w:t>
      </w:r>
      <w:hyperlink r:id="rId9">
        <w:r w:rsidDel="00000000" w:rsidR="00000000" w:rsidRPr="00000000">
          <w:rPr>
            <w:rFonts w:ascii="Times New Roman" w:cs="Times New Roman" w:eastAsia="Times New Roman" w:hAnsi="Times New Roman"/>
            <w:sz w:val="24"/>
            <w:szCs w:val="24"/>
            <w:rtl w:val="0"/>
          </w:rPr>
          <w:t xml:space="preserve"> &lt;</w:t>
        </w:r>
      </w:hyperlink>
      <w:hyperlink r:id="rId10">
        <w:r w:rsidDel="00000000" w:rsidR="00000000" w:rsidRPr="00000000">
          <w:rPr>
            <w:rFonts w:ascii="Times New Roman" w:cs="Times New Roman" w:eastAsia="Times New Roman" w:hAnsi="Times New Roman"/>
            <w:sz w:val="24"/>
            <w:szCs w:val="24"/>
            <w:rtl w:val="0"/>
          </w:rPr>
          <w:t xml:space="preserve">https://chatgpt.com</w:t>
        </w:r>
      </w:hyperlink>
      <w:r w:rsidDel="00000000" w:rsidR="00000000" w:rsidRPr="00000000">
        <w:rPr>
          <w:rFonts w:ascii="Times New Roman" w:cs="Times New Roman" w:eastAsia="Times New Roman" w:hAnsi="Times New Roman"/>
          <w:sz w:val="24"/>
          <w:szCs w:val="24"/>
          <w:rtl w:val="0"/>
        </w:rPr>
        <w:t xml:space="preserve">. Acesso em: 20 de junho de 2026.</w:t>
      </w:r>
    </w:p>
    <w:p w:rsidR="00000000" w:rsidDel="00000000" w:rsidP="00000000" w:rsidRDefault="00000000" w:rsidRPr="00000000" w14:paraId="000000B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PAIM, Jairnilson Silva. R</w:t>
      </w:r>
      <w:r w:rsidDel="00000000" w:rsidR="00000000" w:rsidRPr="00000000">
        <w:rPr>
          <w:rFonts w:ascii="Times New Roman" w:cs="Times New Roman" w:eastAsia="Times New Roman" w:hAnsi="Times New Roman"/>
          <w:b w:val="1"/>
          <w:bCs w:val="1"/>
          <w:sz w:val="24"/>
          <w:szCs w:val="24"/>
          <w:rtl w:val="0"/>
        </w:rPr>
        <w:t xml:space="preserve">eforma Sanitária Brasileira</w:t>
      </w:r>
      <w:r w:rsidDel="00000000" w:rsidR="00000000" w:rsidRPr="00000000">
        <w:rPr>
          <w:rFonts w:ascii="Times New Roman" w:cs="Times New Roman" w:eastAsia="Times New Roman" w:hAnsi="Times New Roman"/>
          <w:sz w:val="24"/>
          <w:szCs w:val="24"/>
          <w:rtl w:val="0"/>
        </w:rPr>
        <w:t xml:space="preserve">: contribuição para a compreensão e crítica. Salvador: Edufba, 2008.</w:t>
      </w:r>
    </w:p>
    <w:p w:rsidR="00000000" w:rsidDel="00000000" w:rsidP="00000000" w:rsidRDefault="00000000" w:rsidRPr="00000000" w14:paraId="000000B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Milton.</w:t>
      </w:r>
      <w:r w:rsidDel="00000000" w:rsidR="00000000" w:rsidRPr="00000000">
        <w:rPr>
          <w:rFonts w:ascii="Times New Roman" w:cs="Times New Roman" w:eastAsia="Times New Roman" w:hAnsi="Times New Roman"/>
          <w:b w:val="1"/>
          <w:bCs w:val="1"/>
          <w:sz w:val="24"/>
          <w:szCs w:val="24"/>
          <w:rtl w:val="0"/>
        </w:rPr>
        <w:t xml:space="preserve"> O Espaço do Cidadão.</w:t>
      </w:r>
      <w:r w:rsidDel="00000000" w:rsidR="00000000" w:rsidRPr="00000000">
        <w:rPr>
          <w:rFonts w:ascii="Times New Roman" w:cs="Times New Roman" w:eastAsia="Times New Roman" w:hAnsi="Times New Roman"/>
          <w:sz w:val="24"/>
          <w:szCs w:val="24"/>
          <w:rtl w:val="0"/>
        </w:rPr>
        <w:t xml:space="preserve"> São Paulo: EdUSP, 2002.</w:t>
      </w:r>
    </w:p>
    <w:p w:rsidR="00000000" w:rsidDel="00000000" w:rsidP="00000000" w:rsidRDefault="00000000" w:rsidRPr="00000000" w14:paraId="000000B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VIGOTSKI, L. S. </w:t>
      </w:r>
      <w:r w:rsidDel="00000000" w:rsidR="00000000" w:rsidRPr="00000000">
        <w:rPr>
          <w:rFonts w:ascii="Times New Roman" w:cs="Times New Roman" w:eastAsia="Times New Roman" w:hAnsi="Times New Roman"/>
          <w:b w:val="1"/>
          <w:bCs w:val="1"/>
          <w:sz w:val="24"/>
          <w:szCs w:val="24"/>
          <w:rtl w:val="0"/>
        </w:rPr>
        <w:t xml:space="preserve">A formação social da mente</w:t>
      </w:r>
      <w:r w:rsidDel="00000000" w:rsidR="00000000" w:rsidRPr="00000000">
        <w:rPr>
          <w:rFonts w:ascii="Times New Roman" w:cs="Times New Roman" w:eastAsia="Times New Roman" w:hAnsi="Times New Roman"/>
          <w:sz w:val="24"/>
          <w:szCs w:val="24"/>
          <w:rtl w:val="0"/>
        </w:rPr>
        <w:t xml:space="preserve">: o desenvolvimento dos processos psicológicos superiores. 7. ed. São Paulo: Martins Fontes, 2007.</w:t>
      </w:r>
    </w:p>
    <w:p w:rsidR="00000000" w:rsidDel="00000000" w:rsidP="00000000" w:rsidRDefault="00000000" w:rsidRPr="00000000" w14:paraId="000000B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VIGOTSKI, L. S. </w:t>
      </w:r>
      <w:r w:rsidDel="00000000" w:rsidR="00000000" w:rsidRPr="00000000">
        <w:rPr>
          <w:rFonts w:ascii="Times New Roman" w:cs="Times New Roman" w:eastAsia="Times New Roman" w:hAnsi="Times New Roman"/>
          <w:b w:val="1"/>
          <w:bCs w:val="1"/>
          <w:sz w:val="24"/>
          <w:szCs w:val="24"/>
          <w:rtl w:val="0"/>
        </w:rPr>
        <w:t xml:space="preserve">A psicologia concreta do homem</w:t>
      </w:r>
      <w:r w:rsidDel="00000000" w:rsidR="00000000" w:rsidRPr="00000000">
        <w:rPr>
          <w:rFonts w:ascii="Times New Roman" w:cs="Times New Roman" w:eastAsia="Times New Roman" w:hAnsi="Times New Roman"/>
          <w:sz w:val="24"/>
          <w:szCs w:val="24"/>
          <w:rtl w:val="0"/>
        </w:rPr>
        <w:t xml:space="preserve">. São Paulo: Expressão Popular, 2021.</w:t>
      </w:r>
      <w:r w:rsidDel="00000000" w:rsidR="00000000" w:rsidRPr="00000000">
        <w:rPr>
          <w:rtl w:val="0"/>
        </w:rPr>
      </w:r>
    </w:p>
    <w:sectPr>
      <w:headerReference r:id="rId11" w:type="default"/>
      <w:headerReference r:id="rId12" w:type="first"/>
      <w:footerReference r:id="rId13" w:type="first"/>
      <w:pgSz w:h="16834" w:w="11909" w:orient="portrait"/>
      <w:pgMar w:bottom="1133.8582677165355" w:top="1700.7874015748032"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right"/>
      <w:rPr>
        <w:rFonts w:ascii="Times New Roman" w:cs="Times New Roman" w:eastAsia="Times New Roman" w:hAnsi="Times New Roman"/>
        <w:sz w:val="20"/>
        <w:szCs w:val="20"/>
      </w:rPr>
    </w:pPr>
    <w:bookmarkStart w:colFirst="0" w:colLast="0" w:name="_bjel6wresj79" w:id="17"/>
    <w:bookmarkEnd w:id="17"/>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200" w:line="276" w:lineRule="auto"/>
      <w:jc w:val="center"/>
      <w:rPr/>
    </w:pPr>
    <w:r w:rsidDel="00000000" w:rsidR="00000000" w:rsidRPr="00000000">
      <w:rPr>
        <w:rFonts w:ascii="Calibri" w:cs="Calibri" w:eastAsia="Calibri" w:hAnsi="Calibri"/>
      </w:rPr>
      <w:drawing>
        <wp:inline distB="114300" distT="114300" distL="114300" distR="114300">
          <wp:extent cx="4113375" cy="1260699"/>
          <wp:effectExtent b="0" l="0" r="0" t="0"/>
          <wp:docPr id="2" name="image1.png"/>
          <a:graphic>
            <a:graphicData uri="http://schemas.openxmlformats.org/drawingml/2006/picture">
              <pic:pic>
                <pic:nvPicPr>
                  <pic:cNvPr id="0" name="image1.png"/>
                  <pic:cNvPicPr preferRelativeResize="0"/>
                </pic:nvPicPr>
                <pic:blipFill>
                  <a:blip r:embed="rId1"/>
                  <a:srcRect b="0" l="8694" r="9222" t="0"/>
                  <a:stretch>
                    <a:fillRect/>
                  </a:stretch>
                </pic:blipFill>
                <pic:spPr>
                  <a:xfrm>
                    <a:off x="0" y="0"/>
                    <a:ext cx="4113375" cy="126069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chatgpt.com?utm_source=chatgpt.com"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utm_source=chatgpt.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google.com/search?q=https%3A%2F%2Fwww.in.gov.br%2F" TargetMode="External"/><Relationship Id="rId8" Type="http://schemas.openxmlformats.org/officeDocument/2006/relationships/hyperlink" Target="https://www.google.com/search?q=https%3A%2F%2Fwww.in.gov.br%2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