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E616" w14:textId="77777777" w:rsidR="00600F15" w:rsidRPr="005C2052" w:rsidRDefault="00B20343">
      <w:pPr>
        <w:jc w:val="center"/>
        <w:rPr>
          <w:lang w:val="pt-BR"/>
        </w:rPr>
      </w:pPr>
      <w:r w:rsidRPr="005C2052">
        <w:rPr>
          <w:b/>
          <w:color w:val="555555"/>
          <w:sz w:val="24"/>
          <w:lang w:val="pt-BR"/>
        </w:rPr>
        <w:t>Briefing para o grupo</w:t>
      </w:r>
    </w:p>
    <w:p w14:paraId="3236AF43" w14:textId="77777777" w:rsidR="00600F15" w:rsidRPr="005C2052" w:rsidRDefault="00B20343">
      <w:pPr>
        <w:jc w:val="center"/>
        <w:rPr>
          <w:lang w:val="pt-BR"/>
        </w:rPr>
      </w:pPr>
      <w:r w:rsidRPr="005C2052">
        <w:rPr>
          <w:b/>
          <w:sz w:val="40"/>
          <w:lang w:val="pt-BR"/>
        </w:rPr>
        <w:t>Difusão lenta de informação em cripto</w:t>
      </w:r>
    </w:p>
    <w:p w14:paraId="76EE6BF0" w14:textId="77777777" w:rsidR="00600F15" w:rsidRPr="005C2052" w:rsidRDefault="00B20343">
      <w:pPr>
        <w:jc w:val="center"/>
        <w:rPr>
          <w:lang w:val="pt-BR"/>
        </w:rPr>
      </w:pPr>
      <w:r w:rsidRPr="005C2052">
        <w:rPr>
          <w:i/>
          <w:color w:val="666666"/>
          <w:sz w:val="20"/>
          <w:lang w:val="pt-BR"/>
        </w:rPr>
        <w:t>Nota interna — não é a Entrega 1. Serve só para alinharmos a tese.</w:t>
      </w:r>
    </w:p>
    <w:p w14:paraId="33AFC4C8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De onde vem a tese</w:t>
      </w:r>
    </w:p>
    <w:p w14:paraId="791D0A63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Não inventamos um setup. Pegamos uma teoria clássica de finanças e um </w:t>
      </w:r>
      <w:proofErr w:type="spellStart"/>
      <w:r w:rsidRPr="005C2052">
        <w:rPr>
          <w:lang w:val="pt-BR"/>
        </w:rPr>
        <w:t>paper</w:t>
      </w:r>
      <w:proofErr w:type="spellEnd"/>
      <w:r w:rsidRPr="005C2052">
        <w:rPr>
          <w:lang w:val="pt-BR"/>
        </w:rPr>
        <w:t xml:space="preserve"> recente que a testa em criptomoedas.</w:t>
      </w:r>
    </w:p>
    <w:p w14:paraId="6A248115" w14:textId="77777777" w:rsidR="00600F15" w:rsidRPr="005C2052" w:rsidRDefault="00B20343">
      <w:pPr>
        <w:rPr>
          <w:lang w:val="pt-BR"/>
        </w:rPr>
      </w:pPr>
      <w:r w:rsidRPr="005C2052">
        <w:rPr>
          <w:b/>
          <w:lang w:val="pt-BR"/>
        </w:rPr>
        <w:t>1. O mecanismo (por que existiria atraso)</w:t>
      </w:r>
    </w:p>
    <w:p w14:paraId="1578EC0E" w14:textId="77777777" w:rsidR="00600F15" w:rsidRPr="005C2052" w:rsidRDefault="00B20343">
      <w:pPr>
        <w:rPr>
          <w:lang w:val="pt-BR"/>
        </w:rPr>
      </w:pPr>
      <w:r>
        <w:t xml:space="preserve">Hong e Stein (Journal of Finance, 1999), “A Unified Theory of Underreaction, Momentum Trading, and Overreaction in Asset Markets”. </w:t>
      </w:r>
      <w:r w:rsidRPr="005C2052">
        <w:rPr>
          <w:lang w:val="pt-BR"/>
        </w:rPr>
        <w:t>A ideia: a informação não chega em todo mundo ao mesmo tempo. Quem vê o ativo visível opera já; quem não vê, só reage depois. Esse atraso gera um lead-</w:t>
      </w:r>
      <w:proofErr w:type="spellStart"/>
      <w:r w:rsidRPr="005C2052">
        <w:rPr>
          <w:lang w:val="pt-BR"/>
        </w:rPr>
        <w:t>lag</w:t>
      </w:r>
      <w:proofErr w:type="spellEnd"/>
      <w:r w:rsidRPr="005C2052">
        <w:rPr>
          <w:lang w:val="pt-BR"/>
        </w:rPr>
        <w:t>: o preço do hub ajusta na hora; o do ativo ligado, mas ignorado, fica para trás e tende a convergir depois.</w:t>
      </w:r>
    </w:p>
    <w:p w14:paraId="5B049E5D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Em ações isso já foi documentado de várias formas (grandes lideram pequenas; dentro da indústria, a firma grande lidera a pequena). O </w:t>
      </w:r>
      <w:proofErr w:type="spellStart"/>
      <w:r w:rsidRPr="005C2052">
        <w:rPr>
          <w:lang w:val="pt-BR"/>
        </w:rPr>
        <w:t>paper</w:t>
      </w:r>
      <w:proofErr w:type="spellEnd"/>
      <w:r w:rsidRPr="005C2052">
        <w:rPr>
          <w:lang w:val="pt-BR"/>
        </w:rPr>
        <w:t xml:space="preserve"> de 1999 é antigo de propósito: é a teoria, como citar Markowitz. A banca não cobra </w:t>
      </w:r>
      <w:proofErr w:type="spellStart"/>
      <w:r w:rsidRPr="005C2052">
        <w:rPr>
          <w:lang w:val="pt-BR"/>
        </w:rPr>
        <w:t>paper</w:t>
      </w:r>
      <w:proofErr w:type="spellEnd"/>
      <w:r w:rsidRPr="005C2052">
        <w:rPr>
          <w:lang w:val="pt-BR"/>
        </w:rPr>
        <w:t xml:space="preserve"> de 2026 para o mecanismo; cobra aplicação recente em cripto.</w:t>
      </w:r>
    </w:p>
    <w:p w14:paraId="5B3C4859" w14:textId="77777777" w:rsidR="00600F15" w:rsidRPr="005C2052" w:rsidRDefault="00B20343">
      <w:pPr>
        <w:rPr>
          <w:lang w:val="pt-BR"/>
        </w:rPr>
      </w:pPr>
      <w:r w:rsidRPr="005C2052">
        <w:rPr>
          <w:b/>
          <w:lang w:val="pt-BR"/>
        </w:rPr>
        <w:t>2. A aplicação em cripto (o que vamos testar)</w:t>
      </w:r>
    </w:p>
    <w:p w14:paraId="32B0741F" w14:textId="77777777" w:rsidR="00600F15" w:rsidRPr="005C2052" w:rsidRDefault="00B20343">
      <w:pPr>
        <w:rPr>
          <w:lang w:val="pt-BR"/>
        </w:rPr>
      </w:pPr>
      <w:r>
        <w:t xml:space="preserve">Guo, Sang, Tu e Wang (Journal of Economic Dynamics and Control, 2024), “Cross-cryptocurrency return predictability”. </w:t>
      </w:r>
      <w:r w:rsidRPr="005C2052">
        <w:rPr>
          <w:lang w:val="pt-BR"/>
        </w:rPr>
        <w:t xml:space="preserve">Eles mostram que o retorno defasado de outras </w:t>
      </w:r>
      <w:proofErr w:type="spellStart"/>
      <w:r w:rsidRPr="005C2052">
        <w:rPr>
          <w:lang w:val="pt-BR"/>
        </w:rPr>
        <w:t>coins</w:t>
      </w:r>
      <w:proofErr w:type="spellEnd"/>
      <w:r w:rsidRPr="005C2052">
        <w:rPr>
          <w:lang w:val="pt-BR"/>
        </w:rPr>
        <w:t xml:space="preserve"> prevê a </w:t>
      </w:r>
      <w:proofErr w:type="spellStart"/>
      <w:r w:rsidRPr="005C2052">
        <w:rPr>
          <w:lang w:val="pt-BR"/>
        </w:rPr>
        <w:t>coin</w:t>
      </w:r>
      <w:proofErr w:type="spellEnd"/>
      <w:r w:rsidRPr="005C2052">
        <w:rPr>
          <w:lang w:val="pt-BR"/>
        </w:rPr>
        <w:t xml:space="preserve"> focal na </w:t>
      </w:r>
      <w:proofErr w:type="spellStart"/>
      <w:r w:rsidRPr="005C2052">
        <w:rPr>
          <w:lang w:val="pt-BR"/>
        </w:rPr>
        <w:t>Binance</w:t>
      </w:r>
      <w:proofErr w:type="spellEnd"/>
      <w:r w:rsidRPr="005C2052">
        <w:rPr>
          <w:lang w:val="pt-BR"/>
        </w:rPr>
        <w:t xml:space="preserve">. A interpretação deles é a mesma: choque comum + atenção limitada gera difusão lenta. No </w:t>
      </w:r>
      <w:proofErr w:type="spellStart"/>
      <w:r w:rsidRPr="005C2052">
        <w:rPr>
          <w:lang w:val="pt-BR"/>
        </w:rPr>
        <w:t>paper</w:t>
      </w:r>
      <w:proofErr w:type="spellEnd"/>
      <w:r w:rsidRPr="005C2052">
        <w:rPr>
          <w:lang w:val="pt-BR"/>
        </w:rPr>
        <w:t xml:space="preserve"> o </w:t>
      </w:r>
      <w:proofErr w:type="spellStart"/>
      <w:r w:rsidRPr="005C2052">
        <w:rPr>
          <w:lang w:val="pt-BR"/>
        </w:rPr>
        <w:t>lag</w:t>
      </w:r>
      <w:proofErr w:type="spellEnd"/>
      <w:r w:rsidRPr="005C2052">
        <w:rPr>
          <w:lang w:val="pt-BR"/>
        </w:rPr>
        <w:t xml:space="preserve"> aparece em minutos. No </w:t>
      </w:r>
      <w:proofErr w:type="spellStart"/>
      <w:r w:rsidRPr="005C2052">
        <w:rPr>
          <w:lang w:val="pt-BR"/>
        </w:rPr>
        <w:t>Challenge</w:t>
      </w:r>
      <w:proofErr w:type="spellEnd"/>
      <w:r w:rsidRPr="005C2052">
        <w:rPr>
          <w:lang w:val="pt-BR"/>
        </w:rPr>
        <w:t xml:space="preserve"> isso seria horizonte errado (custo + regulamento). O nosso teste honesto é 1 hora ou 1 dia: se o atraso só existir em 10 minutos, a tese morre — não descemos para HFT.</w:t>
      </w:r>
    </w:p>
    <w:p w14:paraId="3663916B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O que a tese afirma, em uma frase</w:t>
      </w:r>
    </w:p>
    <w:p w14:paraId="24CE8CA4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Um choque de mercado cripto é absorvido primeiro no Bitcoin (alta atenção). As outras </w:t>
      </w:r>
      <w:proofErr w:type="spellStart"/>
      <w:r w:rsidRPr="005C2052">
        <w:rPr>
          <w:lang w:val="pt-BR"/>
        </w:rPr>
        <w:t>coins</w:t>
      </w:r>
      <w:proofErr w:type="spellEnd"/>
      <w:r w:rsidRPr="005C2052">
        <w:rPr>
          <w:lang w:val="pt-BR"/>
        </w:rPr>
        <w:t xml:space="preserve"> líquidas (</w:t>
      </w:r>
      <w:proofErr w:type="spellStart"/>
      <w:r w:rsidRPr="005C2052">
        <w:rPr>
          <w:lang w:val="pt-BR"/>
        </w:rPr>
        <w:t>alts</w:t>
      </w:r>
      <w:proofErr w:type="spellEnd"/>
      <w:r w:rsidRPr="005C2052">
        <w:rPr>
          <w:lang w:val="pt-BR"/>
        </w:rPr>
        <w:t xml:space="preserve">) </w:t>
      </w:r>
      <w:proofErr w:type="spellStart"/>
      <w:r w:rsidRPr="005C2052">
        <w:rPr>
          <w:lang w:val="pt-BR"/>
        </w:rPr>
        <w:t>sub-reagem</w:t>
      </w:r>
      <w:proofErr w:type="spellEnd"/>
      <w:r w:rsidRPr="005C2052">
        <w:rPr>
          <w:lang w:val="pt-BR"/>
        </w:rPr>
        <w:t xml:space="preserve">. O retorno seguinte dessas </w:t>
      </w:r>
      <w:proofErr w:type="spellStart"/>
      <w:r w:rsidRPr="005C2052">
        <w:rPr>
          <w:lang w:val="pt-BR"/>
        </w:rPr>
        <w:t>alts</w:t>
      </w:r>
      <w:proofErr w:type="spellEnd"/>
      <w:r w:rsidRPr="005C2052">
        <w:rPr>
          <w:lang w:val="pt-BR"/>
        </w:rPr>
        <w:t xml:space="preserve"> é a correção desse atraso — se o choque ainda for comum e se o atraso ainda couber em 1h–1d depois de custo.</w:t>
      </w:r>
    </w:p>
    <w:p w14:paraId="22F63018" w14:textId="77777777" w:rsidR="00600F15" w:rsidRDefault="00B20343">
      <w:r w:rsidRPr="005C2052">
        <w:rPr>
          <w:lang w:val="pt-BR"/>
        </w:rPr>
        <w:t xml:space="preserve">Alt = qualquer cripto do universo que não é Bitcoin (ETH, SOL, BNB, </w:t>
      </w:r>
      <w:proofErr w:type="gramStart"/>
      <w:r w:rsidRPr="005C2052">
        <w:rPr>
          <w:lang w:val="pt-BR"/>
        </w:rPr>
        <w:t>XRP, etc.</w:t>
      </w:r>
      <w:proofErr w:type="gramEnd"/>
      <w:r w:rsidRPr="005C2052">
        <w:rPr>
          <w:lang w:val="pt-BR"/>
        </w:rPr>
        <w:t xml:space="preserve">). </w:t>
      </w:r>
      <w:r>
        <w:t xml:space="preserve">Stablecoin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entra</w:t>
      </w:r>
      <w:proofErr w:type="spellEnd"/>
      <w:r>
        <w:t>.</w:t>
      </w:r>
    </w:p>
    <w:p w14:paraId="599FCB41" w14:textId="77777777" w:rsidR="00600F15" w:rsidRDefault="00B20343">
      <w:pPr>
        <w:pStyle w:val="Ttulo1"/>
      </w:pPr>
      <w:r>
        <w:t>O que isso NÃO é</w:t>
      </w:r>
    </w:p>
    <w:p w14:paraId="624561D7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>Não é previsão de até onde o Bitcoin vai. Não há meta de preço nem regressão que projeta o mercado.</w:t>
      </w:r>
    </w:p>
    <w:p w14:paraId="1AC75E28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Não é detector de crise. O </w:t>
      </w:r>
      <w:proofErr w:type="spellStart"/>
      <w:r w:rsidRPr="005C2052">
        <w:rPr>
          <w:lang w:val="pt-BR"/>
        </w:rPr>
        <w:t>shock</w:t>
      </w:r>
      <w:proofErr w:type="spellEnd"/>
      <w:r w:rsidRPr="005C2052">
        <w:rPr>
          <w:lang w:val="pt-BR"/>
        </w:rPr>
        <w:t xml:space="preserve"> é só um movimento já ocorrido do BTC, grande na história dele.</w:t>
      </w:r>
    </w:p>
    <w:p w14:paraId="6D73F155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Não é </w:t>
      </w:r>
      <w:proofErr w:type="spellStart"/>
      <w:r w:rsidRPr="005C2052">
        <w:rPr>
          <w:lang w:val="pt-BR"/>
        </w:rPr>
        <w:t>pair</w:t>
      </w:r>
      <w:proofErr w:type="spellEnd"/>
      <w:r w:rsidRPr="005C2052">
        <w:rPr>
          <w:lang w:val="pt-BR"/>
        </w:rPr>
        <w:t xml:space="preserve"> trading / </w:t>
      </w:r>
      <w:proofErr w:type="spellStart"/>
      <w:r w:rsidRPr="005C2052">
        <w:rPr>
          <w:lang w:val="pt-BR"/>
        </w:rPr>
        <w:t>cointegração</w:t>
      </w:r>
      <w:proofErr w:type="spellEnd"/>
      <w:r w:rsidRPr="005C2052">
        <w:rPr>
          <w:lang w:val="pt-BR"/>
        </w:rPr>
        <w:t>. Não precisamos que SOL e BTC andem juntos para sempre.</w:t>
      </w:r>
    </w:p>
    <w:p w14:paraId="13FE2AB0" w14:textId="77777777" w:rsidR="00600F15" w:rsidRDefault="00B20343">
      <w:pPr>
        <w:pStyle w:val="Commarcadores"/>
      </w:pPr>
      <w:r w:rsidRPr="005C2052">
        <w:rPr>
          <w:lang w:val="pt-BR"/>
        </w:rPr>
        <w:t xml:space="preserve">Não é notícia, Twitter ou sentimento. </w:t>
      </w:r>
      <w:r>
        <w:t xml:space="preserve">Só </w:t>
      </w:r>
      <w:proofErr w:type="spellStart"/>
      <w:r>
        <w:t>preço</w:t>
      </w:r>
      <w:proofErr w:type="spellEnd"/>
      <w:r>
        <w:t xml:space="preserve"> e volume.</w:t>
      </w:r>
    </w:p>
    <w:p w14:paraId="18B86F7E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Não é HFT, livro de ofertas nem </w:t>
      </w:r>
      <w:proofErr w:type="spellStart"/>
      <w:r w:rsidRPr="005C2052">
        <w:rPr>
          <w:lang w:val="pt-BR"/>
        </w:rPr>
        <w:t>tick</w:t>
      </w:r>
      <w:proofErr w:type="spellEnd"/>
      <w:r w:rsidRPr="005C2052">
        <w:rPr>
          <w:lang w:val="pt-BR"/>
        </w:rPr>
        <w:t>.</w:t>
      </w:r>
    </w:p>
    <w:p w14:paraId="7699E82C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lastRenderedPageBreak/>
        <w:t>Não é uma carteira tipo índice (CCI30). É um trade: entra e sai a cada barra.</w:t>
      </w:r>
    </w:p>
    <w:p w14:paraId="096CD10E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Como opera (receita)</w:t>
      </w:r>
    </w:p>
    <w:p w14:paraId="2E9CBD4F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Universo: umas 12–15 moedas líquidas na </w:t>
      </w:r>
      <w:proofErr w:type="spellStart"/>
      <w:r w:rsidRPr="005C2052">
        <w:rPr>
          <w:lang w:val="pt-BR"/>
        </w:rPr>
        <w:t>Binance</w:t>
      </w:r>
      <w:proofErr w:type="spellEnd"/>
      <w:r w:rsidRPr="005C2052">
        <w:rPr>
          <w:lang w:val="pt-BR"/>
        </w:rPr>
        <w:t xml:space="preserve"> (BTC, ETH, BNB, SOL, XRP, …), sem stablecoin, sem </w:t>
      </w:r>
      <w:proofErr w:type="spellStart"/>
      <w:r w:rsidRPr="005C2052">
        <w:rPr>
          <w:lang w:val="pt-BR"/>
        </w:rPr>
        <w:t>microcap</w:t>
      </w:r>
      <w:proofErr w:type="spellEnd"/>
      <w:r w:rsidRPr="005C2052">
        <w:rPr>
          <w:lang w:val="pt-BR"/>
        </w:rPr>
        <w:t>. Frequência: 1 hora ou 1 dia (uma só, congelada).</w:t>
      </w:r>
    </w:p>
    <w:p w14:paraId="4E175484" w14:textId="77777777" w:rsidR="00600F15" w:rsidRPr="005C2052" w:rsidRDefault="00B20343">
      <w:pPr>
        <w:rPr>
          <w:lang w:val="pt-BR"/>
        </w:rPr>
      </w:pPr>
      <w:r w:rsidRPr="005C2052">
        <w:rPr>
          <w:b/>
          <w:lang w:val="pt-BR"/>
        </w:rPr>
        <w:t>Passo a passo, no fim de cada barra t:</w:t>
      </w:r>
    </w:p>
    <w:p w14:paraId="70123D78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>1. O Bitcoin já fechou, por exemplo, +4%. Isso é fato, não previsão.</w:t>
      </w:r>
    </w:p>
    <w:p w14:paraId="06CD058E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2. Esse +4% só conta como </w:t>
      </w:r>
      <w:proofErr w:type="spellStart"/>
      <w:r w:rsidRPr="005C2052">
        <w:rPr>
          <w:lang w:val="pt-BR"/>
        </w:rPr>
        <w:t>shock</w:t>
      </w:r>
      <w:proofErr w:type="spellEnd"/>
      <w:r w:rsidRPr="005C2052">
        <w:rPr>
          <w:lang w:val="pt-BR"/>
        </w:rPr>
        <w:t xml:space="preserve"> se o módulo do retorno do BTC passar de um limiar k. O k é um corte da própria história do BTC no treino (ex.: só o tercil mais extremo). Dia de +0,3% não opera. É assim que se distingue ruído de </w:t>
      </w:r>
      <w:proofErr w:type="spellStart"/>
      <w:r w:rsidRPr="005C2052">
        <w:rPr>
          <w:lang w:val="pt-BR"/>
        </w:rPr>
        <w:t>shock</w:t>
      </w:r>
      <w:proofErr w:type="spellEnd"/>
      <w:r w:rsidRPr="005C2052">
        <w:rPr>
          <w:lang w:val="pt-BR"/>
        </w:rPr>
        <w:t xml:space="preserve"> — não é jornal.</w:t>
      </w:r>
    </w:p>
    <w:p w14:paraId="025ACDDD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3. Para cada </w:t>
      </w:r>
      <w:proofErr w:type="spellStart"/>
      <w:r w:rsidRPr="005C2052">
        <w:rPr>
          <w:lang w:val="pt-BR"/>
        </w:rPr>
        <w:t>alt</w:t>
      </w:r>
      <w:proofErr w:type="spellEnd"/>
      <w:r w:rsidRPr="005C2052">
        <w:rPr>
          <w:lang w:val="pt-BR"/>
        </w:rPr>
        <w:t>, o beta passado (regressão só até t−1) diz quanto ela costuma andar quando o BTC anda 1%. Se beta = 1,2, um BTC de +</w:t>
      </w:r>
      <w:proofErr w:type="gramStart"/>
      <w:r w:rsidRPr="005C2052">
        <w:rPr>
          <w:lang w:val="pt-BR"/>
        </w:rPr>
        <w:t>4% pediria</w:t>
      </w:r>
      <w:proofErr w:type="gramEnd"/>
      <w:r w:rsidRPr="005C2052">
        <w:rPr>
          <w:lang w:val="pt-BR"/>
        </w:rPr>
        <w:t xml:space="preserve"> cerca de +4,8% na alt.</w:t>
      </w:r>
    </w:p>
    <w:p w14:paraId="70985061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4. </w:t>
      </w:r>
      <w:proofErr w:type="spellStart"/>
      <w:r w:rsidRPr="005C2052">
        <w:rPr>
          <w:lang w:val="pt-BR"/>
        </w:rPr>
        <w:t>Sub-reação</w:t>
      </w:r>
      <w:proofErr w:type="spellEnd"/>
      <w:r w:rsidRPr="005C2052">
        <w:rPr>
          <w:lang w:val="pt-BR"/>
        </w:rPr>
        <w:t xml:space="preserve">: u = retorno da </w:t>
      </w:r>
      <w:proofErr w:type="spellStart"/>
      <w:r w:rsidRPr="005C2052">
        <w:rPr>
          <w:lang w:val="pt-BR"/>
        </w:rPr>
        <w:t>alt</w:t>
      </w:r>
      <w:proofErr w:type="spellEnd"/>
      <w:r w:rsidRPr="005C2052">
        <w:rPr>
          <w:lang w:val="pt-BR"/>
        </w:rPr>
        <w:t xml:space="preserve"> nesta barra </w:t>
      </w:r>
      <w:proofErr w:type="spellStart"/>
      <w:r w:rsidRPr="005C2052">
        <w:rPr>
          <w:lang w:val="pt-BR"/>
        </w:rPr>
        <w:t>minus</w:t>
      </w:r>
      <w:proofErr w:type="spellEnd"/>
      <w:r w:rsidRPr="005C2052">
        <w:rPr>
          <w:lang w:val="pt-BR"/>
        </w:rPr>
        <w:t xml:space="preserve"> beta vezes retorno do BTC. Se o BTC subiu e u é bem negativo, a </w:t>
      </w:r>
      <w:proofErr w:type="spellStart"/>
      <w:r w:rsidRPr="005C2052">
        <w:rPr>
          <w:lang w:val="pt-BR"/>
        </w:rPr>
        <w:t>alt</w:t>
      </w:r>
      <w:proofErr w:type="spellEnd"/>
      <w:r w:rsidRPr="005C2052">
        <w:rPr>
          <w:lang w:val="pt-BR"/>
        </w:rPr>
        <w:t xml:space="preserve"> ficou para trás.</w:t>
      </w:r>
    </w:p>
    <w:p w14:paraId="1E5082D1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5. Trade na barra seguinte (t+1): comprar as </w:t>
      </w:r>
      <w:proofErr w:type="spellStart"/>
      <w:r w:rsidRPr="005C2052">
        <w:rPr>
          <w:lang w:val="pt-BR"/>
        </w:rPr>
        <w:t>alts</w:t>
      </w:r>
      <w:proofErr w:type="spellEnd"/>
      <w:r w:rsidRPr="005C2052">
        <w:rPr>
          <w:lang w:val="pt-BR"/>
        </w:rPr>
        <w:t xml:space="preserve"> que menos acompanharam (mesmo sentido do BTC). Em geral vender BTC ou as que já dispararam. Segura uma barra. Risco 1–2% do NAV. Custo nas duas pernas.</w:t>
      </w:r>
    </w:p>
    <w:p w14:paraId="11B753C9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A regressão não prevê o futuro do Bitcoin. Ela só estima o beta histórico da </w:t>
      </w:r>
      <w:proofErr w:type="spellStart"/>
      <w:r w:rsidRPr="005C2052">
        <w:rPr>
          <w:lang w:val="pt-BR"/>
        </w:rPr>
        <w:t>alt</w:t>
      </w:r>
      <w:proofErr w:type="spellEnd"/>
      <w:r w:rsidRPr="005C2052">
        <w:rPr>
          <w:lang w:val="pt-BR"/>
        </w:rPr>
        <w:t xml:space="preserve"> contra o BTC. A pergunta é: dado que o BTC já se moveu, esta </w:t>
      </w:r>
      <w:proofErr w:type="spellStart"/>
      <w:r w:rsidRPr="005C2052">
        <w:rPr>
          <w:lang w:val="pt-BR"/>
        </w:rPr>
        <w:t>alt</w:t>
      </w:r>
      <w:proofErr w:type="spellEnd"/>
      <w:r w:rsidRPr="005C2052">
        <w:rPr>
          <w:lang w:val="pt-BR"/>
        </w:rPr>
        <w:t xml:space="preserve"> moveu o que o beta mandava?</w:t>
      </w:r>
    </w:p>
    <w:p w14:paraId="411600EA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O que vamos calcular para saber se funciona</w:t>
      </w:r>
    </w:p>
    <w:p w14:paraId="042DE202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Um número, no </w:t>
      </w:r>
      <w:proofErr w:type="spellStart"/>
      <w:r w:rsidRPr="005C2052">
        <w:rPr>
          <w:lang w:val="pt-BR"/>
        </w:rPr>
        <w:t>walk-forward</w:t>
      </w:r>
      <w:proofErr w:type="spellEnd"/>
      <w:r w:rsidRPr="005C2052">
        <w:rPr>
          <w:lang w:val="pt-BR"/>
        </w:rPr>
        <w:t xml:space="preserve"> com datas anteriores a 17/08/2025, já descontado o custo: a média do retorno da cesta na barra seguinte (</w:t>
      </w:r>
      <w:proofErr w:type="spellStart"/>
      <w:r w:rsidRPr="005C2052">
        <w:rPr>
          <w:lang w:val="pt-BR"/>
        </w:rPr>
        <w:t>long</w:t>
      </w:r>
      <w:proofErr w:type="spellEnd"/>
      <w:r w:rsidRPr="005C2052">
        <w:rPr>
          <w:lang w:val="pt-BR"/>
        </w:rPr>
        <w:t xml:space="preserve"> quem atrasou </w:t>
      </w:r>
      <w:proofErr w:type="spellStart"/>
      <w:r w:rsidRPr="005C2052">
        <w:rPr>
          <w:lang w:val="pt-BR"/>
        </w:rPr>
        <w:t>minus</w:t>
      </w:r>
      <w:proofErr w:type="spellEnd"/>
      <w:r w:rsidRPr="005C2052">
        <w:rPr>
          <w:lang w:val="pt-BR"/>
        </w:rPr>
        <w:t xml:space="preserve"> short a outra perna) menos o custo round-</w:t>
      </w:r>
      <w:proofErr w:type="spellStart"/>
      <w:r w:rsidRPr="005C2052">
        <w:rPr>
          <w:lang w:val="pt-BR"/>
        </w:rPr>
        <w:t>trip</w:t>
      </w:r>
      <w:proofErr w:type="spellEnd"/>
      <w:r w:rsidRPr="005C2052">
        <w:rPr>
          <w:lang w:val="pt-BR"/>
        </w:rPr>
        <w:t>.</w:t>
      </w:r>
    </w:p>
    <w:p w14:paraId="6F4427C3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Se essa média líquida for menor ou igual a zero, a tese está rejeitada. Se só for </w:t>
      </w:r>
      <w:proofErr w:type="gramStart"/>
      <w:r w:rsidRPr="005C2052">
        <w:rPr>
          <w:lang w:val="pt-BR"/>
        </w:rPr>
        <w:t>positiva</w:t>
      </w:r>
      <w:proofErr w:type="gramEnd"/>
      <w:r w:rsidRPr="005C2052">
        <w:rPr>
          <w:lang w:val="pt-BR"/>
        </w:rPr>
        <w:t xml:space="preserve"> sem custo, é estatística, não estratégia.</w:t>
      </w:r>
    </w:p>
    <w:p w14:paraId="24B65728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Na Entrega 2 o regulamento também pede Sharpe, Sortino, </w:t>
      </w:r>
      <w:proofErr w:type="spellStart"/>
      <w:r w:rsidRPr="005C2052">
        <w:rPr>
          <w:lang w:val="pt-BR"/>
        </w:rPr>
        <w:t>drawdown</w:t>
      </w:r>
      <w:proofErr w:type="spellEnd"/>
      <w:r w:rsidRPr="005C2052">
        <w:rPr>
          <w:lang w:val="pt-BR"/>
        </w:rPr>
        <w:t xml:space="preserve">, </w:t>
      </w:r>
      <w:proofErr w:type="spellStart"/>
      <w:r w:rsidRPr="005C2052">
        <w:rPr>
          <w:lang w:val="pt-BR"/>
        </w:rPr>
        <w:t>VaR</w:t>
      </w:r>
      <w:proofErr w:type="spellEnd"/>
      <w:r w:rsidRPr="005C2052">
        <w:rPr>
          <w:lang w:val="pt-BR"/>
        </w:rPr>
        <w:t xml:space="preserve">/ES 97,5% e turnover. Comparar com </w:t>
      </w:r>
      <w:proofErr w:type="spellStart"/>
      <w:r w:rsidRPr="005C2052">
        <w:rPr>
          <w:lang w:val="pt-BR"/>
        </w:rPr>
        <w:t>buy-and-hold</w:t>
      </w:r>
      <w:proofErr w:type="spellEnd"/>
      <w:r w:rsidRPr="005C2052">
        <w:rPr>
          <w:lang w:val="pt-BR"/>
        </w:rPr>
        <w:t xml:space="preserve"> BTC, 1/N nas 15 </w:t>
      </w:r>
      <w:proofErr w:type="spellStart"/>
      <w:r w:rsidRPr="005C2052">
        <w:rPr>
          <w:lang w:val="pt-BR"/>
        </w:rPr>
        <w:t>coins</w:t>
      </w:r>
      <w:proofErr w:type="spellEnd"/>
      <w:r w:rsidRPr="005C2052">
        <w:rPr>
          <w:lang w:val="pt-BR"/>
        </w:rPr>
        <w:t xml:space="preserve">, e a mesma regra sem o filtro de </w:t>
      </w:r>
      <w:proofErr w:type="spellStart"/>
      <w:r w:rsidRPr="005C2052">
        <w:rPr>
          <w:lang w:val="pt-BR"/>
        </w:rPr>
        <w:t>shock</w:t>
      </w:r>
      <w:proofErr w:type="spellEnd"/>
      <w:r w:rsidRPr="005C2052">
        <w:rPr>
          <w:lang w:val="pt-BR"/>
        </w:rPr>
        <w:t>. A janela 17/08/2025–16/08/2026 não se usa para escolher parâmetro — só uma vez, para reportar.</w:t>
      </w:r>
    </w:p>
    <w:p w14:paraId="023A61FE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O que a Entrega 1 (18/09) pede — e o que não pede</w:t>
      </w:r>
    </w:p>
    <w:p w14:paraId="14CDF331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 xml:space="preserve">Não precisamos ter resultado nem Sharpe agora. Precisamos: repositório + README + </w:t>
      </w:r>
      <w:proofErr w:type="spellStart"/>
      <w:r w:rsidRPr="005C2052">
        <w:rPr>
          <w:lang w:val="pt-BR"/>
        </w:rPr>
        <w:t>requirements</w:t>
      </w:r>
      <w:proofErr w:type="spellEnd"/>
      <w:r w:rsidRPr="005C2052">
        <w:rPr>
          <w:lang w:val="pt-BR"/>
        </w:rPr>
        <w:t>, EDA dos dados, tese de 3–5 páginas (mecanismo, hipótese, métrica de sucesso, critério de morte, split treino/validação/teste) e arquitetura em 1 página. Se a hipótese morrer no treino, podemos mudar de estratégia até 19/11, desde que documentemos a tentativa. Esconder a troca é o que a banca pune.</w:t>
      </w:r>
    </w:p>
    <w:p w14:paraId="3BF74ED5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lastRenderedPageBreak/>
        <w:t>Critério de morte (para escrevermos no PDF)</w:t>
      </w:r>
    </w:p>
    <w:p w14:paraId="19981C6B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O prêmio líquido de custo menor ou igual a zero no </w:t>
      </w:r>
      <w:proofErr w:type="spellStart"/>
      <w:r w:rsidRPr="005C2052">
        <w:rPr>
          <w:lang w:val="pt-BR"/>
        </w:rPr>
        <w:t>walk-forward</w:t>
      </w:r>
      <w:proofErr w:type="spellEnd"/>
      <w:r w:rsidRPr="005C2052">
        <w:rPr>
          <w:lang w:val="pt-BR"/>
        </w:rPr>
        <w:t xml:space="preserve"> </w:t>
      </w:r>
      <w:proofErr w:type="spellStart"/>
      <w:r w:rsidRPr="005C2052">
        <w:rPr>
          <w:lang w:val="pt-BR"/>
        </w:rPr>
        <w:t>pré-OOS</w:t>
      </w:r>
      <w:proofErr w:type="spellEnd"/>
      <w:r w:rsidRPr="005C2052">
        <w:rPr>
          <w:lang w:val="pt-BR"/>
        </w:rPr>
        <w:t>.</w:t>
      </w:r>
    </w:p>
    <w:p w14:paraId="7B8702F1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O efeito só aparece abaixo de 1 hora / 15 minutos (difusão rápida demais para o </w:t>
      </w:r>
      <w:proofErr w:type="spellStart"/>
      <w:r w:rsidRPr="005C2052">
        <w:rPr>
          <w:lang w:val="pt-BR"/>
        </w:rPr>
        <w:t>Challenge</w:t>
      </w:r>
      <w:proofErr w:type="spellEnd"/>
      <w:r w:rsidRPr="005C2052">
        <w:rPr>
          <w:lang w:val="pt-BR"/>
        </w:rPr>
        <w:t>).</w:t>
      </w:r>
    </w:p>
    <w:p w14:paraId="0588E219" w14:textId="77777777" w:rsidR="00600F15" w:rsidRPr="005C2052" w:rsidRDefault="00B20343">
      <w:pPr>
        <w:pStyle w:val="Commarcadores"/>
        <w:rPr>
          <w:lang w:val="pt-BR"/>
        </w:rPr>
      </w:pPr>
      <w:r w:rsidRPr="005C2052">
        <w:rPr>
          <w:lang w:val="pt-BR"/>
        </w:rPr>
        <w:t xml:space="preserve">O filtro de </w:t>
      </w:r>
      <w:proofErr w:type="spellStart"/>
      <w:r w:rsidRPr="005C2052">
        <w:rPr>
          <w:lang w:val="pt-BR"/>
        </w:rPr>
        <w:t>shock</w:t>
      </w:r>
      <w:proofErr w:type="spellEnd"/>
      <w:r w:rsidRPr="005C2052">
        <w:rPr>
          <w:lang w:val="pt-BR"/>
        </w:rPr>
        <w:t xml:space="preserve"> não muda nada </w:t>
      </w:r>
      <w:proofErr w:type="spellStart"/>
      <w:r w:rsidRPr="005C2052">
        <w:rPr>
          <w:lang w:val="pt-BR"/>
        </w:rPr>
        <w:t>vs</w:t>
      </w:r>
      <w:proofErr w:type="spellEnd"/>
      <w:r w:rsidRPr="005C2052">
        <w:rPr>
          <w:lang w:val="pt-BR"/>
        </w:rPr>
        <w:t xml:space="preserve"> operar todos os dias.</w:t>
      </w:r>
    </w:p>
    <w:p w14:paraId="6F568703" w14:textId="77777777" w:rsidR="00600F15" w:rsidRPr="005C2052" w:rsidRDefault="00B20343">
      <w:pPr>
        <w:pStyle w:val="Ttulo1"/>
        <w:rPr>
          <w:lang w:val="pt-BR"/>
        </w:rPr>
      </w:pPr>
      <w:r w:rsidRPr="005C2052">
        <w:rPr>
          <w:lang w:val="pt-BR"/>
        </w:rPr>
        <w:t>Papers para o grupo ler (só dois)</w:t>
      </w:r>
    </w:p>
    <w:p w14:paraId="65866530" w14:textId="73B12CF9" w:rsidR="00600F15" w:rsidRDefault="00B20343">
      <w:r>
        <w:t xml:space="preserve">Hong e Stein (1999) </w:t>
      </w:r>
    </w:p>
    <w:p w14:paraId="6FE4E03D" w14:textId="35126300" w:rsidR="00600F15" w:rsidRPr="005C2052" w:rsidRDefault="00B20343">
      <w:pPr>
        <w:rPr>
          <w:lang w:val="pt-BR"/>
        </w:rPr>
      </w:pPr>
      <w:r>
        <w:t xml:space="preserve">Guo et al. </w:t>
      </w:r>
      <w:r w:rsidRPr="005C2052">
        <w:rPr>
          <w:lang w:val="pt-BR"/>
        </w:rPr>
        <w:t>(2024</w:t>
      </w:r>
    </w:p>
    <w:p w14:paraId="3A7B8364" w14:textId="77777777" w:rsidR="00600F15" w:rsidRPr="005C2052" w:rsidRDefault="00B20343">
      <w:pPr>
        <w:rPr>
          <w:lang w:val="pt-BR"/>
        </w:rPr>
      </w:pPr>
      <w:r w:rsidRPr="005C2052">
        <w:rPr>
          <w:lang w:val="pt-BR"/>
        </w:rPr>
        <w:t>O restante que porventura estiver na pasta é apoio da conversa. Não precisa ir para o PDF da Entrega 1.</w:t>
      </w:r>
    </w:p>
    <w:p w14:paraId="2F6C574A" w14:textId="77777777" w:rsidR="00600F15" w:rsidRDefault="00B20343">
      <w:r>
        <w:rPr>
          <w:i/>
          <w:color w:val="888888"/>
          <w:sz w:val="18"/>
        </w:rPr>
        <w:t>Vault Quant Challenge 2026 · briefing interno · set/2026</w:t>
      </w:r>
    </w:p>
    <w:sectPr w:rsidR="00600F15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395885">
    <w:abstractNumId w:val="8"/>
  </w:num>
  <w:num w:numId="2" w16cid:durableId="1262763154">
    <w:abstractNumId w:val="6"/>
  </w:num>
  <w:num w:numId="3" w16cid:durableId="981040635">
    <w:abstractNumId w:val="5"/>
  </w:num>
  <w:num w:numId="4" w16cid:durableId="221793335">
    <w:abstractNumId w:val="4"/>
  </w:num>
  <w:num w:numId="5" w16cid:durableId="523783871">
    <w:abstractNumId w:val="7"/>
  </w:num>
  <w:num w:numId="6" w16cid:durableId="1105730772">
    <w:abstractNumId w:val="3"/>
  </w:num>
  <w:num w:numId="7" w16cid:durableId="1967733986">
    <w:abstractNumId w:val="2"/>
  </w:num>
  <w:num w:numId="8" w16cid:durableId="742407819">
    <w:abstractNumId w:val="1"/>
  </w:num>
  <w:num w:numId="9" w16cid:durableId="26156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052"/>
    <w:rsid w:val="00600F15"/>
    <w:rsid w:val="0091659A"/>
    <w:rsid w:val="00AA1D8D"/>
    <w:rsid w:val="00B203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B6A967-FF1E-4212-83F8-EBC2BB84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815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Berta Farias</cp:lastModifiedBy>
  <cp:revision>2</cp:revision>
  <dcterms:created xsi:type="dcterms:W3CDTF">2013-12-23T23:15:00Z</dcterms:created>
  <dcterms:modified xsi:type="dcterms:W3CDTF">2026-09-13T23:12:00Z</dcterms:modified>
  <cp:category/>
</cp:coreProperties>
</file>