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280"/>
        <w:jc w:val="both"/>
        <w:rPr>
          <w:rFonts w:ascii="Trebuchet MS" w:hAnsi="Trebuchet MS"/>
          <w:sz w:val="24"/>
          <w:szCs w:val="24"/>
        </w:rPr>
      </w:pPr>
      <w:r>
        <w:rPr>
          <w:rFonts w:ascii="Trebuchet MS" w:hAnsi="Trebuchet MS"/>
          <w:sz w:val="24"/>
          <w:szCs w:val="24"/>
        </w:rPr>
        <w:t xml:space="preserve">Nos complace informarles que la propuesta que se detalla a continuación ha sido </w:t>
      </w:r>
      <w:r>
        <w:rPr>
          <w:rFonts w:ascii="Trebuchet MS" w:hAnsi="Trebuchet MS"/>
          <w:b/>
          <w:bCs/>
          <w:sz w:val="24"/>
          <w:szCs w:val="24"/>
        </w:rPr>
        <w:t>APROBADA</w:t>
      </w:r>
      <w:r>
        <w:rPr>
          <w:rFonts w:ascii="Trebuchet MS" w:hAnsi="Trebuchet MS"/>
          <w:sz w:val="24"/>
          <w:szCs w:val="24"/>
        </w:rPr>
        <w:t xml:space="preserve"> y el cliente desea que iniciemos los trámites correspondientes al estudio de financiación, en su caso, así como la </w:t>
      </w:r>
      <w:r>
        <w:rPr>
          <w:rFonts w:ascii="Trebuchet MS" w:hAnsi="Trebuchet MS"/>
          <w:b/>
          <w:bCs/>
          <w:sz w:val="24"/>
          <w:szCs w:val="24"/>
        </w:rPr>
        <w:t>formalización de la reserva/venta</w:t>
      </w:r>
      <w:r>
        <w:rPr>
          <w:rFonts w:ascii="Trebuchet MS" w:hAnsi="Trebuchet MS"/>
          <w:sz w:val="24"/>
          <w:szCs w:val="24"/>
        </w:rPr>
        <w:t>.</w:t>
      </w:r>
    </w:p>
    <w:p>
      <w:pPr>
        <w:pStyle w:val="NormalWeb"/>
        <w:spacing w:before="280" w:after="280"/>
        <w:rPr>
          <w:rFonts w:ascii="Trebuchet MS" w:hAnsi="Trebuchet MS"/>
          <w:sz w:val="24"/>
          <w:szCs w:val="24"/>
        </w:rPr>
      </w:pPr>
      <w:r>
        <w:rPr>
          <w:rFonts w:ascii="Trebuchet MS" w:hAnsi="Trebuchet MS"/>
          <w:b/>
          <w:bCs/>
          <w:sz w:val="24"/>
          <w:szCs w:val="24"/>
          <w:u w:val="single"/>
        </w:rPr>
        <w:t>FORMALIZACIÓN DE LA RESERVA (en caso de propuesta aprobada con reserva)</w:t>
      </w:r>
    </w:p>
    <w:p>
      <w:pPr>
        <w:pStyle w:val="NormalWeb"/>
        <w:spacing w:before="280" w:after="280"/>
        <w:jc w:val="both"/>
        <w:rPr>
          <w:rFonts w:ascii="Trebuchet MS" w:hAnsi="Trebuchet MS"/>
          <w:sz w:val="24"/>
          <w:szCs w:val="24"/>
        </w:rPr>
      </w:pPr>
      <w:r>
        <w:rPr>
          <w:rFonts w:ascii="Trebuchet MS" w:hAnsi="Trebuchet MS"/>
          <w:sz w:val="24"/>
          <w:szCs w:val="24"/>
        </w:rPr>
        <w:t xml:space="preserve">Para formalizar el correspondiente documento de Reserva, </w:t>
      </w:r>
      <w:r>
        <w:rPr>
          <w:rFonts w:ascii="Trebuchet MS" w:hAnsi="Trebuchet MS"/>
          <w:b/>
          <w:bCs/>
          <w:sz w:val="24"/>
          <w:szCs w:val="24"/>
        </w:rPr>
        <w:t>rogamos contacte con el Gestor Comercial</w:t>
      </w:r>
      <w:r>
        <w:rPr>
          <w:rFonts w:ascii="Trebuchet MS" w:hAnsi="Trebuchet MS"/>
          <w:sz w:val="24"/>
          <w:szCs w:val="24"/>
        </w:rPr>
        <w:t xml:space="preserve"> del activo, con el suficiente tiempo de antelación, al objeto de que el Gestor Comercial le facilite el documento de reserva a la Oficina.</w:t>
      </w:r>
    </w:p>
    <w:p>
      <w:pPr>
        <w:pStyle w:val="NormalWeb"/>
        <w:spacing w:before="280" w:after="280"/>
        <w:jc w:val="both"/>
        <w:rPr>
          <w:rFonts w:ascii="Trebuchet MS" w:hAnsi="Trebuchet MS"/>
          <w:sz w:val="24"/>
          <w:szCs w:val="24"/>
        </w:rPr>
      </w:pPr>
      <w:r>
        <w:rPr>
          <w:rFonts w:ascii="Trebuchet MS" w:hAnsi="Trebuchet MS"/>
          <w:sz w:val="24"/>
          <w:szCs w:val="24"/>
        </w:rPr>
        <w:t>La Reserva deberá formalizarse en la oficina de Grupo CaixaBank receptora de la presente comunicación, en el plazo máximo de 7 días hábiles a contar desde la fecha de recepción del documento de Reserva.</w:t>
      </w:r>
    </w:p>
    <w:p>
      <w:pPr>
        <w:pStyle w:val="NormalWeb"/>
        <w:spacing w:before="280" w:after="280"/>
        <w:jc w:val="both"/>
        <w:rPr>
          <w:rFonts w:ascii="Trebuchet MS" w:hAnsi="Trebuchet MS"/>
          <w:sz w:val="24"/>
          <w:szCs w:val="24"/>
        </w:rPr>
      </w:pPr>
      <w:r>
        <w:rPr>
          <w:rFonts w:ascii="Trebuchet MS" w:hAnsi="Trebuchet MS"/>
          <w:sz w:val="24"/>
          <w:szCs w:val="24"/>
        </w:rPr>
        <w:t xml:space="preserve">La Oficina deberá cumplimentar en el documento de Reserva los datos identificativos del cliente que consten pendientes de completar, así como la cuenta del cliente y la fecha de la firma de la Reserva, sin que deba modificarse ningún otro dato. Es imprescindible que el documento de reserva sea firmado por duplicado por todos y cada uno de los compradores que deberán coincidir con los titulares de la propuesta aprobada, así como por parte de los apoderados de la Oficina Grupo CaixaBank. Cualquier modificación en el documento deberá autorizarse expresamente por el Área de </w:t>
      </w:r>
      <w:r>
        <w:rPr>
          <w:rFonts w:ascii="Trebuchet MS" w:hAnsi="Trebuchet MS"/>
          <w:b/>
          <w:bCs/>
          <w:sz w:val="24"/>
          <w:szCs w:val="24"/>
        </w:rPr>
        <w:t>Asesoría Legal</w:t>
      </w:r>
      <w:r>
        <w:rPr>
          <w:rFonts w:ascii="Trebuchet MS" w:hAnsi="Trebuchet MS"/>
          <w:sz w:val="24"/>
          <w:szCs w:val="24"/>
        </w:rPr>
        <w:t>.</w:t>
      </w:r>
    </w:p>
    <w:p>
      <w:pPr>
        <w:pStyle w:val="NormalWeb"/>
        <w:spacing w:before="280" w:after="280"/>
        <w:jc w:val="both"/>
        <w:rPr>
          <w:rFonts w:ascii="Trebuchet MS" w:hAnsi="Trebuchet MS"/>
          <w:sz w:val="24"/>
          <w:szCs w:val="24"/>
        </w:rPr>
      </w:pPr>
      <w:r>
        <w:rPr>
          <w:rFonts w:ascii="Trebuchet MS" w:hAnsi="Trebuchet MS"/>
          <w:sz w:val="24"/>
          <w:szCs w:val="24"/>
        </w:rPr>
        <w:t>Firmado el documento de Reserva, se deberá escanear dicho documento y remitirlo a las direcciones de email del presente correo. En cuanto a los originales del documento de Reserva, uno se entregará al cliente, y el otro deberá remitirse por saca, a nombre de la gestoría asociada, al código de valija correspondiente para su archivo en el expediente:</w:t>
      </w:r>
    </w:p>
    <w:tbl>
      <w:tblPr>
        <w:tblStyle w:val="Tablaconcuadrcula"/>
        <w:tblW w:w="7877" w:type="dxa"/>
        <w:jc w:val="center"/>
        <w:tblInd w:w="0" w:type="dxa"/>
        <w:tblCellMar>
          <w:top w:w="0" w:type="dxa"/>
          <w:left w:w="108" w:type="dxa"/>
          <w:bottom w:w="0" w:type="dxa"/>
          <w:right w:w="108" w:type="dxa"/>
        </w:tblCellMar>
        <w:tblLook w:val="04a0" w:noHBand="0" w:noVBand="1" w:firstColumn="1" w:lastRow="0" w:lastColumn="0" w:firstRow="1"/>
      </w:tblPr>
      <w:tblGrid>
        <w:gridCol w:w="4252"/>
        <w:gridCol w:w="3624"/>
      </w:tblGrid>
      <w:tr>
        <w:trPr/>
        <w:tc>
          <w:tcPr>
            <w:tcW w:w="4252" w:type="dxa"/>
            <w:tcBorders/>
            <w:shd w:color="auto" w:fill="D9D9D9" w:themeFill="background1" w:themeFillShade="d9" w:val="clear"/>
          </w:tcPr>
          <w:p>
            <w:pPr>
              <w:pStyle w:val="NormalWeb"/>
              <w:spacing w:before="0" w:after="0"/>
              <w:jc w:val="both"/>
              <w:rPr>
                <w:rFonts w:ascii="Trebuchet MS" w:hAnsi="Trebuchet MS"/>
                <w:sz w:val="24"/>
                <w:szCs w:val="24"/>
              </w:rPr>
            </w:pPr>
            <w:r>
              <w:rPr>
                <w:rFonts w:ascii="Trebuchet MS" w:hAnsi="Trebuchet MS"/>
                <w:sz w:val="24"/>
                <w:szCs w:val="24"/>
              </w:rPr>
              <w:t>Gestoría asociada al expediente</w:t>
            </w:r>
          </w:p>
        </w:tc>
        <w:tc>
          <w:tcPr>
            <w:tcW w:w="3624" w:type="dxa"/>
            <w:tcBorders/>
            <w:shd w:color="auto" w:fill="D9D9D9" w:themeFill="background1" w:themeFillShade="d9" w:val="clear"/>
          </w:tcPr>
          <w:p>
            <w:pPr>
              <w:pStyle w:val="NormalWeb"/>
              <w:spacing w:before="0" w:after="0"/>
              <w:jc w:val="center"/>
              <w:rPr>
                <w:rFonts w:ascii="Trebuchet MS" w:hAnsi="Trebuchet MS"/>
                <w:sz w:val="24"/>
                <w:szCs w:val="24"/>
              </w:rPr>
            </w:pPr>
            <w:r>
              <w:rPr>
                <w:rFonts w:ascii="Trebuchet MS" w:hAnsi="Trebuchet MS"/>
                <w:sz w:val="24"/>
                <w:szCs w:val="24"/>
              </w:rPr>
              <w:t>Número de valija</w:t>
            </w:r>
          </w:p>
        </w:tc>
      </w:tr>
      <w:tr>
        <w:trPr/>
        <w:tc>
          <w:tcPr>
            <w:tcW w:w="4252" w:type="dxa"/>
            <w:tcBorders/>
          </w:tcPr>
          <w:p>
            <w:pPr>
              <w:pStyle w:val="NormalWeb"/>
              <w:spacing w:before="0" w:after="0"/>
              <w:jc w:val="both"/>
              <w:rPr>
                <w:rFonts w:ascii="Trebuchet MS" w:hAnsi="Trebuchet MS"/>
                <w:sz w:val="24"/>
                <w:szCs w:val="24"/>
              </w:rPr>
            </w:pPr>
            <w:r>
              <w:rPr>
                <w:rFonts w:ascii="Trebuchet MS" w:hAnsi="Trebuchet MS"/>
                <w:sz w:val="24"/>
                <w:szCs w:val="24"/>
              </w:rPr>
              <w:t>OGF</w:t>
            </w:r>
          </w:p>
        </w:tc>
        <w:tc>
          <w:tcPr>
            <w:tcW w:w="3624" w:type="dxa"/>
            <w:tcBorders/>
          </w:tcPr>
          <w:p>
            <w:pPr>
              <w:pStyle w:val="NormalWeb"/>
              <w:spacing w:before="0" w:after="0"/>
              <w:jc w:val="center"/>
              <w:rPr>
                <w:rFonts w:ascii="Trebuchet MS" w:hAnsi="Trebuchet MS"/>
                <w:sz w:val="24"/>
                <w:szCs w:val="24"/>
              </w:rPr>
            </w:pPr>
            <w:r>
              <w:rPr>
                <w:rFonts w:cs="Arial" w:ascii="Trebuchet MS" w:hAnsi="Trebuchet MS"/>
                <w:color w:val="222222"/>
                <w:sz w:val="24"/>
                <w:szCs w:val="24"/>
                <w:shd w:fill="FFFFFF" w:val="clear"/>
              </w:rPr>
              <w:t>2038  1739</w:t>
            </w:r>
          </w:p>
        </w:tc>
      </w:tr>
      <w:tr>
        <w:trPr/>
        <w:tc>
          <w:tcPr>
            <w:tcW w:w="4252" w:type="dxa"/>
            <w:tcBorders/>
          </w:tcPr>
          <w:p>
            <w:pPr>
              <w:pStyle w:val="NormalWeb"/>
              <w:spacing w:before="0" w:after="0"/>
              <w:jc w:val="both"/>
              <w:rPr>
                <w:rFonts w:ascii="Trebuchet MS" w:hAnsi="Trebuchet MS"/>
                <w:sz w:val="24"/>
                <w:szCs w:val="24"/>
              </w:rPr>
            </w:pPr>
            <w:r>
              <w:rPr>
                <w:rFonts w:ascii="Trebuchet MS" w:hAnsi="Trebuchet MS"/>
                <w:sz w:val="24"/>
                <w:szCs w:val="24"/>
              </w:rPr>
              <w:t>Tecnotramit</w:t>
            </w:r>
          </w:p>
        </w:tc>
        <w:tc>
          <w:tcPr>
            <w:tcW w:w="3624" w:type="dxa"/>
            <w:tcBorders/>
          </w:tcPr>
          <w:p>
            <w:pPr>
              <w:pStyle w:val="NormalWeb"/>
              <w:spacing w:before="0" w:after="0"/>
              <w:jc w:val="center"/>
              <w:rPr>
                <w:rFonts w:ascii="Trebuchet MS" w:hAnsi="Trebuchet MS"/>
                <w:sz w:val="24"/>
                <w:szCs w:val="24"/>
              </w:rPr>
            </w:pPr>
            <w:r>
              <w:rPr>
                <w:rFonts w:cs="Arial" w:ascii="Trebuchet MS" w:hAnsi="Trebuchet MS"/>
                <w:color w:val="222222"/>
                <w:sz w:val="24"/>
                <w:szCs w:val="24"/>
                <w:shd w:fill="FFFFFF" w:val="clear"/>
              </w:rPr>
              <w:t>2038  9208</w:t>
            </w:r>
          </w:p>
        </w:tc>
      </w:tr>
    </w:tbl>
    <w:p>
      <w:pPr>
        <w:pStyle w:val="NormalWeb"/>
        <w:spacing w:before="280" w:after="280"/>
        <w:jc w:val="both"/>
        <w:rPr>
          <w:rFonts w:ascii="Trebuchet MS" w:hAnsi="Trebuchet MS"/>
          <w:sz w:val="24"/>
          <w:szCs w:val="24"/>
        </w:rPr>
      </w:pPr>
      <w:r>
        <w:rPr>
          <w:rFonts w:ascii="Trebuchet MS" w:hAnsi="Trebuchet MS"/>
          <w:sz w:val="24"/>
          <w:szCs w:val="24"/>
        </w:rPr>
      </w:r>
      <w:bookmarkStart w:id="0" w:name="_GoBack"/>
      <w:bookmarkStart w:id="1" w:name="_GoBack"/>
      <w:bookmarkEnd w:id="1"/>
    </w:p>
    <w:p>
      <w:pPr>
        <w:pStyle w:val="NormalWeb"/>
        <w:spacing w:before="280" w:after="280"/>
        <w:jc w:val="both"/>
        <w:rPr>
          <w:rFonts w:ascii="Trebuchet MS" w:hAnsi="Trebuchet MS"/>
          <w:sz w:val="24"/>
          <w:szCs w:val="24"/>
        </w:rPr>
      </w:pPr>
      <w:r>
        <w:rPr>
          <w:rFonts w:ascii="Trebuchet MS" w:hAnsi="Trebuchet MS"/>
          <w:sz w:val="24"/>
          <w:szCs w:val="24"/>
        </w:rPr>
        <w:t xml:space="preserve">Reiteramos que los plazos estipulados en el presente documento se consideran esenciales para la toma de decisión indicada por lo que tanto; (i) la ausencia de comunicación del Interesado para formalizar el documento de Reserva, como; (ii) la ausencia de formalización del documento de reserva, implicará la paralización en los trámites de la operación de venta, estando en disposición de la Propietaria del Inmueble de anular la presente oferta, y proceder a la tramitación de la siguiente. </w:t>
      </w:r>
    </w:p>
    <w:p>
      <w:pPr>
        <w:pStyle w:val="Normal"/>
        <w:rPr>
          <w:rFonts w:ascii="Trebuchet MS" w:hAnsi="Trebuchet MS"/>
          <w:sz w:val="24"/>
          <w:szCs w:val="24"/>
        </w:rPr>
      </w:pPr>
      <w:r>
        <w:rPr>
          <w:rFonts w:ascii="Trebuchet MS" w:hAnsi="Trebuchet MS"/>
          <w:sz w:val="24"/>
          <w:szCs w:val="24"/>
        </w:rPr>
      </w:r>
    </w:p>
    <w:p>
      <w:pPr>
        <w:pStyle w:val="Normal"/>
        <w:rPr>
          <w:rFonts w:ascii="Trebuchet MS" w:hAnsi="Trebuchet MS"/>
          <w:sz w:val="24"/>
          <w:szCs w:val="24"/>
        </w:rPr>
      </w:pPr>
      <w:r>
        <w:rPr>
          <w:rFonts w:ascii="Trebuchet MS" w:hAnsi="Trebuchet MS"/>
          <w:sz w:val="24"/>
          <w:szCs w:val="24"/>
        </w:rPr>
      </w:r>
    </w:p>
    <w:p>
      <w:pPr>
        <w:pStyle w:val="Normal"/>
        <w:rPr>
          <w:rFonts w:ascii="Trebuchet MS" w:hAnsi="Trebuchet MS"/>
          <w:sz w:val="24"/>
          <w:szCs w:val="24"/>
        </w:rPr>
      </w:pPr>
      <w:r>
        <w:rPr>
          <w:rFonts w:ascii="Trebuchet MS" w:hAnsi="Trebuchet MS"/>
          <w:sz w:val="24"/>
          <w:szCs w:val="24"/>
        </w:rPr>
      </w:r>
    </w:p>
    <w:p>
      <w:pPr>
        <w:pStyle w:val="NormalWeb"/>
        <w:spacing w:before="280" w:after="280"/>
        <w:rPr>
          <w:rFonts w:ascii="Trebuchet MS" w:hAnsi="Trebuchet MS"/>
          <w:sz w:val="24"/>
          <w:szCs w:val="24"/>
        </w:rPr>
      </w:pPr>
      <w:r>
        <w:rPr>
          <w:rFonts w:ascii="Trebuchet MS" w:hAnsi="Trebuchet MS"/>
          <w:b/>
          <w:bCs/>
          <w:sz w:val="24"/>
          <w:szCs w:val="24"/>
          <w:u w:val="single"/>
        </w:rPr>
        <w:t>ALTA EN NEO CLIENTES</w:t>
      </w:r>
    </w:p>
    <w:p>
      <w:pPr>
        <w:pStyle w:val="NormalWeb"/>
        <w:spacing w:before="280" w:after="280"/>
        <w:jc w:val="both"/>
        <w:rPr>
          <w:rFonts w:ascii="Trebuchet MS" w:hAnsi="Trebuchet MS"/>
          <w:sz w:val="24"/>
          <w:szCs w:val="24"/>
        </w:rPr>
      </w:pPr>
      <w:r>
        <w:rPr>
          <w:rFonts w:ascii="Trebuchet MS" w:hAnsi="Trebuchet MS"/>
          <w:sz w:val="24"/>
          <w:szCs w:val="24"/>
        </w:rPr>
        <w:t>La Oficina, deberá dar de alta como cliente Grupo CaixaBank al comprador/es de la operación si la oferta aprobada corresponde un activo/lote cuyo propietario sea Grupo CaixaBank.</w:t>
      </w:r>
    </w:p>
    <w:p>
      <w:pPr>
        <w:pStyle w:val="NormalWeb"/>
        <w:spacing w:before="280" w:after="280"/>
        <w:rPr>
          <w:rFonts w:ascii="Trebuchet MS" w:hAnsi="Trebuchet MS"/>
          <w:sz w:val="24"/>
          <w:szCs w:val="24"/>
        </w:rPr>
      </w:pPr>
      <w:r>
        <w:rPr>
          <w:rFonts w:ascii="Trebuchet MS" w:hAnsi="Trebuchet MS"/>
          <w:b/>
          <w:bCs/>
          <w:sz w:val="24"/>
          <w:szCs w:val="24"/>
          <w:u w:val="single"/>
        </w:rPr>
        <w:t xml:space="preserve">COBRO RESERVA/VENTA-TRANSACCIÓN NEO </w:t>
      </w:r>
    </w:p>
    <w:p>
      <w:pPr>
        <w:pStyle w:val="NormalWeb"/>
        <w:spacing w:before="280" w:after="280"/>
        <w:jc w:val="both"/>
        <w:rPr>
          <w:rFonts w:ascii="Trebuchet MS" w:hAnsi="Trebuchet MS"/>
          <w:sz w:val="24"/>
          <w:szCs w:val="24"/>
        </w:rPr>
      </w:pPr>
      <w:r>
        <w:rPr>
          <w:rFonts w:ascii="Trebuchet MS" w:hAnsi="Trebuchet MS"/>
          <w:sz w:val="24"/>
          <w:szCs w:val="24"/>
        </w:rPr>
        <w:t>Si el comprador no dispone de cuenta en Grupo CaixaBank y/o financia otra entidad, el cobro se hará mediante cheque bancario.</w:t>
      </w:r>
    </w:p>
    <w:p>
      <w:pPr>
        <w:pStyle w:val="NormalWeb"/>
        <w:spacing w:before="280" w:after="280"/>
        <w:jc w:val="both"/>
        <w:rPr>
          <w:rFonts w:ascii="Trebuchet MS" w:hAnsi="Trebuchet MS"/>
          <w:sz w:val="24"/>
          <w:szCs w:val="24"/>
        </w:rPr>
      </w:pPr>
      <w:r>
        <w:rPr>
          <w:rFonts w:ascii="Trebuchet MS" w:hAnsi="Trebuchet MS"/>
          <w:sz w:val="24"/>
          <w:szCs w:val="24"/>
        </w:rPr>
        <w:t xml:space="preserve">Si se trata de una operación financiada por Grupo CaixaBank o es cliente de Grupo CaixaBank, se realizará </w:t>
      </w:r>
      <w:r>
        <w:rPr>
          <w:rFonts w:ascii="Trebuchet MS" w:hAnsi="Trebuchet MS"/>
          <w:b/>
          <w:bCs/>
          <w:sz w:val="24"/>
          <w:szCs w:val="24"/>
        </w:rPr>
        <w:t>SIEMPRE CARGO EN CUENTA</w:t>
      </w:r>
      <w:r>
        <w:rPr>
          <w:rFonts w:ascii="Trebuchet MS" w:hAnsi="Trebuchet MS"/>
          <w:sz w:val="24"/>
          <w:szCs w:val="24"/>
        </w:rPr>
        <w:t>, utilizándose el documento que se imprime en ese momento, como justificante de cobro para adjuntar a la escritura de compraventa.</w:t>
      </w:r>
    </w:p>
    <w:p>
      <w:pPr>
        <w:pStyle w:val="NormalWeb"/>
        <w:spacing w:before="280" w:after="280"/>
        <w:rPr>
          <w:rFonts w:ascii="Trebuchet MS" w:hAnsi="Trebuchet MS"/>
          <w:sz w:val="24"/>
          <w:szCs w:val="24"/>
        </w:rPr>
      </w:pPr>
      <w:r>
        <w:rPr>
          <w:rFonts w:ascii="Trebuchet MS" w:hAnsi="Trebuchet MS"/>
          <w:b/>
          <w:bCs/>
          <w:sz w:val="24"/>
          <w:szCs w:val="24"/>
          <w:u w:val="single"/>
        </w:rPr>
        <w:t>TRAMITACIÓN DE LA ESCRITURA DE COMPRAVENTA</w:t>
      </w:r>
    </w:p>
    <w:p>
      <w:pPr>
        <w:pStyle w:val="NormalWeb"/>
        <w:spacing w:before="280" w:after="280"/>
        <w:jc w:val="both"/>
        <w:rPr>
          <w:rFonts w:ascii="Trebuchet MS" w:hAnsi="Trebuchet MS"/>
          <w:sz w:val="24"/>
          <w:szCs w:val="24"/>
        </w:rPr>
      </w:pPr>
      <w:r>
        <w:rPr>
          <w:rFonts w:ascii="Trebuchet MS" w:hAnsi="Trebuchet MS"/>
          <w:sz w:val="24"/>
          <w:szCs w:val="24"/>
        </w:rPr>
        <w:t xml:space="preserve">La coordinación de todos los trámites de la operación de venta será encargada a una gestoría de seguimiento, tutelada por el </w:t>
      </w:r>
      <w:r>
        <w:rPr>
          <w:rFonts w:ascii="Trebuchet MS" w:hAnsi="Trebuchet MS"/>
          <w:b/>
          <w:bCs/>
          <w:sz w:val="24"/>
          <w:szCs w:val="24"/>
        </w:rPr>
        <w:t>Área de Asesoría Legal</w:t>
      </w:r>
      <w:r>
        <w:rPr>
          <w:rFonts w:ascii="Trebuchet MS" w:hAnsi="Trebuchet MS"/>
          <w:sz w:val="24"/>
          <w:szCs w:val="24"/>
        </w:rPr>
        <w:t>. La intervención de esta Gestoría es necesaria e independiente de los trámites que realiza su Gestoría habitual para la financiación de la operación y no representa coste alguno para el cliente.</w:t>
      </w:r>
    </w:p>
    <w:p>
      <w:pPr>
        <w:pStyle w:val="NormalWeb"/>
        <w:spacing w:before="280" w:after="280"/>
        <w:jc w:val="both"/>
        <w:rPr>
          <w:rFonts w:ascii="Trebuchet MS" w:hAnsi="Trebuchet MS"/>
          <w:sz w:val="24"/>
          <w:szCs w:val="24"/>
        </w:rPr>
      </w:pPr>
      <w:r>
        <w:rPr>
          <w:rFonts w:ascii="Trebuchet MS" w:hAnsi="Trebuchet MS"/>
          <w:sz w:val="24"/>
          <w:szCs w:val="24"/>
        </w:rPr>
        <w:t xml:space="preserve">Asimismo, les indicamos que la operación de venta ha sido aprobada por el Comité de la Entidad en los términos recogidos en la presente comunicación en cuanto a titulares y demás condiciones. </w:t>
      </w:r>
      <w:r>
        <w:rPr>
          <w:rFonts w:ascii="Trebuchet MS" w:hAnsi="Trebuchet MS"/>
          <w:b/>
          <w:bCs/>
          <w:sz w:val="24"/>
          <w:szCs w:val="24"/>
        </w:rPr>
        <w:t>Cualquier modificación deberá ser solicitada por correo electrónico y con tiempo suficiente a la Gestoría designada.</w:t>
      </w:r>
    </w:p>
    <w:p>
      <w:pPr>
        <w:pStyle w:val="NormalWeb"/>
        <w:spacing w:before="280" w:after="280"/>
        <w:rPr>
          <w:rFonts w:ascii="Trebuchet MS" w:hAnsi="Trebuchet MS"/>
          <w:sz w:val="24"/>
          <w:szCs w:val="24"/>
        </w:rPr>
      </w:pPr>
      <w:r>
        <w:rPr>
          <w:rFonts w:ascii="Trebuchet MS" w:hAnsi="Trebuchet MS"/>
          <w:sz w:val="24"/>
          <w:szCs w:val="24"/>
        </w:rPr>
        <w:t xml:space="preserve">Quedamos a su disposición para cualquier consulta o aclaración. Saludos cordiales. </w:t>
      </w:r>
    </w:p>
    <w:p>
      <w:pPr>
        <w:pStyle w:val="Normal"/>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rebuchet MS">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60734"/>
    <w:pPr>
      <w:widowControl/>
      <w:bidi w:val="0"/>
      <w:spacing w:lineRule="auto" w:line="240" w:before="0" w:after="0"/>
      <w:jc w:val="left"/>
    </w:pPr>
    <w:rPr>
      <w:rFonts w:ascii="Calibri" w:hAnsi="Calibri" w:cs="Calibri" w:eastAsia="Calibri" w:asciiTheme="minorHAnsi" w:eastAsiaTheme="minorHAnsi" w:hAnsiTheme="minorHAnsi"/>
      <w:color w:val="auto"/>
      <w:kern w:val="0"/>
      <w:sz w:val="22"/>
      <w:szCs w:val="22"/>
      <w:lang w:eastAsia="es-ES" w:val="es-ES" w:bidi="ar-SA"/>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semiHidden/>
    <w:unhideWhenUsed/>
    <w:rsid w:val="00f60734"/>
    <w:rPr>
      <w:color w:val="0000FF"/>
      <w:u w:val="single"/>
    </w:rPr>
  </w:style>
  <w:style w:type="character" w:styleId="Strong">
    <w:name w:val="Strong"/>
    <w:basedOn w:val="DefaultParagraphFont"/>
    <w:uiPriority w:val="22"/>
    <w:qFormat/>
    <w:rsid w:val="00f60734"/>
    <w:rPr>
      <w:b/>
      <w:bC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nhideWhenUsed/>
    <w:qFormat/>
    <w:rsid w:val="00f60734"/>
    <w:pPr>
      <w:spacing w:beforeAutospacing="1" w:afterAutospacing="1"/>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f6073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LibreOffice/6.4.6.2$Linux_X86_64 LibreOffice_project/40$Build-2</Application>
  <Pages>2</Pages>
  <Words>581</Words>
  <Characters>3090</Characters>
  <CharactersWithSpaces>3654</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2017-11-13T13:01:00Z</dcterms:created>
  <dc:creator>Hector Victor Rodero</dc:creator>
  <dc:description/>
  <dc:language>es-ES</dc:language>
  <cp:lastModifiedBy/>
  <dcterms:modified xsi:type="dcterms:W3CDTF">2021-03-09T10:49:28Z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