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Georgia" w:cs="Georgia" w:eastAsia="Georgia" w:hAnsi="Georgia"/>
          <w:b/>
          <w:bCs/>
          <w:color w:val="1B2A4A"/>
          <w:sz w:val="52"/>
          <w:szCs w:val="52"/>
        </w:rPr>
        <w:t xml:space="preserve">BOEHS &amp; BOEHS</w:t>
      </w:r>
    </w:p>
    <w:p>
      <w:pPr>
        <w:spacing w:after="80" w:before="0"/>
        <w:jc w:val="center"/>
      </w:pPr>
      <w:r>
        <w:rPr>
          <w:rFonts w:ascii="Georgia" w:cs="Georgia" w:eastAsia="Georgia" w:hAnsi="Georgia"/>
          <w:i/>
          <w:iCs/>
          <w:color w:val="C8A951"/>
          <w:sz w:val="32"/>
          <w:szCs w:val="32"/>
        </w:rPr>
        <w:t xml:space="preserve">Advocacia e Consultoria</w:t>
      </w:r>
    </w:p>
    <w:p>
      <w:pPr>
        <w:spacing w:after="480" w:before="6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Sociedade Unipessoal de Advogado</w:t>
      </w:r>
    </w:p>
    <w:p>
      <w:pPr>
        <w:pBdr>
          <w:bottom w:val="single" w:color="C8A951" w:sz="6" w:space="1"/>
        </w:pBdr>
        <w:spacing w:after="0" w:before="0"/>
        <w:jc w:val="center"/>
      </w:pPr>
    </w:p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PLANO MESTRE DO ESCRITÓRIO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Estrutura, Operação e Governança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C8A951" w:sz="4" w:space="6"/>
        </w:pBdr>
        <w:spacing w:after="120" w:before="360"/>
      </w:pPr>
      <w:r>
        <w:rPr>
          <w:rFonts w:ascii="Georgia" w:cs="Georgia" w:eastAsia="Georgia" w:hAnsi="Georgia"/>
          <w:b/>
          <w:bCs/>
          <w:color w:val="1B2A4A"/>
          <w:sz w:val="28"/>
          <w:szCs w:val="28"/>
        </w:rPr>
        <w:t xml:space="preserve">1. Identificação do Escritório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0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Denominação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Boehs &amp; Boehs Advocacia e Consultoria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0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Natureza Jurídica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Sociedade Unipessoal de Advogado (art. 15, §§ 1º ao 3º, EOAB)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0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Sócio Único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Pedro Augusto Boehs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0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OAB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Inscrição ativa — a confirmar seccional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0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Sede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 definir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0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Contato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pedroboehs@gmail.com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0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Área de Atuação Principal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Advocacia e Consultoria Jurídica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0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Situação Atual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 processo de constituição formal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C8A951" w:sz="4" w:space="6"/>
        </w:pBdr>
        <w:spacing w:after="120" w:before="360"/>
      </w:pPr>
      <w:r>
        <w:rPr>
          <w:rFonts w:ascii="Georgia" w:cs="Georgia" w:eastAsia="Georgia" w:hAnsi="Georgia"/>
          <w:b/>
          <w:bCs/>
          <w:color w:val="1B2A4A"/>
          <w:sz w:val="28"/>
          <w:szCs w:val="28"/>
        </w:rPr>
        <w:t xml:space="preserve">2. Constituição da Sociedade Unipessoal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2.1 Base Legal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Sociedade Unipessoal de Advogado é regulamentada pelo art. 15, §§ 1º ao 3º do Estatuto da OAB (Lei 8.906/94), com redação dada pela Lei 13.247/2016, e pela Resolução OAB n.º 2/2016.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2.2 Passos para Constituição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Elaborar o Contrato Social (ato de constituição da sociedade unipessoal)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Registrar na seccional da OAB do estado de atuação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Obter o CNPJ junto à Receita Federal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Registrar na Prefeitura Municipal para emissão de alvará e Inscrição Municipal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Contratar contador para enquadramento fiscal (Simples Nacional — Anexo IV)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Abrir conta bancária jurídica em nome da sociedade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Cadastrar dados bancários para recebimento de honorários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2.3 Regime Tributário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enquadramento recomendado inicial é o Simples Nacional — Anexo IV (serviços advocatícios), com alíquota efetiva variável conforme a receita bruta anual. Verificar se há vantagem comparativa no Lucro Presumido conforme o faturamento projetado.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C8A951" w:sz="4" w:space="6"/>
        </w:pBdr>
        <w:spacing w:after="120" w:before="360"/>
      </w:pPr>
      <w:r>
        <w:rPr>
          <w:rFonts w:ascii="Georgia" w:cs="Georgia" w:eastAsia="Georgia" w:hAnsi="Georgia"/>
          <w:b/>
          <w:bCs/>
          <w:color w:val="1B2A4A"/>
          <w:sz w:val="28"/>
          <w:szCs w:val="28"/>
        </w:rPr>
        <w:t xml:space="preserve">3. Áreas de Atuação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escritório atuará nas seguintes áreas, a serem confirmadas e priorizadas conforme o perfil de clientes e a estratégia comercial: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Área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Serviços / Produtos Jurídicos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Direito Civil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Contratos, responsabilidade civil, família, sucessões, imobiliário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Direito Empresarial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Constituição e dissolução de empresas, contratos empresariais, societário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Direito do Trabalho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Relações trabalhistas, rescisões, ações trabalhistas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Consultoria Jurídica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Pareceres, due diligence, assessoria preventiva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Direito do Consumidor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Defesa do consumidor, relações de consumo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Direito Administrativo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Licitações, contratos públicos, servidores públicos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C8A951" w:sz="4" w:space="6"/>
        </w:pBdr>
        <w:spacing w:after="120" w:before="360"/>
      </w:pPr>
      <w:r>
        <w:rPr>
          <w:rFonts w:ascii="Georgia" w:cs="Georgia" w:eastAsia="Georgia" w:hAnsi="Georgia"/>
          <w:b/>
          <w:bCs/>
          <w:color w:val="1B2A4A"/>
          <w:sz w:val="28"/>
          <w:szCs w:val="28"/>
        </w:rPr>
        <w:t xml:space="preserve">4. Estrutura de Organização Digital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Os arquivos do escritório estão organizados na seguinte estrutura de pastas: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2"/>
        </w:tblCellMar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0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01. CONSTITUIÇÃO DO ESCRITÓRIO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Ato constitutivo, CNPJ, alvarás, documentos societários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2"/>
        </w:tblCellMar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0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02. CLIENTES E PROCESSOS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Fichas de clientes, processos ativos/encerrados, prazos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2"/>
        </w:tblCellMar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0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03. DOCUMENTOS E MODELOS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Contratos, procurações, petições, pareceres, notificações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2"/>
        </w:tblCellMar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0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04. FINANCEIRO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Propostas, faturas, recibos, controle de pagamentos, despesas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2"/>
        </w:tblCellMar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0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05. IDENTIDADE VISUAL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Logos, papelaria, templates, referências de design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2"/>
        </w:tblCellMar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0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06. ADMINISTRATIVO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Correspondências, certidões, documentos do escritório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2"/>
        </w:tblCellMar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0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07. BIBLIOTECA JURÍDICA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Legislação, jurisprudência, doutrina e artigos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C8A951" w:sz="4" w:space="6"/>
        </w:pBdr>
        <w:spacing w:after="120" w:before="360"/>
      </w:pPr>
      <w:r>
        <w:rPr>
          <w:rFonts w:ascii="Georgia" w:cs="Georgia" w:eastAsia="Georgia" w:hAnsi="Georgia"/>
          <w:b/>
          <w:bCs/>
          <w:color w:val="1B2A4A"/>
          <w:sz w:val="28"/>
          <w:szCs w:val="28"/>
        </w:rPr>
        <w:t xml:space="preserve">5. Gestão de Clientes e Processos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5.1 Fluxo de Atendimento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2640"/>
        <w:gridCol w:w="6360"/>
      </w:tblGrid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0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Primeiro contato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Reunião inicial para levantamento de fatos e documentos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2640"/>
        <w:gridCol w:w="6360"/>
      </w:tblGrid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0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Análise do caso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Avaliação jurídica, pesquisa de legislação e jurisprudência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2640"/>
        <w:gridCol w:w="6360"/>
      </w:tblGrid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0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Proposta de honorários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Elaboração e envio de proposta formal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2640"/>
        <w:gridCol w:w="6360"/>
      </w:tblGrid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0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Contrato de honorários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Assinatura do contrato e recebimento de eventual adiantamento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2640"/>
        <w:gridCol w:w="6360"/>
      </w:tblGrid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0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Execução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Atuação no processo ou consultoria contratada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2640"/>
        <w:gridCol w:w="6360"/>
      </w:tblGrid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0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Prestação de contas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Relatório periódico ao cliente sobre andamento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2640"/>
        <w:gridCol w:w="6360"/>
      </w:tblGrid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7</w:t>
            </w:r>
          </w:p>
        </w:tc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0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Encerramento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Arquivo do processo e emissão do recibo final</w:t>
            </w:r>
          </w:p>
        </w:tc>
      </w:tr>
    </w:tbl>
    <w:p>
      <w:pPr>
        <w:spacing w:after="80" w:before="2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5.2 Política de Conflito de Interesses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Antes de aceitar qualquer novo caso, verificar se existe conflito de interesses com clientes atuais ou anteriores, conforme exige o Código de Ética e Disciplina da OAB (art. 18 e ss.). Manter registro atualizado de todos os clientes e partes adversas.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C8A951" w:sz="4" w:space="6"/>
        </w:pBdr>
        <w:spacing w:after="120" w:before="360"/>
      </w:pPr>
      <w:r>
        <w:rPr>
          <w:rFonts w:ascii="Georgia" w:cs="Georgia" w:eastAsia="Georgia" w:hAnsi="Georgia"/>
          <w:b/>
          <w:bCs/>
          <w:color w:val="1B2A4A"/>
          <w:sz w:val="28"/>
          <w:szCs w:val="28"/>
        </w:rPr>
        <w:t xml:space="preserve">6. Estrutura Financeira e Honorários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6.1 Modalidades de Honorários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Honorários fixos: valor certo pela prestação do serviço (consultoria, elaboração de documentos)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Honorários por êxito: percentual sobre o benefício econômico obtido (vedada exclusividade — art. 49, CED)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Honorários mistos: combinação de valor fixo + percentual de êxito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Hora técnica: cobrança por hora trabalhada, com planilha de controle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6.2 Boas Práticas de Cobrança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Sempre formalizar a contratação por escrito, antes de iniciar qualquer trabalho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Emitir recibo para todo pagamento recebido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Separar conta bancária jurídica da conta pessoal do advogado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Controlar prazos de vencimento e inadimplência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Precificar levando em conta: complexidade, urgência, valor da causa e condição do cliente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6.3 Tabela de Referência de Honorários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fixação de honorários deve observar a Tabela de Honorários da seccional da OAB, que serve como referência mínima. É vedada a cobrança abaixo do mínimo tabular (art. 48, CED), salvo situação de hipossuficiência justificada.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C8A951" w:sz="4" w:space="6"/>
        </w:pBdr>
        <w:spacing w:after="120" w:before="360"/>
      </w:pPr>
      <w:r>
        <w:rPr>
          <w:rFonts w:ascii="Georgia" w:cs="Georgia" w:eastAsia="Georgia" w:hAnsi="Georgia"/>
          <w:b/>
          <w:bCs/>
          <w:color w:val="1B2A4A"/>
          <w:sz w:val="28"/>
          <w:szCs w:val="28"/>
        </w:rPr>
        <w:t xml:space="preserve">7. Próximos Passos Prioritários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5400"/>
        <w:gridCol w:w="2040"/>
        <w:gridCol w:w="1560"/>
      </w:tblGrid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Ação</w:t>
            </w:r>
          </w:p>
        </w:tc>
        <w:tc>
          <w:tcPr>
            <w:tcW w:type="dxa" w:w="2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1</w:t>
            </w:r>
          </w:p>
        </w:tc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Definir denominação social e verificar disponibilidade na OAB</w:t>
            </w:r>
          </w:p>
        </w:tc>
        <w:tc>
          <w:tcPr>
            <w:tcW w:type="dxa" w:w="2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Pedro Boehs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Pendente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2</w:t>
            </w:r>
          </w:p>
        </w:tc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Elaborar ato constitutivo / contrato social</w:t>
            </w:r>
          </w:p>
        </w:tc>
        <w:tc>
          <w:tcPr>
            <w:tcW w:type="dxa" w:w="2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Pedro Boehs / Contador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Pendente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3</w:t>
            </w:r>
          </w:p>
        </w:tc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Registrar sociedade na seccional da OAB</w:t>
            </w:r>
          </w:p>
        </w:tc>
        <w:tc>
          <w:tcPr>
            <w:tcW w:type="dxa" w:w="2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Pedro Boehs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Pendente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4</w:t>
            </w:r>
          </w:p>
        </w:tc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Obter CNPJ na Receita Federal</w:t>
            </w:r>
          </w:p>
        </w:tc>
        <w:tc>
          <w:tcPr>
            <w:tcW w:type="dxa" w:w="2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Contador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Pendente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5</w:t>
            </w:r>
          </w:p>
        </w:tc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Registrar na Prefeitura (alvará e Inscrição Municipal)</w:t>
            </w:r>
          </w:p>
        </w:tc>
        <w:tc>
          <w:tcPr>
            <w:tcW w:type="dxa" w:w="2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Contador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Pendente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6</w:t>
            </w:r>
          </w:p>
        </w:tc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Abrir conta bancária jurídica</w:t>
            </w:r>
          </w:p>
        </w:tc>
        <w:tc>
          <w:tcPr>
            <w:tcW w:type="dxa" w:w="2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Pedro Boehs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Pendente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7</w:t>
            </w:r>
          </w:p>
        </w:tc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Definir e registrar identidade visual (logo, papelaria)</w:t>
            </w:r>
          </w:p>
        </w:tc>
        <w:tc>
          <w:tcPr>
            <w:tcW w:type="dxa" w:w="2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Pedro Boehs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Em andamento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8</w:t>
            </w:r>
          </w:p>
        </w:tc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Criar site institucional e perfil profissional</w:t>
            </w:r>
          </w:p>
        </w:tc>
        <w:tc>
          <w:tcPr>
            <w:tcW w:type="dxa" w:w="2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Pedro Boehs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Pendente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9</w:t>
            </w:r>
          </w:p>
        </w:tc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Elaborar modelos de contratos e documentos</w:t>
            </w:r>
          </w:p>
        </w:tc>
        <w:tc>
          <w:tcPr>
            <w:tcW w:type="dxa" w:w="2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Pedro Boehs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Em andamento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10</w:t>
            </w:r>
          </w:p>
        </w:tc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Definir áreas de atuação prioritárias e estratégia comercial</w:t>
            </w:r>
          </w:p>
        </w:tc>
        <w:tc>
          <w:tcPr>
            <w:tcW w:type="dxa" w:w="2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Pedro Boehs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Em andamento</w:t>
            </w:r>
          </w:p>
        </w:tc>
      </w:tr>
    </w:tbl>
    <w:p>
      <w:pPr>
        <w:spacing w:after="120" w:before="48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— Documento vivo: atualizar conforme o escritório evolui —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4"/>
      </w:pBdr>
      <w:spacing w:before="80"/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Documento interno | Boehs &amp; Boehs Advocacia e Consultoria |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A951" w:sz="4" w:space="4"/>
      </w:pBdr>
      <w:tabs>
        <w:tab w:val="right" w:pos="9026"/>
      </w:tabs>
      <w:spacing w:after="120"/>
    </w:pPr>
    <w:r>
      <w:rPr>
        <w:rFonts w:ascii="Georgia" w:cs="Georgia" w:eastAsia="Georgia" w:hAnsi="Georgia"/>
        <w:b/>
        <w:bCs/>
        <w:color w:val="1B2A4A"/>
        <w:sz w:val="20"/>
        <w:szCs w:val="20"/>
      </w:rPr>
      <w:t xml:space="preserve">BOEHS &amp; BOEHS</w:t>
    </w: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	Advocacia e Consultoria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Georgia" w:cs="Georgia" w:eastAsia="Georgia" w:hAnsi="Georgia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B2A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2026-06-01T18:19:09.865Z</dcterms:created>
  <dcterms:modified xsi:type="dcterms:W3CDTF">2026-06-01T18:19:09.867Z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