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Pr>
      <w:r>
        <w:rPr>
          <w:b/>
          <w:sz w:val="26"/>
        </w:rPr>
        <w:t>Cover letter</w:t>
      </w:r>
    </w:p>
    <w:p>
      <w:pPr>
        <w:jc w:val="both"/>
      </w:pPr>
      <w:r>
        <w:rPr>
          <w:i/>
        </w:rPr>
        <w:t>[Date]</w:t>
      </w:r>
    </w:p>
    <w:p>
      <w:pPr>
        <w:jc w:val="both"/>
      </w:pPr>
      <w:r>
        <w:t xml:space="preserve">To the Editors </w:t>
      </w:r>
      <w:r>
        <w:rPr>
          <w:b/>
        </w:rPr>
        <w:t>Journal of Neuroscience Methods</w:t>
      </w:r>
    </w:p>
    <w:p>
      <w:pPr>
        <w:jc w:val="both"/>
      </w:pPr>
      <w:r>
        <w:t>Dear Editors,</w:t>
      </w:r>
    </w:p>
    <w:p>
      <w:pPr>
        <w:jc w:val="both"/>
      </w:pPr>
      <w:r>
        <w:t xml:space="preserve">Please consider the enclosed manuscript, </w:t>
      </w:r>
      <w:r>
        <w:rPr>
          <w:b/>
        </w:rPr>
        <w:t>"Percept LFP Studio: offline, dependency-free analysis of implanted neurostimulator local field potentials with enforced uncertainty reporting"</w:t>
      </w:r>
      <w:r>
        <w:t xml:space="preserve">, for publication as a Research Article in the </w:t>
      </w:r>
      <w:r>
        <w:rPr>
          <w:i/>
        </w:rPr>
        <w:t>Journal of Neuroscience Methods</w:t>
      </w:r>
      <w:r>
        <w:t>.</w:t>
      </w:r>
    </w:p>
    <w:p>
      <w:pPr>
        <w:jc w:val="both"/>
      </w:pPr>
      <w:r>
        <w:t xml:space="preserve">Chronic-sensing deep brain stimulators now generate longitudinal human basal ganglia electrophysiology as a by-product of routine care. The existing analysis toolboxes for these data — </w:t>
      </w:r>
      <w:r>
        <w:rPr>
          <w:i/>
        </w:rPr>
        <w:t>perceive</w:t>
      </w:r>
      <w:r>
        <w:t xml:space="preserve">, </w:t>
      </w:r>
      <w:r>
        <w:rPr>
          <w:i/>
        </w:rPr>
        <w:t>PerceptToolbox</w:t>
      </w:r>
      <w:r>
        <w:t xml:space="preserve">, </w:t>
      </w:r>
      <w:r>
        <w:rPr>
          <w:i/>
        </w:rPr>
        <w:t>DBScope</w:t>
      </w:r>
      <w:r>
        <w:t xml:space="preserve">, </w:t>
      </w:r>
      <w:r>
        <w:rPr>
          <w:i/>
        </w:rPr>
        <w:t>py_neuromodulation</w:t>
      </w:r>
      <w:r>
        <w:t xml:space="preserve">, </w:t>
      </w:r>
      <w:r>
        <w:rPr>
          <w:i/>
        </w:rPr>
        <w:t>BRAVO</w:t>
      </w:r>
      <w:r>
        <w:t xml:space="preserve"> — are capable and actively maintained, but each requires an installed scientific computing stack, and some route the recording through a server. In the clinical environments where these files are actually produced, installing MATLAB or Python on a workstation is frequently impossible, and transmitting an identifiable neurophysiological recording anywhere triggers institutional review that outlasts the clinical question.</w:t>
      </w:r>
    </w:p>
    <w:p>
      <w:pPr>
        <w:jc w:val="both"/>
      </w:pPr>
      <w:r>
        <w:t>We report a tool built under three simultaneous constraints: no installation, no network traffic of any kind, and no third-party runtime dependency in the executed code. The result is a single 868 KB browser file implementing 29 analyses, including multitaper estimation with jackknife confidence intervals, full spectral parameterisation with AIC model selection, Morlet wavelet decomposition, phase-amplitude coupling, cluster-based permutation testing following Maris and Oostenveld (published in this journal in 2007), and block-bootstrap cosinor inference. Signal processing, statistics, plotting and the PDF, EDF+ and ZIP writers are original implementations.</w:t>
      </w:r>
    </w:p>
    <w:p>
      <w:pPr>
        <w:jc w:val="both"/>
      </w:pPr>
      <w:r>
        <w:t>We believe two aspects are of particular interest to this readership.</w:t>
      </w:r>
    </w:p>
    <w:p>
      <w:pPr>
        <w:jc w:val="both"/>
      </w:pPr>
      <w:r>
        <w:t xml:space="preserve">First, </w:t>
      </w:r>
      <w:r>
        <w:rPr>
          <w:b/>
        </w:rPr>
        <w:t>the validation strategy</w:t>
      </w:r>
      <w:r>
        <w:t>. With no real recordings available, we validated against synthetic signals with known generating parameters (87 pre-specified acceptance criteria, all passed) and, where closed-form results exist, against analytic identities rather than against another implementation — reasoning that an incorrect fast routine and a test written from that routine would agree with each other. Spectral density scaling recovers Parseval's identity exactly; the arbitrary-length Fourier transform matches the O(N²) definition of the DFT to 2.3 × 10⁻¹⁴.</w:t>
      </w:r>
    </w:p>
    <w:p>
      <w:pPr>
        <w:jc w:val="both"/>
      </w:pPr>
      <w:r>
        <w:t xml:space="preserve">Second, </w:t>
      </w:r>
      <w:r>
        <w:rPr>
          <w:b/>
        </w:rPr>
        <w:t>enforced reporting</w:t>
      </w:r>
      <w:r>
        <w:t>. Every parameter-dependent quantity is emitted as a value–parameter pair, every available quality indicator accompanies its metric, missing samples propagate as NaN with explicit accounting rather than being imputed, and the software returns a stated reason instead of a number when the data do not support an estimate. Because these are structural properties verified by the test suite, an export lacking its parameter is not a lapse of author discipline but an impossibility. We suggest this pattern is transferable independently of the platform.</w:t>
      </w:r>
    </w:p>
    <w:p>
      <w:pPr>
        <w:jc w:val="both"/>
      </w:pPr>
      <w:r>
        <w:t xml:space="preserve">We wish to be explicit about the principal limitation, which is stated in the abstract, the discussion and the conclusions: </w:t>
      </w:r>
      <w:r>
        <w:rPr>
          <w:b/>
        </w:rPr>
        <w:t>the tool has not been validated on real patient recordings</w:t>
      </w:r>
      <w:r>
        <w:t>. The benchmark establishes that the implementations recover the parameters of signals whose parameters are known; it does not establish agreement with other toolboxes on the same file, correlation with clinical state, or cross-centre reproducibility. We consider the methodological contribution reportable on its own terms, and the validation study is our stated immediate priority, but we would rather the limitation be weighed by reviewers than discovered by them.</w:t>
      </w:r>
    </w:p>
    <w:p>
      <w:pPr>
        <w:jc w:val="both"/>
      </w:pPr>
      <w:r>
        <w:t>We also disclose that generative artificial intelligence (Claude, Anthropic) was used substantially in software implementation and in preparation of this manuscript, as detailed in Methods Section 2.10 and in the declarations. All code and text were reviewed by the author, who takes full responsibility for the content. No artificial intelligence system is listed as an author or cited as a reference. The complete development history, including AI-assisted commits, is public.</w:t>
      </w:r>
    </w:p>
    <w:p>
      <w:pPr>
        <w:jc w:val="both"/>
      </w:pPr>
      <w:r>
        <w:t>The complete source code, the deterministic synthetic dataset generator, the 249-test regression suite and the 87-criterion benchmark harness are openly available under the MIT license at https://github.com/pedrobrandao-neurologia/LFP_analysis. Every quantitative claim in the manuscript is regenerated by two commands documented in the repository. No patient data are included or required.</w:t>
      </w:r>
    </w:p>
    <w:p>
      <w:pPr>
        <w:jc w:val="both"/>
      </w:pPr>
      <w:r>
        <w:t>The manuscript is original, has not been published elsewhere, and is not under consideration by another journal. There are no competing interests, and the work received no funding. The author has no relationship with Medtronic or with the developers of any toolbox referenced.</w:t>
      </w:r>
    </w:p>
    <w:p>
      <w:pPr>
        <w:jc w:val="both"/>
      </w:pPr>
      <w:r>
        <w:t>Thank you for considering this work.</w:t>
      </w:r>
    </w:p>
    <w:p>
      <w:pPr>
        <w:jc w:val="both"/>
      </w:pPr>
      <w:r>
        <w:t>Yours sincerely,</w:t>
      </w:r>
    </w:p>
    <w:p>
      <w:pPr>
        <w:jc w:val="both"/>
      </w:pPr>
      <w:r>
        <w:rPr>
          <w:b/>
        </w:rPr>
        <w:t>Pedro Renato de Paula Brandão</w:t>
      </w:r>
      <w:r>
        <w:t xml:space="preserve"> </w:t>
      </w:r>
      <w:r>
        <w:rPr>
          <w:i/>
        </w:rPr>
        <w:t>[Affiliation]</w:t>
      </w:r>
      <w:r>
        <w:t xml:space="preserve"> </w:t>
      </w:r>
      <w:r>
        <w:rPr>
          <w:i/>
        </w:rPr>
        <w:t>[Address]</w:t>
      </w:r>
      <w:r>
        <w:t xml:space="preserve"> pedrobrandao.neurologia@gmail.com</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