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0" w:after="80"/>
      </w:pPr>
      <w:r>
        <w:rPr>
          <w:rFonts w:ascii="Calibri" w:hAnsi="Calibri"/>
          <w:b/>
          <w:color w:val="17365D"/>
          <w:sz w:val="48"/>
        </w:rPr>
        <w:t>WORKER DE INTELIGÊNCIA ARTIFICIAL (sacf-ai-worker)</w:t>
      </w:r>
    </w:p>
    <w:p>
      <w:pPr>
        <w:spacing w:after="200"/>
      </w:pPr>
      <w:r>
        <w:rPr>
          <w:rFonts w:ascii="Calibri" w:hAnsi="Calibri"/>
          <w:color w:val="666666"/>
          <w:sz w:val="28"/>
        </w:rPr>
        <w:t>Papel arquitetural, situação atual e frentes de evolução</w:t>
      </w:r>
    </w:p>
    <w:p>
      <w:pPr>
        <w:spacing w:after="360"/>
      </w:pPr>
      <w:r>
        <w:rPr>
          <w:rFonts w:ascii="Calibri" w:hAnsi="Calibri"/>
          <w:i/>
          <w:color w:val="666666"/>
          <w:sz w:val="19"/>
        </w:rPr>
        <w:t>Rascunho — 22/07/2026</w:t>
      </w:r>
    </w:p>
    <w:p>
      <w:pPr>
        <w:pStyle w:val="Heading1"/>
      </w:pPr>
      <w:r>
        <w:rPr>
          <w:rFonts w:ascii="Calibri" w:hAnsi="Calibri"/>
          <w:b/>
          <w:i w:val="0"/>
          <w:color w:val="2E74B5"/>
          <w:sz w:val="22"/>
        </w:rPr>
        <w:t>1. OBJETIVO E RESPONSABILIDADES</w:t>
      </w:r>
    </w:p>
    <w:p>
      <w:pPr>
        <w:widowControl/>
      </w:pPr>
      <w:r>
        <w:rPr>
          <w:rFonts w:ascii="Calibri" w:hAnsi="Calibri"/>
          <w:b w:val="0"/>
          <w:i w:val="0"/>
          <w:color w:val="000000"/>
          <w:sz w:val="22"/>
        </w:rPr>
        <w:t>O sacf-ai-worker é o ponto central de acesso aos modelos de IA via Ollama para os projetos internos, incluindo portal, n8n e chatbot. Como infraestrutura compartilhada, ele concentra responsabilidades que não devem ser replicadas em</w:t>
      </w:r>
    </w:p>
    <w:p>
      <w:pPr>
        <w:pStyle w:val="LeadLabel"/>
      </w:pPr>
      <w:r>
        <w:rPr>
          <w:rFonts w:ascii="Calibri" w:hAnsi="Calibri"/>
          <w:b/>
          <w:i w:val="0"/>
          <w:color w:val="1F4D78"/>
          <w:sz w:val="22"/>
        </w:rPr>
        <w:t>cada consumidor:</w:t>
      </w:r>
    </w:p>
    <w:p>
      <w:pPr>
        <w:pStyle w:val="BodyBullet"/>
        <w:numPr>
          <w:ilvl w:val="0"/>
          <w:numId w:val="10"/>
        </w:numPr>
      </w:pPr>
      <w:r>
        <w:rPr>
          <w:rFonts w:ascii="Calibri" w:hAnsi="Calibri"/>
          <w:b w:val="0"/>
          <w:i w:val="0"/>
          <w:color w:val="000000"/>
          <w:sz w:val="22"/>
        </w:rPr>
        <w:t>Fila e priorização: cada consumidor envia o pedido com uma prioridade de 1 (crítica) a 5 (mínima), e o worker determina a ordem de processamento.</w:t>
      </w:r>
    </w:p>
    <w:p>
      <w:pPr>
        <w:pStyle w:val="BodyBullet"/>
        <w:numPr>
          <w:ilvl w:val="0"/>
          <w:numId w:val="10"/>
        </w:numPr>
      </w:pPr>
      <w:r>
        <w:rPr>
          <w:rFonts w:ascii="Calibri" w:hAnsi="Calibri"/>
          <w:b w:val="0"/>
          <w:i w:val="0"/>
          <w:color w:val="000000"/>
          <w:sz w:val="22"/>
        </w:rPr>
        <w:t>Segurança: os consumidores não precisam conhecer o endereço nem as credenciais do provedor de inferência. O acesso ocorre por tokens de serviço configurados por consumidor, que permitem identificar a origem e aplicar limites distintos.</w:t>
      </w:r>
    </w:p>
    <w:p>
      <w:pPr>
        <w:pStyle w:val="BodyBullet"/>
        <w:numPr>
          <w:ilvl w:val="0"/>
          <w:numId w:val="10"/>
        </w:numPr>
      </w:pPr>
      <w:r>
        <w:rPr>
          <w:rFonts w:ascii="Calibri" w:hAnsi="Calibri"/>
          <w:b w:val="0"/>
          <w:i w:val="0"/>
          <w:color w:val="000000"/>
          <w:sz w:val="22"/>
        </w:rPr>
        <w:t>Controle de uso: autenticação, identificação confiável da origem e rate limit por cliente.</w:t>
      </w:r>
    </w:p>
    <w:p>
      <w:pPr>
        <w:pStyle w:val="BodyBullet"/>
        <w:numPr>
          <w:ilvl w:val="0"/>
          <w:numId w:val="10"/>
        </w:numPr>
      </w:pPr>
      <w:r>
        <w:rPr>
          <w:rFonts w:ascii="Calibri" w:hAnsi="Calibri"/>
          <w:b w:val="0"/>
          <w:i w:val="0"/>
          <w:color w:val="000000"/>
          <w:sz w:val="22"/>
        </w:rPr>
        <w:t>Monitoramento: visualização da fila, origem e estado dos jobs, com recursos para repriorização e cancelamento (</w:t>
      </w:r>
      <w:r>
        <w:rPr>
          <w:rFonts w:ascii="Consolas" w:hAnsi="Consolas"/>
          <w:color w:val="1F4D78"/>
          <w:sz w:val="19"/>
        </w:rPr>
        <w:t>python -m app.monitor</w:t>
      </w:r>
      <w:r>
        <w:rPr>
          <w:rFonts w:ascii="Calibri" w:hAnsi="Calibri"/>
          <w:b w:val="0"/>
          <w:i w:val="0"/>
          <w:color w:val="000000"/>
          <w:sz w:val="22"/>
        </w:rPr>
        <w:t>).</w:t>
      </w:r>
    </w:p>
    <w:p>
      <w:pPr>
        <w:pStyle w:val="BodyBullet"/>
        <w:numPr>
          <w:ilvl w:val="0"/>
          <w:numId w:val="10"/>
        </w:numPr>
      </w:pPr>
      <w:r>
        <w:rPr>
          <w:rFonts w:ascii="Calibri" w:hAnsi="Calibri"/>
          <w:b w:val="0"/>
          <w:i w:val="0"/>
          <w:color w:val="000000"/>
          <w:sz w:val="22"/>
        </w:rPr>
        <w:t>Confiabilidade: retry com backoff exponencial para falhas transitórias e dead letter para erros definitivos, como payload inválido ou modelo não permitido.</w:t>
      </w:r>
    </w:p>
    <w:p>
      <w:pPr>
        <w:pStyle w:val="BodyBullet"/>
        <w:numPr>
          <w:ilvl w:val="0"/>
          <w:numId w:val="10"/>
        </w:numPr>
      </w:pPr>
      <w:r>
        <w:rPr>
          <w:rFonts w:ascii="Calibri" w:hAnsi="Calibri"/>
          <w:b w:val="0"/>
          <w:i w:val="0"/>
          <w:color w:val="000000"/>
          <w:sz w:val="22"/>
        </w:rPr>
        <w:t>Governança de modelos: allowlist centralizada dos modelos aprovados.</w:t>
      </w:r>
    </w:p>
    <w:p>
      <w:pPr>
        <w:widowControl/>
      </w:pPr>
      <w:r>
        <w:rPr>
          <w:rFonts w:ascii="Calibri" w:hAnsi="Calibri"/>
          <w:b w:val="0"/>
          <w:i w:val="0"/>
          <w:color w:val="000000"/>
          <w:sz w:val="22"/>
        </w:rPr>
        <w:t>Essa arquitetura é anterior ao chatbot. O novo projeto foi integrado como mais um consumidor e continua sujeito à mesma fronteira: o chatbot fala com o worker, não diretamente com o provedor de inferência.</w:t>
      </w:r>
    </w:p>
    <w:p>
      <w:pPr>
        <w:pStyle w:val="Heading1"/>
      </w:pPr>
      <w:r>
        <w:rPr>
          <w:rFonts w:ascii="Calibri" w:hAnsi="Calibri"/>
          <w:b/>
          <w:i w:val="0"/>
          <w:color w:val="2E74B5"/>
          <w:sz w:val="22"/>
        </w:rPr>
        <w:t>2. CAPACIDADES DISPONÍVEIS</w:t>
      </w:r>
    </w:p>
    <w:p>
      <w:pPr>
        <w:pStyle w:val="BodyBullet"/>
        <w:numPr>
          <w:ilvl w:val="0"/>
          <w:numId w:val="10"/>
        </w:numPr>
      </w:pPr>
      <w:r>
        <w:rPr>
          <w:rFonts w:ascii="Calibri" w:hAnsi="Calibri"/>
          <w:b w:val="0"/>
          <w:i w:val="0"/>
          <w:color w:val="000000"/>
          <w:sz w:val="22"/>
        </w:rPr>
        <w:t xml:space="preserve">Caminho assíncrono por polling: </w:t>
      </w:r>
      <w:r>
        <w:rPr>
          <w:rFonts w:ascii="Consolas" w:hAnsi="Consolas"/>
          <w:color w:val="1F4D78"/>
          <w:sz w:val="19"/>
        </w:rPr>
        <w:t>POST /v1/jobs</w:t>
      </w:r>
      <w:r>
        <w:rPr>
          <w:rFonts w:ascii="Calibri" w:hAnsi="Calibri"/>
          <w:b w:val="0"/>
          <w:i w:val="0"/>
          <w:color w:val="000000"/>
          <w:sz w:val="22"/>
        </w:rPr>
        <w:t xml:space="preserve">, seguido de </w:t>
      </w:r>
      <w:r>
        <w:rPr>
          <w:rFonts w:ascii="Consolas" w:hAnsi="Consolas"/>
          <w:color w:val="1F4D78"/>
          <w:sz w:val="19"/>
        </w:rPr>
        <w:t>GET /v1/jobs/{id}</w:t>
      </w:r>
      <w:r>
        <w:rPr>
          <w:rFonts w:ascii="Calibri" w:hAnsi="Calibri"/>
          <w:b w:val="0"/>
          <w:i w:val="0"/>
          <w:color w:val="000000"/>
          <w:sz w:val="22"/>
        </w:rPr>
        <w:t>. É o caminho usado pelo chatbot e permite prioridade explícita.</w:t>
      </w:r>
    </w:p>
    <w:p>
      <w:pPr>
        <w:pStyle w:val="BodyBullet"/>
        <w:numPr>
          <w:ilvl w:val="0"/>
          <w:numId w:val="10"/>
        </w:numPr>
      </w:pPr>
      <w:r>
        <w:rPr>
          <w:rFonts w:ascii="Calibri" w:hAnsi="Calibri"/>
          <w:b w:val="0"/>
          <w:i w:val="0"/>
          <w:color w:val="000000"/>
          <w:sz w:val="22"/>
        </w:rPr>
        <w:t xml:space="preserve">Ponte síncrona: </w:t>
      </w:r>
      <w:r>
        <w:rPr>
          <w:rFonts w:ascii="Consolas" w:hAnsi="Consolas"/>
          <w:color w:val="1F4D78"/>
          <w:sz w:val="19"/>
        </w:rPr>
        <w:t>/v1/chat/completions</w:t>
      </w:r>
      <w:r>
        <w:rPr>
          <w:rFonts w:ascii="Calibri" w:hAnsi="Calibri"/>
          <w:b w:val="0"/>
          <w:i w:val="0"/>
          <w:color w:val="000000"/>
          <w:sz w:val="22"/>
        </w:rPr>
        <w:t xml:space="preserve"> e </w:t>
      </w:r>
      <w:r>
        <w:rPr>
          <w:rFonts w:ascii="Consolas" w:hAnsi="Consolas"/>
          <w:color w:val="1F4D78"/>
          <w:sz w:val="19"/>
        </w:rPr>
        <w:t>/api/chat</w:t>
      </w:r>
      <w:r>
        <w:rPr>
          <w:rFonts w:ascii="Calibri" w:hAnsi="Calibri"/>
          <w:b w:val="0"/>
          <w:i w:val="0"/>
          <w:color w:val="000000"/>
          <w:sz w:val="22"/>
        </w:rPr>
        <w:t>, usada por consumidores que esperam o resultado na mesma conexão, como alguns fluxos do n8n.</w:t>
      </w:r>
    </w:p>
    <w:p>
      <w:pPr>
        <w:pStyle w:val="BodyBullet"/>
        <w:numPr>
          <w:ilvl w:val="0"/>
          <w:numId w:val="10"/>
        </w:numPr>
      </w:pPr>
      <w:r>
        <w:rPr>
          <w:rFonts w:ascii="Calibri" w:hAnsi="Calibri"/>
          <w:b w:val="0"/>
          <w:i w:val="0"/>
          <w:color w:val="000000"/>
          <w:sz w:val="22"/>
        </w:rPr>
        <w:t xml:space="preserve">Allowlist atual: </w:t>
      </w:r>
      <w:r>
        <w:rPr>
          <w:rFonts w:ascii="Consolas" w:hAnsi="Consolas"/>
          <w:color w:val="1F4D78"/>
          <w:sz w:val="19"/>
        </w:rPr>
        <w:t>qwen2.5:14b</w:t>
      </w:r>
      <w:r>
        <w:rPr>
          <w:rFonts w:ascii="Calibri" w:hAnsi="Calibri"/>
          <w:b w:val="0"/>
          <w:i w:val="0"/>
          <w:color w:val="000000"/>
          <w:sz w:val="22"/>
        </w:rPr>
        <w:t xml:space="preserve"> como padrão, </w:t>
      </w:r>
      <w:r>
        <w:rPr>
          <w:rFonts w:ascii="Consolas" w:hAnsi="Consolas"/>
          <w:color w:val="1F4D78"/>
          <w:sz w:val="19"/>
        </w:rPr>
        <w:t>qwen3:14b</w:t>
      </w:r>
      <w:r>
        <w:rPr>
          <w:rFonts w:ascii="Calibri" w:hAnsi="Calibri"/>
          <w:b w:val="0"/>
          <w:i w:val="0"/>
          <w:color w:val="000000"/>
          <w:sz w:val="22"/>
        </w:rPr>
        <w:t xml:space="preserve"> com raciocínio e </w:t>
      </w:r>
      <w:r>
        <w:rPr>
          <w:rFonts w:ascii="Consolas" w:hAnsi="Consolas"/>
          <w:color w:val="1F4D78"/>
          <w:sz w:val="19"/>
        </w:rPr>
        <w:t>qwen3-vl:8b</w:t>
      </w:r>
      <w:r>
        <w:rPr>
          <w:rFonts w:ascii="Calibri" w:hAnsi="Calibri"/>
          <w:b w:val="0"/>
          <w:i w:val="0"/>
          <w:color w:val="000000"/>
          <w:sz w:val="22"/>
        </w:rPr>
        <w:t xml:space="preserve"> para visão.</w:t>
      </w:r>
    </w:p>
    <w:p>
      <w:pPr>
        <w:pStyle w:val="BodyBullet"/>
        <w:numPr>
          <w:ilvl w:val="0"/>
          <w:numId w:val="10"/>
        </w:numPr>
      </w:pPr>
      <w:r>
        <w:rPr>
          <w:rFonts w:ascii="Calibri" w:hAnsi="Calibri"/>
          <w:b w:val="0"/>
          <w:i w:val="0"/>
          <w:color w:val="000000"/>
          <w:sz w:val="22"/>
        </w:rPr>
        <w:t>Tratamento distinto para erros do cliente e falhas transitórias do provedor.</w:t>
      </w:r>
    </w:p>
    <w:p>
      <w:pPr>
        <w:pStyle w:val="BodyBullet"/>
        <w:numPr>
          <w:ilvl w:val="0"/>
          <w:numId w:val="10"/>
        </w:numPr>
      </w:pPr>
      <w:r>
        <w:rPr>
          <w:rFonts w:ascii="Calibri" w:hAnsi="Calibri"/>
          <w:b w:val="0"/>
          <w:i w:val="0"/>
          <w:color w:val="000000"/>
          <w:sz w:val="22"/>
        </w:rPr>
        <w:t>Limpeza da saída e separação do conteúdo final em relação ao raciocínio quando o provedor os entrega em campos ou blocos distintos.</w:t>
      </w:r>
    </w:p>
    <w:p>
      <w:pPr>
        <w:pStyle w:val="Heading1"/>
      </w:pPr>
      <w:r>
        <w:rPr>
          <w:rFonts w:ascii="Calibri" w:hAnsi="Calibri"/>
          <w:b/>
          <w:i w:val="0"/>
          <w:color w:val="2E74B5"/>
          <w:sz w:val="22"/>
        </w:rPr>
        <w:t>3. NOVO REQUISITO IDENTIFICADO PELO CHATBOT</w:t>
      </w:r>
    </w:p>
    <w:p>
      <w:pPr>
        <w:widowControl/>
      </w:pPr>
      <w:r>
        <w:rPr>
          <w:rFonts w:ascii="Calibri" w:hAnsi="Calibri"/>
          <w:b w:val="0"/>
          <w:i w:val="0"/>
          <w:color w:val="000000"/>
          <w:sz w:val="22"/>
        </w:rPr>
        <w:t>O chatbot introduz um requisito diferente dos consumidores anteriores: resposta a uma pessoa em tempo real. Nesse contexto, latência e previsibilidade por requisição têm impacto direto na experiência de atendimento.</w:t>
      </w:r>
    </w:p>
    <w:p>
      <w:pPr>
        <w:widowControl/>
      </w:pPr>
      <w:r>
        <w:rPr>
          <w:rFonts w:ascii="Calibri" w:hAnsi="Calibri"/>
          <w:b w:val="0"/>
          <w:i w:val="0"/>
          <w:color w:val="000000"/>
          <w:sz w:val="22"/>
        </w:rPr>
        <w:t>Essa necessidade não invalida o desenho atual do worker. Ela indica que o serviço pode precisar oferecer comportamentos diferentes conforme o tipo de carga, preservando a interface centralizada e suas garantias.</w:t>
      </w:r>
    </w:p>
    <w:p>
      <w:pPr>
        <w:pStyle w:val="Heading2"/>
      </w:pPr>
      <w:r>
        <w:rPr>
          <w:rFonts w:ascii="Calibri" w:hAnsi="Calibri"/>
          <w:b/>
          <w:i w:val="0"/>
          <w:color w:val="2E74B5"/>
          <w:sz w:val="22"/>
        </w:rPr>
        <w:t>3.1 Controle efetivo de raciocínio</w:t>
      </w:r>
    </w:p>
    <w:p>
      <w:pPr>
        <w:widowControl/>
      </w:pPr>
      <w:r>
        <w:rPr>
          <w:rFonts w:ascii="Calibri" w:hAnsi="Calibri"/>
          <w:b w:val="0"/>
          <w:i w:val="0"/>
          <w:color w:val="000000"/>
          <w:sz w:val="22"/>
        </w:rPr>
        <w:t xml:space="preserve">O README do worker documenta que </w:t>
      </w:r>
      <w:r>
        <w:rPr>
          <w:rFonts w:ascii="Consolas" w:hAnsi="Consolas"/>
          <w:color w:val="1F4D78"/>
          <w:sz w:val="19"/>
        </w:rPr>
        <w:t>reasoning:false</w:t>
      </w:r>
      <w:r>
        <w:rPr>
          <w:rFonts w:ascii="Calibri" w:hAnsi="Calibri"/>
          <w:b w:val="0"/>
          <w:i w:val="0"/>
          <w:color w:val="000000"/>
          <w:sz w:val="22"/>
        </w:rPr>
        <w:t xml:space="preserve"> controla a exposição do raciocínio, mas não impede que modelos como </w:t>
      </w:r>
      <w:r>
        <w:rPr>
          <w:rFonts w:ascii="Consolas" w:hAnsi="Consolas"/>
          <w:color w:val="1F4D78"/>
          <w:sz w:val="19"/>
        </w:rPr>
        <w:t>qwen3:14b</w:t>
      </w:r>
      <w:r>
        <w:rPr>
          <w:rFonts w:ascii="Calibri" w:hAnsi="Calibri"/>
          <w:b w:val="0"/>
          <w:i w:val="0"/>
          <w:color w:val="000000"/>
          <w:sz w:val="22"/>
        </w:rPr>
        <w:t xml:space="preserve"> o gerem. O pensamento continua consumindo tempo e tokens. A revisão do código mostrou, porém, que a exposição não é uniforme entre os dois caminhos da API.</w:t>
      </w:r>
    </w:p>
    <w:p>
      <w:pPr>
        <w:widowControl/>
      </w:pPr>
      <w:r>
        <w:rPr>
          <w:rFonts w:ascii="Calibri" w:hAnsi="Calibri"/>
          <w:b w:val="0"/>
          <w:i w:val="0"/>
          <w:color w:val="000000"/>
          <w:sz w:val="22"/>
        </w:rPr>
        <w:t>Na ponte síncrona (</w:t>
      </w:r>
      <w:r>
        <w:rPr>
          <w:rFonts w:ascii="Consolas" w:hAnsi="Consolas"/>
          <w:color w:val="1F4D78"/>
          <w:sz w:val="19"/>
        </w:rPr>
        <w:t>/v1/chat/completions</w:t>
      </w:r>
      <w:r>
        <w:rPr>
          <w:rFonts w:ascii="Calibri" w:hAnsi="Calibri"/>
          <w:b w:val="0"/>
          <w:i w:val="0"/>
          <w:color w:val="000000"/>
          <w:sz w:val="22"/>
        </w:rPr>
        <w:t xml:space="preserve"> e </w:t>
      </w:r>
      <w:r>
        <w:rPr>
          <w:rFonts w:ascii="Consolas" w:hAnsi="Consolas"/>
          <w:color w:val="1F4D78"/>
          <w:sz w:val="19"/>
        </w:rPr>
        <w:t>/api/chat</w:t>
      </w:r>
      <w:r>
        <w:rPr>
          <w:rFonts w:ascii="Calibri" w:hAnsi="Calibri"/>
          <w:b w:val="0"/>
          <w:i w:val="0"/>
          <w:color w:val="000000"/>
          <w:sz w:val="22"/>
        </w:rPr>
        <w:t xml:space="preserve">), </w:t>
      </w:r>
      <w:r>
        <w:rPr>
          <w:rFonts w:ascii="Consolas" w:hAnsi="Consolas"/>
          <w:color w:val="1F4D78"/>
          <w:sz w:val="19"/>
        </w:rPr>
        <w:t>message.thinking</w:t>
      </w:r>
      <w:r>
        <w:rPr>
          <w:rFonts w:ascii="Calibri" w:hAnsi="Calibri"/>
          <w:b w:val="0"/>
          <w:i w:val="0"/>
          <w:color w:val="000000"/>
          <w:sz w:val="22"/>
        </w:rPr>
        <w:t xml:space="preserve"> só é incluído quando o payload contém </w:t>
      </w:r>
      <w:r>
        <w:rPr>
          <w:rFonts w:ascii="Consolas" w:hAnsi="Consolas"/>
          <w:color w:val="1F4D78"/>
          <w:sz w:val="19"/>
        </w:rPr>
        <w:t>reasoning:true</w:t>
      </w:r>
      <w:r>
        <w:rPr>
          <w:rFonts w:ascii="Calibri" w:hAnsi="Calibri"/>
          <w:b w:val="0"/>
          <w:i w:val="0"/>
          <w:color w:val="000000"/>
          <w:sz w:val="22"/>
        </w:rPr>
        <w:t>. No caminho assíncrono usado pelo chatbot (</w:t>
      </w:r>
      <w:r>
        <w:rPr>
          <w:rFonts w:ascii="Consolas" w:hAnsi="Consolas"/>
          <w:color w:val="1F4D78"/>
          <w:sz w:val="19"/>
        </w:rPr>
        <w:t>POST /v1/jobs</w:t>
      </w:r>
      <w:r>
        <w:rPr>
          <w:rFonts w:ascii="Calibri" w:hAnsi="Calibri"/>
          <w:b w:val="0"/>
          <w:i w:val="0"/>
          <w:color w:val="000000"/>
          <w:sz w:val="22"/>
        </w:rPr>
        <w:t xml:space="preserve">, seguido de </w:t>
      </w:r>
      <w:r>
        <w:rPr>
          <w:rFonts w:ascii="Consolas" w:hAnsi="Consolas"/>
          <w:color w:val="1F4D78"/>
          <w:sz w:val="19"/>
        </w:rPr>
        <w:t>GET /v1/jobs/{id}</w:t>
      </w:r>
      <w:r>
        <w:rPr>
          <w:rFonts w:ascii="Calibri" w:hAnsi="Calibri"/>
          <w:b w:val="0"/>
          <w:i w:val="0"/>
          <w:color w:val="000000"/>
          <w:sz w:val="22"/>
        </w:rPr>
        <w:t xml:space="preserve">), o worker inclui o raciocínio em </w:t>
      </w:r>
      <w:r>
        <w:rPr>
          <w:rFonts w:ascii="Consolas" w:hAnsi="Consolas"/>
          <w:color w:val="1F4D78"/>
          <w:sz w:val="19"/>
        </w:rPr>
        <w:t>job.result</w:t>
      </w:r>
      <w:r>
        <w:rPr>
          <w:rFonts w:ascii="Calibri" w:hAnsi="Calibri"/>
          <w:b w:val="0"/>
          <w:i w:val="0"/>
          <w:color w:val="000000"/>
          <w:sz w:val="22"/>
        </w:rPr>
        <w:t xml:space="preserve"> durante o processamento e o endpoint de consulta devolve esse objeto integralmente. Portanto, nesse caminho, </w:t>
      </w:r>
      <w:r>
        <w:rPr>
          <w:rFonts w:ascii="Consolas" w:hAnsi="Consolas"/>
          <w:color w:val="1F4D78"/>
          <w:sz w:val="19"/>
        </w:rPr>
        <w:t>reasoning:false</w:t>
      </w:r>
      <w:r>
        <w:rPr>
          <w:rFonts w:ascii="Calibri" w:hAnsi="Calibri"/>
          <w:b w:val="0"/>
          <w:i w:val="0"/>
          <w:color w:val="000000"/>
          <w:sz w:val="22"/>
        </w:rPr>
        <w:t xml:space="preserve"> não impede atualmente que </w:t>
      </w:r>
      <w:r>
        <w:rPr>
          <w:rFonts w:ascii="Consolas" w:hAnsi="Consolas"/>
          <w:color w:val="1F4D78"/>
          <w:sz w:val="19"/>
        </w:rPr>
        <w:t>result.reasoning</w:t>
      </w:r>
      <w:r>
        <w:rPr>
          <w:rFonts w:ascii="Calibri" w:hAnsi="Calibri"/>
          <w:b w:val="0"/>
          <w:i w:val="0"/>
          <w:color w:val="000000"/>
          <w:sz w:val="22"/>
        </w:rPr>
        <w:t xml:space="preserve"> seja devolvido ao consumidor.</w:t>
      </w:r>
    </w:p>
    <w:p>
      <w:pPr>
        <w:widowControl/>
      </w:pPr>
      <w:r>
        <w:rPr>
          <w:rFonts w:ascii="Calibri" w:hAnsi="Calibri"/>
          <w:b w:val="0"/>
          <w:i w:val="0"/>
          <w:color w:val="000000"/>
          <w:sz w:val="22"/>
        </w:rPr>
        <w:t>O raciocínio também já é persistido no banco como parte do resultado do job. Essa diferença entre contrato documentado e implementação deve ser tratada antes de se considerar o controle de raciocínio concluído, especialmente porque o conteúdo pode reproduzir ou transformar partes do prompt e do contexto recebido.</w:t>
      </w:r>
    </w:p>
    <w:p>
      <w:pPr>
        <w:widowControl/>
      </w:pPr>
      <w:r>
        <w:rPr>
          <w:rFonts w:ascii="Calibri" w:hAnsi="Calibri"/>
          <w:b w:val="0"/>
          <w:i w:val="0"/>
          <w:color w:val="000000"/>
          <w:sz w:val="22"/>
        </w:rPr>
        <w:t>Foi realizado um teste diretamente na API nativa do Ollama, fora do worker,</w:t>
      </w:r>
    </w:p>
    <w:p>
      <w:pPr>
        <w:pStyle w:val="LeadLabel"/>
      </w:pPr>
      <w:r>
        <w:rPr>
          <w:rFonts w:ascii="Calibri" w:hAnsi="Calibri"/>
          <w:b/>
          <w:i w:val="0"/>
          <w:color w:val="1F4D78"/>
          <w:sz w:val="22"/>
        </w:rPr>
        <w:t>apenas para verificar o comportamento do modelo:</w:t>
      </w:r>
    </w:p>
    <w:p>
      <w:pPr>
        <w:pStyle w:val="BodyBullet"/>
        <w:numPr>
          <w:ilvl w:val="0"/>
          <w:numId w:val="10"/>
        </w:numPr>
      </w:pPr>
      <w:r>
        <w:rPr>
          <w:rFonts w:ascii="Calibri" w:hAnsi="Calibri"/>
          <w:b w:val="0"/>
          <w:i w:val="0"/>
          <w:color w:val="000000"/>
          <w:sz w:val="22"/>
        </w:rPr>
        <w:t>comportamento padrão, com raciocínio: 216 tokens gerados e 2,69 s;</w:t>
      </w:r>
    </w:p>
    <w:p>
      <w:pPr>
        <w:pStyle w:val="BodyBullet"/>
        <w:numPr>
          <w:ilvl w:val="0"/>
          <w:numId w:val="10"/>
        </w:numPr>
      </w:pPr>
      <w:r>
        <w:rPr>
          <w:rFonts w:ascii="Consolas" w:hAnsi="Consolas"/>
          <w:color w:val="1F4D78"/>
          <w:sz w:val="19"/>
        </w:rPr>
        <w:t>think:false</w:t>
      </w:r>
      <w:r>
        <w:rPr>
          <w:rFonts w:ascii="Calibri" w:hAnsi="Calibri"/>
          <w:b w:val="0"/>
          <w:i w:val="0"/>
          <w:color w:val="000000"/>
          <w:sz w:val="22"/>
        </w:rPr>
        <w:t xml:space="preserve"> na API nativa: 3 tokens gerados e 0,18 s.</w:t>
      </w:r>
    </w:p>
    <w:p>
      <w:pPr>
        <w:widowControl/>
      </w:pPr>
      <w:r>
        <w:rPr>
          <w:rFonts w:ascii="Calibri" w:hAnsi="Calibri"/>
          <w:b w:val="0"/>
          <w:i w:val="0"/>
          <w:color w:val="000000"/>
          <w:sz w:val="22"/>
        </w:rPr>
        <w:t xml:space="preserve">Nesse teste específico, </w:t>
      </w:r>
      <w:r>
        <w:rPr>
          <w:rFonts w:ascii="Consolas" w:hAnsi="Consolas"/>
          <w:color w:val="1F4D78"/>
          <w:sz w:val="19"/>
        </w:rPr>
        <w:t>think:false</w:t>
      </w:r>
      <w:r>
        <w:rPr>
          <w:rFonts w:ascii="Calibri" w:hAnsi="Calibri"/>
          <w:b w:val="0"/>
          <w:i w:val="0"/>
          <w:color w:val="000000"/>
          <w:sz w:val="22"/>
        </w:rPr>
        <w:t xml:space="preserve"> reduziu o tempo em aproximadamente 15 vezes. O resultado demonstra que o controle nativo tem potencial para cargas sensíveis à latência, mas não deve ser interpretado como estimativa geral de ganho. A medição precisa ser repetida com perguntas, contextos e tamanhos de resposta representativos do chatbot. A exposição do raciocínio pode ser útil em testes controlados para investigar o comportamento do modelo, mas não deve ser tratada como mecanismo de segurança. A revisão de coesão e segurança da resposta deve ocorrer em uma etapa separada, avaliando a pergunta, o contexto recuperado, a resposta candidata e as regras aplicáveis antes do envio ao cliente.</w:t>
      </w:r>
    </w:p>
    <w:p>
      <w:pPr>
        <w:widowControl/>
      </w:pPr>
      <w:r>
        <w:rPr>
          <w:rFonts w:ascii="Calibri" w:hAnsi="Calibri"/>
          <w:b w:val="0"/>
          <w:i w:val="0"/>
          <w:color w:val="000000"/>
          <w:sz w:val="22"/>
        </w:rPr>
        <w:t>Hoje o worker chama o endpoint OpenAI-compatible do Ollama (</w:t>
      </w:r>
      <w:r>
        <w:rPr>
          <w:rFonts w:ascii="Consolas" w:hAnsi="Consolas"/>
          <w:color w:val="1F4D78"/>
          <w:sz w:val="19"/>
        </w:rPr>
        <w:t>/v1/chat/completions</w:t>
      </w:r>
      <w:r>
        <w:rPr>
          <w:rFonts w:ascii="Calibri" w:hAnsi="Calibri"/>
          <w:b w:val="0"/>
          <w:i w:val="0"/>
          <w:color w:val="000000"/>
          <w:sz w:val="22"/>
        </w:rPr>
        <w:t xml:space="preserve">), que não expõe esse controle da mesma forma que a API nativa. Na ponte síncrona, enviar </w:t>
      </w:r>
      <w:r>
        <w:rPr>
          <w:rFonts w:ascii="Consolas" w:hAnsi="Consolas"/>
          <w:color w:val="1F4D78"/>
          <w:sz w:val="19"/>
        </w:rPr>
        <w:t>reasoning:false</w:t>
      </w:r>
      <w:r>
        <w:rPr>
          <w:rFonts w:ascii="Calibri" w:hAnsi="Calibri"/>
          <w:b w:val="0"/>
          <w:i w:val="0"/>
          <w:color w:val="000000"/>
          <w:sz w:val="22"/>
        </w:rPr>
        <w:t xml:space="preserve"> ou omitir </w:t>
      </w:r>
      <w:r>
        <w:rPr>
          <w:rFonts w:ascii="Consolas" w:hAnsi="Consolas"/>
          <w:color w:val="1F4D78"/>
          <w:sz w:val="19"/>
        </w:rPr>
        <w:t>reasoning</w:t>
      </w:r>
      <w:r>
        <w:rPr>
          <w:rFonts w:ascii="Calibri" w:hAnsi="Calibri"/>
          <w:b w:val="0"/>
          <w:i w:val="0"/>
          <w:color w:val="000000"/>
          <w:sz w:val="22"/>
        </w:rPr>
        <w:t xml:space="preserve"> impede a inclusão de </w:t>
      </w:r>
      <w:r>
        <w:rPr>
          <w:rFonts w:ascii="Consolas" w:hAnsi="Consolas"/>
          <w:color w:val="1F4D78"/>
          <w:sz w:val="19"/>
        </w:rPr>
        <w:t>message.thinking</w:t>
      </w:r>
      <w:r>
        <w:rPr>
          <w:rFonts w:ascii="Calibri" w:hAnsi="Calibri"/>
          <w:b w:val="0"/>
          <w:i w:val="0"/>
          <w:color w:val="000000"/>
          <w:sz w:val="22"/>
        </w:rPr>
        <w:t xml:space="preserve">, mas não desliga o pensamento na origem. No caminho assíncrono permanece a exposição descrita anteriormente. Também foi testado o envio de </w:t>
      </w:r>
      <w:r>
        <w:rPr>
          <w:rFonts w:ascii="Consolas" w:hAnsi="Consolas"/>
          <w:color w:val="1F4D78"/>
          <w:sz w:val="19"/>
        </w:rPr>
        <w:t>options.think:false</w:t>
      </w:r>
      <w:r>
        <w:rPr>
          <w:rFonts w:ascii="Calibri" w:hAnsi="Calibri"/>
          <w:b w:val="0"/>
          <w:i w:val="0"/>
          <w:color w:val="000000"/>
          <w:sz w:val="22"/>
        </w:rPr>
        <w:t xml:space="preserve"> pelo caminho atual, sem efeito observado.</w:t>
      </w:r>
    </w:p>
    <w:p>
      <w:pPr>
        <w:pStyle w:val="LeadLabel"/>
      </w:pPr>
      <w:r>
        <w:rPr>
          <w:rFonts w:ascii="Calibri" w:hAnsi="Calibri"/>
          <w:b/>
          <w:i w:val="0"/>
          <w:color w:val="1F4D78"/>
          <w:sz w:val="22"/>
        </w:rPr>
        <w:t>Uma interface futura pode distinguir três comportamentos:</w:t>
      </w:r>
    </w:p>
    <w:p>
      <w:pPr>
        <w:pStyle w:val="BodyBullet"/>
        <w:numPr>
          <w:ilvl w:val="0"/>
          <w:numId w:val="10"/>
        </w:numPr>
      </w:pPr>
      <w:r>
        <w:rPr>
          <w:rFonts w:ascii="Calibri" w:hAnsi="Calibri"/>
          <w:b w:val="0"/>
          <w:i w:val="0"/>
          <w:color w:val="000000"/>
          <w:sz w:val="22"/>
        </w:rPr>
        <w:t>on: raciocínio gerado e disponibilizado ao consumidor autorizado;</w:t>
      </w:r>
    </w:p>
    <w:p>
      <w:pPr>
        <w:pStyle w:val="BodyBullet"/>
        <w:numPr>
          <w:ilvl w:val="0"/>
          <w:numId w:val="10"/>
        </w:numPr>
      </w:pPr>
      <w:r>
        <w:rPr>
          <w:rFonts w:ascii="Calibri" w:hAnsi="Calibri"/>
          <w:b w:val="0"/>
          <w:i w:val="0"/>
          <w:color w:val="000000"/>
          <w:sz w:val="22"/>
        </w:rPr>
        <w:t>hidden: raciocínio gerado, mas omitido da resposta;</w:t>
      </w:r>
    </w:p>
    <w:p>
      <w:pPr>
        <w:pStyle w:val="BodyBullet"/>
        <w:numPr>
          <w:ilvl w:val="0"/>
          <w:numId w:val="10"/>
        </w:numPr>
      </w:pPr>
      <w:r>
        <w:rPr>
          <w:rFonts w:ascii="Calibri" w:hAnsi="Calibri"/>
          <w:b w:val="0"/>
          <w:i w:val="0"/>
          <w:color w:val="000000"/>
          <w:sz w:val="22"/>
        </w:rPr>
        <w:t>off: raciocínio desativado na origem, quando o modelo e o provedor suportarem essa opção.</w:t>
      </w:r>
    </w:p>
    <w:p>
      <w:pPr>
        <w:widowControl/>
      </w:pPr>
      <w:r>
        <w:rPr>
          <w:rFonts w:ascii="Calibri" w:hAnsi="Calibri"/>
          <w:b w:val="0"/>
          <w:i w:val="0"/>
          <w:color w:val="000000"/>
          <w:sz w:val="22"/>
        </w:rPr>
        <w:t xml:space="preserve">Geração, exposição e persistência devem ser tratadas como decisões distintas. Um modelo pode gerar raciocínio no modo </w:t>
      </w:r>
      <w:r>
        <w:rPr>
          <w:rFonts w:ascii="Consolas" w:hAnsi="Consolas"/>
          <w:color w:val="1F4D78"/>
          <w:sz w:val="19"/>
        </w:rPr>
        <w:t>hidden</w:t>
      </w:r>
      <w:r>
        <w:rPr>
          <w:rFonts w:ascii="Calibri" w:hAnsi="Calibri"/>
          <w:b w:val="0"/>
          <w:i w:val="0"/>
          <w:color w:val="000000"/>
          <w:sz w:val="22"/>
        </w:rPr>
        <w:t xml:space="preserve"> sem que esse conteúdo seja devolvido ou armazenado. A persistência, quando necessária para diagnóstico autorizado, deve ter finalidade, acesso e retenção definidos.</w:t>
      </w:r>
    </w:p>
    <w:p>
      <w:pPr>
        <w:pStyle w:val="LeadLabel"/>
      </w:pPr>
      <w:r>
        <w:rPr>
          <w:rFonts w:ascii="Calibri" w:hAnsi="Calibri"/>
          <w:b/>
          <w:i w:val="0"/>
          <w:color w:val="1F4D78"/>
          <w:sz w:val="22"/>
        </w:rPr>
        <w:t>Antes da implementação, é necessário definir:</w:t>
      </w:r>
    </w:p>
    <w:p>
      <w:pPr>
        <w:pStyle w:val="BodyBullet"/>
        <w:numPr>
          <w:ilvl w:val="0"/>
          <w:numId w:val="10"/>
        </w:numPr>
      </w:pPr>
      <w:r>
        <w:rPr>
          <w:rFonts w:ascii="Calibri" w:hAnsi="Calibri"/>
          <w:b w:val="0"/>
          <w:i w:val="0"/>
          <w:color w:val="000000"/>
          <w:sz w:val="22"/>
        </w:rPr>
        <w:t>quais modelos suportam cada modo;</w:t>
      </w:r>
    </w:p>
    <w:p>
      <w:pPr>
        <w:pStyle w:val="BodyBullet"/>
        <w:numPr>
          <w:ilvl w:val="0"/>
          <w:numId w:val="10"/>
        </w:numPr>
      </w:pPr>
      <w:r>
        <w:rPr>
          <w:rFonts w:ascii="Calibri" w:hAnsi="Calibri"/>
          <w:b w:val="0"/>
          <w:i w:val="0"/>
          <w:color w:val="000000"/>
          <w:sz w:val="22"/>
        </w:rPr>
        <w:t>como preservar compatibilidade com os consumidores atuais;</w:t>
      </w:r>
    </w:p>
    <w:p>
      <w:pPr>
        <w:pStyle w:val="BodyBullet"/>
        <w:numPr>
          <w:ilvl w:val="0"/>
          <w:numId w:val="10"/>
        </w:numPr>
      </w:pPr>
      <w:r>
        <w:rPr>
          <w:rFonts w:ascii="Calibri" w:hAnsi="Calibri"/>
          <w:b w:val="0"/>
          <w:i w:val="0"/>
          <w:color w:val="000000"/>
          <w:sz w:val="22"/>
        </w:rPr>
        <w:t>qual endpoint do Ollama deve ser usado em cada caso;</w:t>
      </w:r>
    </w:p>
    <w:p>
      <w:pPr>
        <w:pStyle w:val="BodyBullet"/>
        <w:numPr>
          <w:ilvl w:val="0"/>
          <w:numId w:val="10"/>
        </w:numPr>
      </w:pPr>
      <w:r>
        <w:rPr>
          <w:rFonts w:ascii="Calibri" w:hAnsi="Calibri"/>
          <w:b w:val="0"/>
          <w:i w:val="0"/>
          <w:color w:val="000000"/>
          <w:sz w:val="22"/>
        </w:rPr>
        <w:t>quais métricas serão coletadas para comparar latência, custo e qualidade;</w:t>
      </w:r>
    </w:p>
    <w:p>
      <w:pPr>
        <w:pStyle w:val="BodyBullet"/>
        <w:numPr>
          <w:ilvl w:val="0"/>
          <w:numId w:val="10"/>
        </w:numPr>
      </w:pPr>
      <w:r>
        <w:rPr>
          <w:rFonts w:ascii="Calibri" w:hAnsi="Calibri"/>
          <w:b w:val="0"/>
          <w:i w:val="0"/>
          <w:color w:val="000000"/>
          <w:sz w:val="22"/>
        </w:rPr>
        <w:t>se o raciocínio deve continuar sendo persistido, em quais ambientes, para quais consumidores e por quanto tempo;</w:t>
      </w:r>
    </w:p>
    <w:p>
      <w:pPr>
        <w:pStyle w:val="BodyBullet"/>
        <w:numPr>
          <w:ilvl w:val="0"/>
          <w:numId w:val="10"/>
        </w:numPr>
      </w:pPr>
      <w:r>
        <w:rPr>
          <w:rFonts w:ascii="Calibri" w:hAnsi="Calibri"/>
          <w:b w:val="0"/>
          <w:i w:val="0"/>
          <w:color w:val="000000"/>
          <w:sz w:val="22"/>
        </w:rPr>
        <w:t>como impedir sua exposição no caminho assíncrono quando ela não tiver sido solicitada.</w:t>
      </w:r>
    </w:p>
    <w:p>
      <w:pPr>
        <w:widowControl/>
      </w:pPr>
      <w:r>
        <w:rPr>
          <w:rFonts w:ascii="Calibri" w:hAnsi="Calibri"/>
          <w:b w:val="0"/>
          <w:i w:val="0"/>
          <w:color w:val="000000"/>
          <w:sz w:val="22"/>
        </w:rPr>
        <w:t>O controle seria uma capacidade geral do worker, não uma exceção exclusiva do chatbot.</w:t>
      </w:r>
    </w:p>
    <w:p>
      <w:pPr>
        <w:pStyle w:val="Heading2"/>
      </w:pPr>
      <w:r>
        <w:rPr>
          <w:rFonts w:ascii="Calibri" w:hAnsi="Calibri"/>
          <w:b/>
          <w:i w:val="0"/>
          <w:color w:val="2E74B5"/>
          <w:sz w:val="22"/>
        </w:rPr>
        <w:t>3.2 Isolamento entre consumidores</w:t>
      </w:r>
    </w:p>
    <w:p>
      <w:pPr>
        <w:widowControl/>
      </w:pPr>
      <w:r>
        <w:rPr>
          <w:rFonts w:ascii="Calibri" w:hAnsi="Calibri"/>
          <w:b w:val="0"/>
          <w:i w:val="0"/>
          <w:color w:val="000000"/>
          <w:sz w:val="22"/>
        </w:rPr>
        <w:t>Os tokens atuais são valores estáticos de configuração para portal e n8n. Eles identificam o consumidor e permitem aplicar cotas diferentes, mas o worker ainda não possui um mecanismo próprio de emissão, expiração ou revogação individual de credenciais.</w:t>
      </w:r>
    </w:p>
    <w:p>
      <w:pPr>
        <w:widowControl/>
      </w:pPr>
      <w:r>
        <w:rPr>
          <w:rFonts w:ascii="Calibri" w:hAnsi="Calibri"/>
          <w:b w:val="0"/>
          <w:i w:val="0"/>
          <w:color w:val="000000"/>
          <w:sz w:val="22"/>
        </w:rPr>
        <w:t xml:space="preserve">Também foi identificado que </w:t>
      </w:r>
      <w:r>
        <w:rPr>
          <w:rFonts w:ascii="Consolas" w:hAnsi="Consolas"/>
          <w:color w:val="1F4D78"/>
          <w:sz w:val="19"/>
        </w:rPr>
        <w:t>GET /v1/jobs/{id}</w:t>
      </w:r>
      <w:r>
        <w:rPr>
          <w:rFonts w:ascii="Calibri" w:hAnsi="Calibri"/>
          <w:b w:val="0"/>
          <w:i w:val="0"/>
          <w:color w:val="000000"/>
          <w:sz w:val="22"/>
        </w:rPr>
        <w:t xml:space="preserve"> exige um token válido, mas não verifica se o job consultado pertence ao consumidor associado a esse token. O UUID reduz a possibilidade de descoberta casual, mas não substitui uma regra de autorização. Em uma infraestrutura compartilhada, a consulta deve limitar o job ao cliente autenticado, preservando uma permissão administrativa separada quando for necessária uma visão global da fila.</w:t>
      </w:r>
    </w:p>
    <w:p>
      <w:pPr>
        <w:pStyle w:val="Heading2"/>
      </w:pPr>
      <w:r>
        <w:rPr>
          <w:rFonts w:ascii="Calibri" w:hAnsi="Calibri"/>
          <w:b/>
          <w:i w:val="0"/>
          <w:color w:val="2E74B5"/>
          <w:sz w:val="22"/>
        </w:rPr>
        <w:t>3.3 Capacidade de inferência e múltiplas instâncias</w:t>
      </w:r>
    </w:p>
    <w:p>
      <w:pPr>
        <w:widowControl/>
      </w:pPr>
      <w:r>
        <w:rPr>
          <w:rFonts w:ascii="Calibri" w:hAnsi="Calibri"/>
          <w:b w:val="0"/>
          <w:i w:val="0"/>
          <w:color w:val="000000"/>
          <w:sz w:val="22"/>
        </w:rPr>
        <w:t xml:space="preserve">Uma varredura de código separada, realizada em 16/07/2026 por quatro agentes sobre </w:t>
      </w:r>
      <w:r>
        <w:rPr>
          <w:rFonts w:ascii="Consolas" w:hAnsi="Consolas"/>
          <w:color w:val="1F4D78"/>
          <w:sz w:val="19"/>
        </w:rPr>
        <w:t>services/</w:t>
      </w:r>
      <w:r>
        <w:rPr>
          <w:rFonts w:ascii="Calibri" w:hAnsi="Calibri"/>
          <w:b w:val="0"/>
          <w:i w:val="0"/>
          <w:color w:val="000000"/>
          <w:sz w:val="22"/>
        </w:rPr>
        <w:t xml:space="preserve">, </w:t>
      </w:r>
      <w:r>
        <w:rPr>
          <w:rFonts w:ascii="Consolas" w:hAnsi="Consolas"/>
          <w:color w:val="1F4D78"/>
          <w:sz w:val="19"/>
        </w:rPr>
        <w:t>workers/</w:t>
      </w:r>
      <w:r>
        <w:rPr>
          <w:rFonts w:ascii="Calibri" w:hAnsi="Calibri"/>
          <w:b w:val="0"/>
          <w:i w:val="0"/>
          <w:color w:val="000000"/>
          <w:sz w:val="22"/>
        </w:rPr>
        <w:t xml:space="preserve"> e </w:t>
      </w:r>
      <w:r>
        <w:rPr>
          <w:rFonts w:ascii="Consolas" w:hAnsi="Consolas"/>
          <w:color w:val="1F4D78"/>
          <w:sz w:val="19"/>
        </w:rPr>
        <w:t>web/</w:t>
      </w:r>
      <w:r>
        <w:rPr>
          <w:rFonts w:ascii="Calibri" w:hAnsi="Calibri"/>
          <w:b w:val="0"/>
          <w:i w:val="0"/>
          <w:color w:val="000000"/>
          <w:sz w:val="22"/>
        </w:rPr>
        <w:t>, registrou outro ponto no mesmo serviço</w:t>
      </w:r>
    </w:p>
    <w:p>
      <w:pPr>
        <w:pStyle w:val="LeadLabel"/>
      </w:pPr>
      <w:r>
        <w:rPr>
          <w:rFonts w:ascii="Calibri" w:hAnsi="Calibri"/>
          <w:b/>
          <w:i w:val="0"/>
          <w:color w:val="1F4D78"/>
          <w:sz w:val="22"/>
        </w:rPr>
        <w:t xml:space="preserve">em </w:t>
      </w:r>
      <w:r>
        <w:rPr>
          <w:rFonts w:ascii="Consolas" w:hAnsi="Consolas"/>
          <w:color w:val="1F4D78"/>
          <w:sz w:val="19"/>
        </w:rPr>
        <w:t>TECH_DEBT_scan_codigo.md</w:t>
      </w:r>
      <w:r>
        <w:rPr>
          <w:rFonts w:ascii="Calibri" w:hAnsi="Calibri"/>
          <w:b/>
          <w:i w:val="0"/>
          <w:color w:val="1F4D78"/>
          <w:sz w:val="22"/>
        </w:rPr>
        <w:t>:</w:t>
      </w:r>
    </w:p>
    <w:p>
      <w:pPr>
        <w:pStyle w:val="BodyBullet"/>
        <w:numPr>
          <w:ilvl w:val="0"/>
          <w:numId w:val="10"/>
        </w:numPr>
      </w:pPr>
      <w:r>
        <w:rPr>
          <w:rFonts w:ascii="Calibri" w:hAnsi="Calibri"/>
          <w:b w:val="0"/>
          <w:i w:val="0"/>
          <w:color w:val="000000"/>
          <w:sz w:val="22"/>
        </w:rPr>
        <w:t>o mecanismo de fila permite múltiplas réplicas consumindo jobs;</w:t>
      </w:r>
    </w:p>
    <w:p>
      <w:pPr>
        <w:pStyle w:val="BodyBullet"/>
        <w:numPr>
          <w:ilvl w:val="0"/>
          <w:numId w:val="10"/>
        </w:numPr>
      </w:pPr>
      <w:r>
        <w:rPr>
          <w:rFonts w:ascii="Calibri" w:hAnsi="Calibri"/>
          <w:b w:val="0"/>
          <w:i w:val="0"/>
          <w:color w:val="000000"/>
          <w:sz w:val="22"/>
        </w:rPr>
        <w:t xml:space="preserve">todas as réplicas continuam apontando para o mesmo </w:t>
      </w:r>
      <w:r>
        <w:rPr>
          <w:rFonts w:ascii="Consolas" w:hAnsi="Consolas"/>
          <w:color w:val="1F4D78"/>
          <w:sz w:val="19"/>
        </w:rPr>
        <w:t>OLLAMA_BASE_URL</w:t>
      </w:r>
      <w:r>
        <w:rPr>
          <w:rFonts w:ascii="Calibri" w:hAnsi="Calibri"/>
          <w:b w:val="0"/>
          <w:i w:val="0"/>
          <w:color w:val="000000"/>
          <w:sz w:val="22"/>
        </w:rPr>
        <w:t>;</w:t>
      </w:r>
    </w:p>
    <w:p>
      <w:pPr>
        <w:pStyle w:val="BodyBullet"/>
        <w:numPr>
          <w:ilvl w:val="0"/>
          <w:numId w:val="10"/>
        </w:numPr>
      </w:pPr>
      <w:r>
        <w:rPr>
          <w:rFonts w:ascii="Calibri" w:hAnsi="Calibri"/>
          <w:b w:val="0"/>
          <w:i w:val="0"/>
          <w:color w:val="000000"/>
          <w:sz w:val="22"/>
        </w:rPr>
        <w:t>aumentar o número de réplicas do worker não cria, por si só, capacidade adicional de GPU;</w:t>
      </w:r>
    </w:p>
    <w:p>
      <w:pPr>
        <w:pStyle w:val="BodyBullet"/>
        <w:numPr>
          <w:ilvl w:val="0"/>
          <w:numId w:val="10"/>
        </w:numPr>
      </w:pPr>
      <w:r>
        <w:rPr>
          <w:rFonts w:ascii="Calibri" w:hAnsi="Calibri"/>
          <w:b w:val="0"/>
          <w:i w:val="0"/>
          <w:color w:val="000000"/>
          <w:sz w:val="22"/>
        </w:rPr>
        <w:t>o throttle é mantido em memória por instância, sem coordenação global da capacidade efetiva do provedor.</w:t>
      </w:r>
    </w:p>
    <w:p>
      <w:pPr>
        <w:widowControl/>
      </w:pPr>
      <w:r>
        <w:rPr>
          <w:rFonts w:ascii="Calibri" w:hAnsi="Calibri"/>
          <w:b w:val="0"/>
          <w:i w:val="0"/>
          <w:color w:val="000000"/>
          <w:sz w:val="22"/>
        </w:rPr>
        <w:t>Ou seja: duas investigações independentes, em momentos diferentes e por motivos diferentes, identificaram necessidades de evolução no mesmo serviço. Os achados tratam de dimensões distintas: uma investigação aponta uma oportunidade de reduzir a latência por requisição; a outra identifica limitações na coordenação da capacidade de inferência quando há múltiplas instâncias. Em conjunto, elas ajudam a delimitar pontos a considerar no próximo ciclo de evolução do worker.</w:t>
      </w:r>
    </w:p>
    <w:p>
      <w:pPr>
        <w:pStyle w:val="Heading2"/>
      </w:pPr>
      <w:r>
        <w:rPr>
          <w:rFonts w:ascii="Calibri" w:hAnsi="Calibri"/>
          <w:b/>
          <w:i w:val="0"/>
          <w:color w:val="2E74B5"/>
          <w:sz w:val="22"/>
        </w:rPr>
        <w:t>3.4 Relação com o roteiro existente</w:t>
      </w:r>
    </w:p>
    <w:p>
      <w:pPr>
        <w:widowControl/>
      </w:pPr>
      <w:r>
        <w:rPr>
          <w:rFonts w:ascii="Calibri" w:hAnsi="Calibri"/>
          <w:b w:val="0"/>
          <w:i w:val="0"/>
          <w:color w:val="000000"/>
          <w:sz w:val="22"/>
        </w:rPr>
        <w:t>O README do worker já mantém uma seção de melhorias futuras, incluindo webhook global. Os itens de controle de raciocínio, isolamento entre consumidores e coordenação de capacidade podem seguir o mesmo processo: registrar o comportamento atual, definir critérios técnicos e priorizar a implementação conforme impacto, esforço e dependências.</w:t>
      </w:r>
    </w:p>
    <w:p>
      <w:pPr>
        <w:pStyle w:val="Heading1"/>
      </w:pPr>
      <w:r>
        <w:rPr>
          <w:rFonts w:ascii="Calibri" w:hAnsi="Calibri"/>
          <w:b/>
          <w:i w:val="0"/>
          <w:color w:val="2E74B5"/>
          <w:sz w:val="22"/>
        </w:rPr>
        <w:t>4. DIREÇÃO RECOMENDADA</w:t>
      </w:r>
    </w:p>
    <w:p>
      <w:pPr>
        <w:widowControl/>
      </w:pPr>
      <w:r>
        <w:rPr>
          <w:rFonts w:ascii="Calibri" w:hAnsi="Calibri"/>
          <w:b w:val="0"/>
          <w:i w:val="0"/>
          <w:color w:val="000000"/>
          <w:sz w:val="22"/>
        </w:rPr>
        <w:t xml:space="preserve">O worker deve permanecer como ponto central de acesso aos modelos, preservando fila, prioridade, autenticação, monitoramento e tratamento de falhas. Chamar o Ollama diretamente a partir do chatbot poderia remover parte da sobrecarga em alguns cenários, mas duplicaria responsabilidades e removeria garantias já fornecidas pelo worker; por isso, essa alternativa não é recomendada. A evidência disponível sustenta avaliar um caminho no próprio worker capaz de repassar o controle nativo </w:t>
      </w:r>
      <w:r>
        <w:rPr>
          <w:rFonts w:ascii="Consolas" w:hAnsi="Consolas"/>
          <w:color w:val="1F4D78"/>
          <w:sz w:val="19"/>
        </w:rPr>
        <w:t>think:false</w:t>
      </w:r>
      <w:r>
        <w:rPr>
          <w:rFonts w:ascii="Calibri" w:hAnsi="Calibri"/>
          <w:b w:val="0"/>
          <w:i w:val="0"/>
          <w:color w:val="000000"/>
          <w:sz w:val="22"/>
        </w:rPr>
        <w:t>, e não contornar o serviço.</w:t>
      </w:r>
    </w:p>
    <w:p>
      <w:pPr>
        <w:pStyle w:val="LeadLabel"/>
      </w:pPr>
      <w:r>
        <w:rPr>
          <w:rFonts w:ascii="Calibri" w:hAnsi="Calibri"/>
          <w:b/>
          <w:i w:val="0"/>
          <w:color w:val="1F4D78"/>
          <w:sz w:val="22"/>
        </w:rPr>
        <w:t>As três frentes a avaliar são:</w:t>
      </w:r>
    </w:p>
    <w:p>
      <w:pPr>
        <w:pStyle w:val="BodyNumber"/>
        <w:numPr>
          <w:ilvl w:val="0"/>
          <w:numId w:val="11"/>
        </w:numPr>
      </w:pPr>
      <w:r>
        <w:rPr>
          <w:rFonts w:ascii="Calibri" w:hAnsi="Calibri"/>
          <w:b w:val="0"/>
          <w:i w:val="0"/>
          <w:color w:val="000000"/>
          <w:sz w:val="22"/>
        </w:rPr>
        <w:t>controle efetivo de raciocínio por requisição, com suporte condicionado ao modelo e ao endpoint do provedor;</w:t>
      </w:r>
    </w:p>
    <w:p>
      <w:pPr>
        <w:pStyle w:val="BodyNumber"/>
        <w:numPr>
          <w:ilvl w:val="0"/>
          <w:numId w:val="11"/>
        </w:numPr>
      </w:pPr>
      <w:r>
        <w:rPr>
          <w:rFonts w:ascii="Calibri" w:hAnsi="Calibri"/>
          <w:b w:val="0"/>
          <w:i w:val="0"/>
          <w:color w:val="000000"/>
          <w:sz w:val="22"/>
        </w:rPr>
        <w:t>isolamento de leitura e políticas de exposição e retenção por consumidor;</w:t>
      </w:r>
    </w:p>
    <w:p>
      <w:pPr>
        <w:pStyle w:val="BodyNumber"/>
        <w:numPr>
          <w:ilvl w:val="0"/>
          <w:numId w:val="11"/>
        </w:numPr>
      </w:pPr>
      <w:r>
        <w:rPr>
          <w:rFonts w:ascii="Calibri" w:hAnsi="Calibri"/>
          <w:b w:val="0"/>
          <w:i w:val="0"/>
          <w:color w:val="000000"/>
          <w:sz w:val="22"/>
        </w:rPr>
        <w:t>coordenação da capacidade de inferência quando houver múltiplas instâncias do worker ou múltiplos provedores de GPU.</w:t>
      </w:r>
    </w:p>
    <w:p>
      <w:pPr>
        <w:pStyle w:val="LeadLabel"/>
      </w:pPr>
      <w:r>
        <w:rPr>
          <w:rFonts w:ascii="Calibri" w:hAnsi="Calibri"/>
          <w:b/>
          <w:i w:val="0"/>
          <w:color w:val="1F4D78"/>
          <w:sz w:val="22"/>
        </w:rPr>
        <w:t>Próximos passos sugeridos:</w:t>
      </w:r>
    </w:p>
    <w:p>
      <w:pPr>
        <w:pStyle w:val="BodyBullet"/>
        <w:numPr>
          <w:ilvl w:val="0"/>
          <w:numId w:val="10"/>
        </w:numPr>
      </w:pPr>
      <w:r>
        <w:rPr>
          <w:rFonts w:ascii="Calibri" w:hAnsi="Calibri"/>
          <w:b w:val="0"/>
          <w:i w:val="0"/>
          <w:color w:val="000000"/>
          <w:sz w:val="22"/>
        </w:rPr>
        <w:t xml:space="preserve">criar um conjunto representativo de prompts para medir </w:t>
      </w:r>
      <w:r>
        <w:rPr>
          <w:rFonts w:ascii="Consolas" w:hAnsi="Consolas"/>
          <w:color w:val="1F4D78"/>
          <w:sz w:val="19"/>
        </w:rPr>
        <w:t>on</w:t>
      </w:r>
      <w:r>
        <w:rPr>
          <w:rFonts w:ascii="Calibri" w:hAnsi="Calibri"/>
          <w:b w:val="0"/>
          <w:i w:val="0"/>
          <w:color w:val="000000"/>
          <w:sz w:val="22"/>
        </w:rPr>
        <w:t xml:space="preserve">, </w:t>
      </w:r>
      <w:r>
        <w:rPr>
          <w:rFonts w:ascii="Consolas" w:hAnsi="Consolas"/>
          <w:color w:val="1F4D78"/>
          <w:sz w:val="19"/>
        </w:rPr>
        <w:t>hidden</w:t>
      </w:r>
      <w:r>
        <w:rPr>
          <w:rFonts w:ascii="Calibri" w:hAnsi="Calibri"/>
          <w:b w:val="0"/>
          <w:i w:val="0"/>
          <w:color w:val="000000"/>
          <w:sz w:val="22"/>
        </w:rPr>
        <w:t xml:space="preserve"> e </w:t>
      </w:r>
      <w:r>
        <w:rPr>
          <w:rFonts w:ascii="Consolas" w:hAnsi="Consolas"/>
          <w:color w:val="1F4D78"/>
          <w:sz w:val="19"/>
        </w:rPr>
        <w:t>off</w:t>
      </w:r>
      <w:r>
        <w:rPr>
          <w:rFonts w:ascii="Calibri" w:hAnsi="Calibri"/>
          <w:b w:val="0"/>
          <w:i w:val="0"/>
          <w:color w:val="000000"/>
          <w:sz w:val="22"/>
        </w:rPr>
        <w:t xml:space="preserve"> em latência, tokens e qualidade;</w:t>
      </w:r>
    </w:p>
    <w:p>
      <w:pPr>
        <w:pStyle w:val="BodyBullet"/>
        <w:numPr>
          <w:ilvl w:val="0"/>
          <w:numId w:val="10"/>
        </w:numPr>
      </w:pPr>
      <w:r>
        <w:rPr>
          <w:rFonts w:ascii="Calibri" w:hAnsi="Calibri"/>
          <w:b w:val="0"/>
          <w:i w:val="0"/>
          <w:color w:val="000000"/>
          <w:sz w:val="22"/>
        </w:rPr>
        <w:t>definir a evolução do contrato de payload sem quebrar consumidores atuais;</w:t>
      </w:r>
    </w:p>
    <w:p>
      <w:pPr>
        <w:pStyle w:val="BodyBullet"/>
        <w:numPr>
          <w:ilvl w:val="0"/>
          <w:numId w:val="10"/>
        </w:numPr>
      </w:pPr>
      <w:r>
        <w:rPr>
          <w:rFonts w:ascii="Calibri" w:hAnsi="Calibri"/>
          <w:b w:val="0"/>
          <w:i w:val="0"/>
          <w:color w:val="000000"/>
          <w:sz w:val="22"/>
        </w:rPr>
        <w:t xml:space="preserve">corrigir a exposição de </w:t>
      </w:r>
      <w:r>
        <w:rPr>
          <w:rFonts w:ascii="Consolas" w:hAnsi="Consolas"/>
          <w:color w:val="1F4D78"/>
          <w:sz w:val="19"/>
        </w:rPr>
        <w:t>result.reasoning</w:t>
      </w:r>
      <w:r>
        <w:rPr>
          <w:rFonts w:ascii="Calibri" w:hAnsi="Calibri"/>
          <w:b w:val="0"/>
          <w:i w:val="0"/>
          <w:color w:val="000000"/>
          <w:sz w:val="22"/>
        </w:rPr>
        <w:t xml:space="preserve"> no caminho assíncrono e definir uma política explícita de persistência e retenção;</w:t>
      </w:r>
    </w:p>
    <w:p>
      <w:pPr>
        <w:pStyle w:val="BodyBullet"/>
        <w:numPr>
          <w:ilvl w:val="0"/>
          <w:numId w:val="10"/>
        </w:numPr>
      </w:pPr>
      <w:r>
        <w:rPr>
          <w:rFonts w:ascii="Calibri" w:hAnsi="Calibri"/>
          <w:b w:val="0"/>
          <w:i w:val="0"/>
          <w:color w:val="000000"/>
          <w:sz w:val="22"/>
        </w:rPr>
        <w:t>vincular a leitura de jobs ao consumidor autenticado, com acesso global reservado a uma função administrativa;</w:t>
      </w:r>
    </w:p>
    <w:p>
      <w:pPr>
        <w:pStyle w:val="BodyBullet"/>
        <w:numPr>
          <w:ilvl w:val="0"/>
          <w:numId w:val="10"/>
        </w:numPr>
      </w:pPr>
      <w:r>
        <w:rPr>
          <w:rFonts w:ascii="Calibri" w:hAnsi="Calibri"/>
          <w:b w:val="0"/>
          <w:i w:val="0"/>
          <w:color w:val="000000"/>
          <w:sz w:val="22"/>
        </w:rPr>
        <w:t>avaliar a estratégia de acesso à API nativa do Ollama dentro do worker;</w:t>
      </w:r>
    </w:p>
    <w:p>
      <w:pPr>
        <w:pStyle w:val="BodyBullet"/>
        <w:numPr>
          <w:ilvl w:val="0"/>
          <w:numId w:val="10"/>
        </w:numPr>
      </w:pPr>
      <w:r>
        <w:rPr>
          <w:rFonts w:ascii="Calibri" w:hAnsi="Calibri"/>
          <w:b w:val="0"/>
          <w:i w:val="0"/>
          <w:color w:val="000000"/>
          <w:sz w:val="22"/>
        </w:rPr>
        <w:t>modelar limite de concorrência compartilhado entre instâncias;</w:t>
      </w:r>
    </w:p>
    <w:p>
      <w:pPr>
        <w:pStyle w:val="BodyBullet"/>
        <w:numPr>
          <w:ilvl w:val="0"/>
          <w:numId w:val="10"/>
        </w:numPr>
      </w:pPr>
      <w:r>
        <w:rPr>
          <w:rFonts w:ascii="Calibri" w:hAnsi="Calibri"/>
          <w:b w:val="0"/>
          <w:i w:val="0"/>
          <w:color w:val="000000"/>
          <w:sz w:val="22"/>
        </w:rPr>
        <w:t>registrar a decisão e a prioridade no backlog do serviço.</w:t>
      </w:r>
    </w:p>
    <w:p>
      <w:pPr>
        <w:pStyle w:val="LeadLabel"/>
      </w:pPr>
      <w:r>
        <w:rPr>
          <w:rFonts w:ascii="Calibri" w:hAnsi="Calibri"/>
          <w:b/>
          <w:i w:val="0"/>
          <w:color w:val="1F4D78"/>
          <w:sz w:val="22"/>
        </w:rPr>
        <w:t>Fontes internas:</w:t>
      </w:r>
    </w:p>
    <w:p>
      <w:pPr>
        <w:pStyle w:val="BodyBullet"/>
        <w:numPr>
          <w:ilvl w:val="0"/>
          <w:numId w:val="10"/>
        </w:numPr>
      </w:pPr>
      <w:r>
        <w:rPr>
          <w:rFonts w:ascii="Calibri" w:hAnsi="Calibri"/>
          <w:b w:val="0"/>
          <w:i w:val="0"/>
          <w:color w:val="000000"/>
          <w:sz w:val="22"/>
        </w:rPr>
        <w:t>README.md do sacf-ai-worker;</w:t>
      </w:r>
    </w:p>
    <w:p>
      <w:pPr>
        <w:pStyle w:val="BodyBullet"/>
        <w:numPr>
          <w:ilvl w:val="0"/>
          <w:numId w:val="10"/>
        </w:numPr>
      </w:pPr>
      <w:r>
        <w:rPr>
          <w:rFonts w:ascii="Calibri" w:hAnsi="Calibri"/>
          <w:b w:val="0"/>
          <w:i w:val="0"/>
          <w:color w:val="000000"/>
          <w:sz w:val="22"/>
        </w:rPr>
        <w:t>ai_worker_observations.md;</w:t>
      </w:r>
    </w:p>
    <w:p>
      <w:pPr>
        <w:pStyle w:val="BodyBullet"/>
        <w:numPr>
          <w:ilvl w:val="0"/>
          <w:numId w:val="10"/>
        </w:numPr>
      </w:pPr>
      <w:r>
        <w:rPr>
          <w:rFonts w:ascii="Calibri" w:hAnsi="Calibri"/>
          <w:b w:val="0"/>
          <w:i w:val="0"/>
          <w:color w:val="000000"/>
          <w:sz w:val="22"/>
        </w:rPr>
        <w:t>debt.md, seção sobre controle real de raciocínio;</w:t>
      </w:r>
    </w:p>
    <w:p>
      <w:pPr>
        <w:pStyle w:val="BodyBullet"/>
        <w:numPr>
          <w:ilvl w:val="0"/>
          <w:numId w:val="10"/>
        </w:numPr>
      </w:pPr>
      <w:r>
        <w:rPr>
          <w:rFonts w:ascii="Calibri" w:hAnsi="Calibri"/>
          <w:color w:val="1F4D78"/>
          <w:sz w:val="22"/>
        </w:rPr>
        <w:t>D:\Arquivos\Zasso\documents\TECH_DEBT_scan_codigo.md</w:t>
      </w:r>
      <w:r>
        <w:rPr>
          <w:rFonts w:ascii="Calibri" w:hAnsi="Calibri"/>
          <w:b w:val="0"/>
          <w:i w:val="0"/>
          <w:color w:val="000000"/>
          <w:sz w:val="22"/>
        </w:rPr>
        <w:t>, item 12, varredura de 16/07/2026.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right"/>
    </w:pPr>
    <w:r>
      <w:rPr>
        <w:rFonts w:ascii="Calibri" w:hAnsi="Calibri"/>
        <w:color w:val="666666"/>
        <w:sz w:val="18"/>
      </w:rPr>
      <w:t xml:space="preserve">Página </w:t>
    </w:r>
    <w:r>
      <w:rPr>
        <w:rFonts w:ascii="Calibri" w:hAnsi="Calibri"/>
        <w:color w:val="666666"/>
        <w:sz w:val="18"/>
      </w:rPr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</w:pPr>
    <w:r>
      <w:rPr>
        <w:rFonts w:ascii="Calibri" w:hAnsi="Calibri"/>
        <w:color w:val="666666"/>
        <w:sz w:val="17"/>
      </w:rPr>
      <w:t>WORKER DE INTELIGÊNCIA ARTIFICIAL (sacf-ai-worker)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Calibri" w:hAnsi="Calibri"/>
      </w:rPr>
    </w:lvl>
  </w:abstractNum>
  <w:num w:numId="10">
    <w:abstractNumId w:val="9"/>
  </w:num>
  <w:abstractNum w:abstractNumId="10">
    <w:multiLevelType w:val="singleLevel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Calibri" w:hAnsi="Calibri"/>
      </w:rPr>
    </w:lvl>
  </w:abstract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odyBullet">
    <w:name w:val="Body Bullet"/>
    <w:basedOn w:val="Normal"/>
    <w:pPr>
      <w:spacing w:after="160" w:line="280" w:lineRule="auto"/>
    </w:pPr>
    <w:rPr>
      <w:rFonts w:ascii="Calibri" w:hAnsi="Calibri"/>
      <w:sz w:val="22"/>
    </w:rPr>
  </w:style>
  <w:style w:type="paragraph" w:customStyle="1" w:styleId="BodyNumber">
    <w:name w:val="Body Number"/>
    <w:basedOn w:val="Normal"/>
    <w:pPr>
      <w:spacing w:after="160" w:line="280" w:lineRule="auto"/>
    </w:pPr>
    <w:rPr>
      <w:rFonts w:ascii="Calibri" w:hAnsi="Calibri"/>
      <w:sz w:val="22"/>
    </w:rPr>
  </w:style>
  <w:style w:type="paragraph" w:customStyle="1" w:styleId="LeadLabel">
    <w:name w:val="Lead Label"/>
    <w:basedOn w:val="Normal"/>
    <w:pPr>
      <w:keepNext/>
      <w:spacing w:before="160" w:after="80"/>
    </w:pPr>
    <w:rPr>
      <w:rFonts w:ascii="Calibri" w:hAnsi="Calibri"/>
      <w:b/>
      <w:color w:val="1F4D78"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WORKER DE INTELIGÊNCIA ARTIFICIAL (sacf-ai-worker)</dc:title>
  <dc:subject>Papel arquitetural, situação atual e frentes de evolução</dc:subject>
  <dc:creator>Zasso</dc:creator>
  <cp:keywords>chatbot, inteligência artificial, arquitetura, RAG, worker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