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80</w:t>
      </w:r>
    </w:p>
    <w:p>
      <w:pPr>
        <w:pStyle w:val="TOC1"/>
        <w:rPr/>
      </w:pPr>
      <w:r>
        <w:rPr/>
        <w:t>Tabela 6.2 — Distribuição de tarefas entre regras, IA e supervisão humana</w:t>
        <w:tab/>
        <w:t>83</w:t>
      </w:r>
    </w:p>
    <w:p>
      <w:pPr>
        <w:pStyle w:val="TOC1"/>
        <w:rPr/>
      </w:pPr>
      <w:r>
        <w:rPr/>
        <w:t>Tabela 8.1 — Evidência do funcionamento da plataforma no processo de projeto</w:t>
        <w:tab/>
        <w:t>89</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103</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38</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62</w:t>
      </w:r>
    </w:p>
    <w:p>
      <w:pPr>
        <w:pStyle w:val="TOC1"/>
        <w:rPr/>
      </w:pPr>
      <w:r>
        <w:rPr/>
        <w:t>Figura 5.2 — Painel de configuração dos perfis de utilizador na plataforma HandFab.</w:t>
        <w:tab/>
        <w:t>63</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68</w:t>
      </w:r>
    </w:p>
    <w:p>
      <w:pPr>
        <w:pStyle w:val="TOC1"/>
        <w:rPr/>
      </w:pPr>
      <w:r>
        <w:rPr/>
        <w:t>Figura 5.5 — Fluxo geral de produção personalizada de próteses a partir de digitalização, CAD adaptativo e fabrico aditivo.</w:t>
        <w:tab/>
        <w:t>70</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86</w:t>
      </w:r>
    </w:p>
    <w:p>
      <w:pPr>
        <w:pStyle w:val="TOC1"/>
        <w:rPr/>
      </w:pPr>
      <w:r>
        <w:rPr/>
        <w:t>Figura 7.1 — Exemplo publicado de teste de uma prótese impressa em 3D com um utilizador; esta atividade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145</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extração e codificação de dados antropométricos</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 xml:space="preserve">Um atributo particularmente relevante é o </w:t>
      </w:r>
      <w:commentRangeStart w:id="0"/>
      <w:r>
        <w:rPr>
          <w:i/>
          <w:iCs/>
        </w:rPr>
        <w:t>feedback</w:t>
      </w:r>
      <w:r>
        <w:rPr>
          <w:i/>
          <w:iCs/>
        </w:rPr>
      </w:r>
      <w:commentRangeEnd w:id="0"/>
      <w:r>
        <w:commentReference w:id="0"/>
      </w:r>
      <w:r>
        <w:rPr/>
        <w:t xml:space="preserve"> proprioceptivo indireto</w:t>
      </w:r>
      <w:r>
        <w:rPr>
          <w:rStyle w:val="FootnoteReference"/>
        </w:rPr>
        <w:footnoteReference w:id="2"/>
      </w:r>
      <w:r>
        <w:rPr/>
        <w:t xml:space="preserve">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1"/>
      <w:r>
        <w:rPr/>
        <w:t>Regulamento 2017/745 (MDR) - https://eur-lex.europa.eu/eli/reg/2017/745/oj/eng</w:t>
      </w:r>
      <w:r>
        <w:rPr/>
      </w:r>
      <w:commentRangeEnd w:id="1"/>
      <w:r>
        <w:commentReference w:id="1"/>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2"/>
      <w:r>
        <w:rPr/>
        <w:t>CE (Parlamento Europeu e Conselho da União Europeia, 2017).</w:t>
      </w:r>
      <w:commentRangeEnd w:id="2"/>
      <w:r>
        <w:commentReference w:id="2"/>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3"/>
      <w:r>
        <w:rPr/>
        <w:t>ISO/TC 168</w:t>
      </w:r>
      <w:r>
        <w:rPr/>
      </w:r>
      <w:commentRangeEnd w:id="3"/>
      <w:r>
        <w:commentReference w:id="3"/>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4"/>
      <w:r>
        <w:rPr/>
        <w:t>Ron Mace</w:t>
      </w:r>
      <w:r>
        <w:rPr/>
      </w:r>
      <w:commentRangeEnd w:id="4"/>
      <w:r>
        <w:commentReference w:id="4"/>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5"/>
      <w:r>
        <w:rPr/>
        <w:t>ISO 62366</w:t>
      </w:r>
      <w:r>
        <w:rPr/>
      </w:r>
      <w:commentRangeEnd w:id="5"/>
      <w:r>
        <w:commentReference w:id="5"/>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w:t>
      </w:r>
      <w:commentRangeStart w:id="6"/>
      <w:r>
        <w:rPr/>
        <w:t>PRISMA</w:t>
      </w:r>
      <w:r>
        <w:rPr>
          <w:rStyle w:val="FootnoteReference"/>
        </w:rPr>
        <w:footnoteReference w:id="3"/>
      </w:r>
      <w:r>
        <w:rPr/>
      </w:r>
      <w:commentRangeEnd w:id="6"/>
      <w:r>
        <w:commentReference w:id="6"/>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commentRangeStart w:id="7"/>
      <w:r>
        <w:rPr/>
        <w:t xml:space="preserve"> [^9]</w:t>
      </w:r>
      <w:commentRangeEnd w:id="7"/>
      <w:r>
        <w:commentReference w:id="7"/>
      </w:r>
      <w:r>
        <w:rPr/>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4"/>
      </w:r>
      <w:r>
        <w:rPr/>
        <w:t xml:space="preserve"> viabiliza fluxos digitais em que o ficheiro parametrizado é convertido directamente em instruções de fabrico, seja localmente (impressão 3D descentralizada) ou por meio de </w:t>
      </w:r>
      <w:commentRangeStart w:id="8"/>
      <w:r>
        <w:rPr/>
        <w:t xml:space="preserve">uma encomenda </w:t>
      </w:r>
      <w:r>
        <w:rPr>
          <w:i/>
          <w:iCs/>
        </w:rPr>
        <w:t>online</w:t>
      </w:r>
      <w:r>
        <w:rPr>
          <w:i/>
          <w:iCs/>
        </w:rPr>
      </w:r>
      <w:commentRangeEnd w:id="8"/>
      <w:r>
        <w:commentReference w:id="8"/>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 xml:space="preserve">A parametrização é frequentemente combinada com métodos de optimização topológica, de geração de estruturas reticuladas e de abordagens multiobjectivo. Estas estratégias permitem gerir compromissos entre peso, resistência, custo e tempo de fabrico, explorando </w:t>
      </w:r>
      <w:commentRangeStart w:id="9"/>
      <w:r>
        <w:rPr/>
        <w:t>fronteiras de Pareto</w:t>
      </w:r>
      <w:r>
        <w:rPr>
          <w:rStyle w:val="FootnoteReference"/>
        </w:rPr>
        <w:footnoteReference w:id="5"/>
      </w:r>
      <w:r>
        <w:rPr/>
      </w:r>
      <w:commentRangeEnd w:id="9"/>
      <w:r>
        <w:commentReference w:id="9"/>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10"/>
      <w:r>
        <w:rPr/>
        <w:t>ISO 7250</w:t>
      </w:r>
      <w:r>
        <w:rPr/>
      </w:r>
      <w:commentRangeEnd w:id="10"/>
      <w:r>
        <w:commentReference w:id="10"/>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6"/>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7"/>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8"/>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9"/>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10"/>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1"/>
      </w:r>
      <w:r>
        <w:rPr/>
        <w:t xml:space="preserve">, </w:t>
      </w:r>
      <w:r>
        <w:rPr>
          <w:i/>
          <w:iCs/>
        </w:rPr>
        <w:t>serious games</w:t>
      </w:r>
      <w:r>
        <w:rPr>
          <w:rStyle w:val="FootnoteReference"/>
        </w:rPr>
        <w:footnoteReference w:id="12"/>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3"/>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rFonts w:eastAsia="Calibri"/>
                <w:kern w:val="0"/>
                <w:szCs w:val="24"/>
                <w:lang w:val="pt-PT" w:eastAsia="en-US" w:bidi="ar-SA"/>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jc w:val="both"/>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material suplementar do Anexo C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material suplementar do Anexo C.</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90"/>
        <w:gridCol w:w="3150"/>
        <w:gridCol w:w="2847"/>
      </w:tblGrid>
      <w:tr>
        <w:trPr>
          <w:tblHeader w:val="true"/>
          <w:cantSplit/>
        </w:trPr>
        <w:tc>
          <w:tcPr>
            <w:tcW w:w="279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90"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0"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7"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3"/>
        <w:gridCol w:w="3013"/>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11"/>
      <w:r>
        <w:rPr/>
        <w:t>geração contínua</w:t>
      </w:r>
      <w:r>
        <w:rPr/>
      </w:r>
      <w:commentRangeEnd w:id="11"/>
      <w:r>
        <w:commentReference w:id="11"/>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w:t>
      </w:r>
      <w:commentRangeStart w:id="12"/>
      <w:r>
        <w:rPr/>
        <w:t>, sem demonstrar, por si só, acessibilidade ou facilidade de utilização</w:t>
      </w:r>
      <w:r>
        <w:rPr/>
      </w:r>
      <w:commentRangeEnd w:id="12"/>
      <w:r>
        <w:commentReference w:id="12"/>
      </w:r>
      <w:r>
        <w:rPr/>
        <w:t xml:space="preserv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 xml:space="preserve">Por fim, o módulo administrativo suporta a criação de contas de utilizador, a diferenciação de permissões e a atribuição de utilizadores a técnicos. Esta funcionalidade permite representar diferentes níveis de intervenção no protótipo. </w:t>
      </w:r>
      <w:commentRangeStart w:id="13"/>
      <w:r>
        <w:rPr/>
        <w:t>Os resultados funcionais disponíveis são discutidos na Secção 8.1 e no Anexo B.</w:t>
      </w:r>
      <w:commentRangeEnd w:id="13"/>
      <w:r>
        <w:commentReference w:id="13"/>
      </w:r>
      <w:r>
        <w:rPr/>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apenas no material técnico suplementar.</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dissertação.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dissertação.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de dados da mão com dados de várias populações,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 xml:space="preserve">A.10.3 </w:t>
      </w:r>
      <w:r>
        <w:rPr/>
        <w:t>PRIORIDADES</w:t>
      </w:r>
      <w:r>
        <w:rPr/>
        <w:t xml:space="preserve">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dissertação.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rFonts w:ascii="Times New Roman" w:hAnsi="Times New Roman"/>
        </w:rPr>
        <w:t xml:space="preserve">O mapeamento canónico liga apenas medidas com correspondência anatómica explícita: </w:t>
      </w:r>
      <w:r>
        <w:rPr>
          <w:rFonts w:ascii="Times New Roman" w:hAnsi="Times New Roman"/>
          <w:i/>
          <w:iCs/>
          <w:sz w:val="20"/>
        </w:rPr>
        <w:t>palm.width_mm</w:t>
      </w:r>
      <w:r>
        <w:rPr>
          <w:rFonts w:ascii="Times New Roman" w:hAnsi="Times New Roman"/>
        </w:rPr>
        <w:t xml:space="preserve"> a </w:t>
      </w:r>
      <w:r>
        <w:rPr>
          <w:rFonts w:ascii="Times New Roman" w:hAnsi="Times New Roman"/>
          <w:i/>
          <w:iCs/>
          <w:sz w:val="20"/>
        </w:rPr>
        <w:t>palm_breadth_mm</w:t>
      </w:r>
      <w:r>
        <w:rPr>
          <w:rFonts w:ascii="Times New Roman" w:hAnsi="Times New Roman"/>
        </w:rPr>
        <w:t xml:space="preserve">; </w:t>
      </w:r>
      <w:r>
        <w:rPr>
          <w:rFonts w:ascii="Times New Roman" w:hAnsi="Times New Roman"/>
          <w:i/>
          <w:iCs/>
          <w:sz w:val="20"/>
        </w:rPr>
        <w:t>palm.length_mm</w:t>
      </w:r>
      <w:r>
        <w:rPr>
          <w:rFonts w:ascii="Times New Roman" w:hAnsi="Times New Roman"/>
        </w:rPr>
        <w:t xml:space="preserve"> a </w:t>
      </w:r>
      <w:r>
        <w:rPr>
          <w:rFonts w:ascii="Times New Roman" w:hAnsi="Times New Roman"/>
          <w:i/>
          <w:iCs/>
          <w:sz w:val="20"/>
        </w:rPr>
        <w:t>palm_length_mm</w:t>
      </w:r>
      <w:r>
        <w:rPr>
          <w:rFonts w:ascii="Times New Roman" w:hAnsi="Times New Roman"/>
        </w:rPr>
        <w:t xml:space="preserve">; </w:t>
      </w:r>
      <w:r>
        <w:rPr>
          <w:rFonts w:ascii="Times New Roman" w:hAnsi="Times New Roman"/>
          <w:i/>
          <w:iCs/>
          <w:sz w:val="20"/>
        </w:rPr>
        <w:t>palm.thickness_mm</w:t>
      </w:r>
      <w:r>
        <w:rPr>
          <w:rFonts w:ascii="Times New Roman" w:hAnsi="Times New Roman"/>
        </w:rPr>
        <w:t xml:space="preserve"> a </w:t>
      </w:r>
      <w:r>
        <w:rPr>
          <w:rFonts w:ascii="Times New Roman" w:hAnsi="Times New Roman"/>
          <w:i/>
          <w:iCs/>
          <w:sz w:val="20"/>
        </w:rPr>
        <w:t>palm_thickness_mm</w:t>
      </w:r>
      <w:r>
        <w:rPr>
          <w:rFonts w:ascii="Times New Roman" w:hAnsi="Times New Roman"/>
        </w:rPr>
        <w:t xml:space="preserve">; os comprimentos totais de </w:t>
      </w:r>
      <w:r>
        <w:rPr>
          <w:rFonts w:ascii="Times New Roman" w:hAnsi="Times New Roman"/>
          <w:i/>
          <w:iCs/>
          <w:sz w:val="20"/>
        </w:rPr>
        <w:t>digits.index</w:t>
      </w:r>
      <w:r>
        <w:rPr>
          <w:rFonts w:ascii="Times New Roman" w:hAnsi="Times New Roman"/>
          <w:i/>
          <w:iCs/>
        </w:rPr>
        <w:t xml:space="preserve">, </w:t>
      </w:r>
      <w:r>
        <w:rPr>
          <w:rFonts w:ascii="Times New Roman" w:hAnsi="Times New Roman"/>
          <w:i/>
          <w:iCs/>
          <w:sz w:val="20"/>
        </w:rPr>
        <w:t>middle</w:t>
      </w:r>
      <w:r>
        <w:rPr>
          <w:rFonts w:ascii="Times New Roman" w:hAnsi="Times New Roman"/>
        </w:rPr>
        <w:t xml:space="preserve">, </w:t>
      </w:r>
      <w:r>
        <w:rPr>
          <w:rFonts w:ascii="Times New Roman" w:hAnsi="Times New Roman"/>
          <w:i/>
          <w:iCs/>
          <w:sz w:val="20"/>
        </w:rPr>
        <w:t>ring</w:t>
      </w:r>
      <w:r>
        <w:rPr>
          <w:rFonts w:ascii="Times New Roman" w:hAnsi="Times New Roman"/>
        </w:rPr>
        <w:t xml:space="preserve">, </w:t>
      </w:r>
      <w:r>
        <w:rPr>
          <w:rFonts w:ascii="Times New Roman" w:hAnsi="Times New Roman"/>
          <w:i/>
          <w:iCs/>
          <w:sz w:val="20"/>
        </w:rPr>
        <w:t>pinky</w:t>
      </w:r>
      <w:r>
        <w:rPr>
          <w:rFonts w:ascii="Times New Roman" w:hAnsi="Times New Roman"/>
        </w:rPr>
        <w:t xml:space="preserve"> e </w:t>
      </w:r>
      <w:r>
        <w:rPr>
          <w:rFonts w:ascii="Times New Roman" w:hAnsi="Times New Roman"/>
          <w:i/>
          <w:iCs/>
          <w:sz w:val="20"/>
        </w:rPr>
        <w:t>thumb</w:t>
      </w:r>
      <w:r>
        <w:rPr>
          <w:rFonts w:ascii="Times New Roman" w:hAnsi="Times New Roman"/>
        </w:rPr>
        <w:t xml:space="preserve"> aos cinco parâmetros </w:t>
      </w:r>
      <w:r>
        <w:rPr>
          <w:rFonts w:ascii="Times New Roman" w:hAnsi="Times New Roman"/>
          <w:sz w:val="20"/>
        </w:rPr>
        <w:t>*</w:t>
      </w:r>
      <w:r>
        <w:rPr>
          <w:rFonts w:ascii="Times New Roman" w:hAnsi="Times New Roman"/>
          <w:i/>
          <w:iCs/>
          <w:sz w:val="20"/>
        </w:rPr>
        <w:t>_finger_length_mm</w:t>
      </w:r>
      <w:r>
        <w:rPr>
          <w:rFonts w:ascii="Times New Roman" w:hAnsi="Times New Roman"/>
        </w:rPr>
        <w:t xml:space="preserve">; os comprimentos proximais dos mesmos dedos aos parâmetros </w:t>
      </w:r>
      <w:r>
        <w:rPr>
          <w:rFonts w:ascii="Times New Roman" w:hAnsi="Times New Roman"/>
          <w:sz w:val="20"/>
        </w:rPr>
        <w:t>*</w:t>
      </w:r>
      <w:r>
        <w:rPr>
          <w:rFonts w:ascii="Times New Roman" w:hAnsi="Times New Roman"/>
          <w:i/>
          <w:iCs/>
          <w:sz w:val="20"/>
        </w:rPr>
        <w:t>_base_length_mm</w:t>
      </w:r>
      <w:r>
        <w:rPr>
          <w:rFonts w:ascii="Times New Roman" w:hAnsi="Times New Roman"/>
        </w:rPr>
        <w:t xml:space="preserve">; e </w:t>
      </w:r>
      <w:r>
        <w:rPr>
          <w:rFonts w:ascii="Times New Roman" w:hAnsi="Times New Roman"/>
          <w:i/>
          <w:iCs/>
          <w:sz w:val="20"/>
        </w:rPr>
        <w:t>wrist.circumference_mm</w:t>
      </w:r>
      <w:r>
        <w:rPr>
          <w:rFonts w:ascii="Times New Roman" w:hAnsi="Times New Roman"/>
        </w:rPr>
        <w:t xml:space="preserve"> a </w:t>
      </w:r>
      <w:r>
        <w:rPr>
          <w:rFonts w:ascii="Times New Roman" w:hAnsi="Times New Roman"/>
          <w:i/>
          <w:iCs/>
          <w:sz w:val="20"/>
        </w:rPr>
        <w:t>wrist_circumference_mm</w:t>
      </w:r>
      <w:r>
        <w:rPr>
          <w:rFonts w:ascii="Times New Roman" w:hAnsi="Times New Roman"/>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 xml:space="preserve">A.10.3 </w:t>
      </w:r>
      <w:r>
        <w:rPr/>
        <w:t>PRIORIDADES</w:t>
      </w:r>
      <w:r>
        <w:rPr/>
        <w:t xml:space="preserve">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b/>
        </w:rPr>
      </w:pPr>
      <w:r>
        <w:rPr/>
        <w:t>Tabela B.5 — Identificação das séries complementares de avaliação da plataforma</w:t>
        <w:tab/>
        <w:t>134</w:t>
      </w:r>
    </w:p>
    <w:p>
      <w:pPr>
        <w:pStyle w:val="TextoNormal-IPCA"/>
        <w:ind w:hanging="0" w:start="0"/>
        <w:rPr>
          <w:b/>
        </w:rPr>
      </w:pPr>
      <w:r>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de projecto, se preserva o trabalho realizado quando surgem entradas ou falhas problemáticas e se a interface apresenta problemas detectáveis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selecionadas de acessibilidade digital</w:t>
      </w:r>
      <w:r>
        <w:rPr/>
        <w:t>, entendida como a identificação de barreiras detectáveis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w:t>
      </w:r>
      <w:r>
        <w:rPr/>
        <w:t xml:space="preserve">uma </w:t>
      </w:r>
      <w:r>
        <w:rPr/>
        <w:t xml:space="preserve">declaração de conformidade com as </w:t>
      </w:r>
      <w:r>
        <w:rPr>
          <w:i/>
          <w:iCs/>
        </w:rPr>
        <w:t>Web Content Accessibility Guidelines</w:t>
      </w:r>
      <w:r>
        <w:rPr/>
        <w:t xml:space="preserve"> (WCAG) 2.2.</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directa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commentRangeStart w:id="14"/>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commentRangeEnd w:id="14"/>
      <w:r>
        <w:commentReference w:id="14"/>
      </w:r>
      <w:r>
        <w:rPr/>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de projeto.</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r>
        <w:rPr>
          <w:b w:val="false"/>
          <w:bCs w:val="false"/>
        </w:rPr>
        <w:t>.</w:t>
      </w:r>
    </w:p>
    <w:p>
      <w:pPr>
        <w:pStyle w:val="TextoNormal-IPCA"/>
        <w:rPr>
          <w:b w:val="false"/>
          <w:bCs w:val="false"/>
        </w:rPr>
      </w:pPr>
      <w:r>
        <w:rPr>
          <w:b w:val="false"/>
          <w:bCs w:val="false"/>
        </w:rPr>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t>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explicitada na especificação dos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nos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estrutura paramétrica da braçadeira do Flexy Beast foi alterada.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documenta os projectos tal como foram preparados; não os compara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 representa uma impressão física nem confirma que o modelo possa ser impresso com sucesso</w:t>
      </w:r>
      <w:r>
        <w:rPr/>
        <w:t>.</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8"/>
        <w:gridCol w:w="1802"/>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0,24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9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180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trHeight w:val="1227" w:hRule="atLeast"/>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resultante do projecto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08:37:0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Trocar “feedback”</w:t>
      </w:r>
    </w:p>
  </w:comment>
  <w:comment w:id="1" w:author="Unknown Author" w:date="2026-07-16T18:39:3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39:5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3" w:author="Unknown Author" w:date="2026-07-16T18:40:43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4" w:author="Unknown Author" w:date="2026-07-16T18:45:09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5" w:author="Unknown Author" w:date="2026-07-16T18:46:11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6" w:author="Unknown Author" w:date="2026-07-16T18:50:2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 o que significa em nota de rodapé</w:t>
      </w:r>
    </w:p>
  </w:comment>
  <w:comment w:id="7" w:author="Unknown Author" w:date="2026-07-16T18:54:04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Meter biblio</w:t>
      </w:r>
    </w:p>
  </w:comment>
  <w:comment w:id="8" w:author="Unknown Author" w:date="2026-07-16T18:57:0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melhor a “encomenda online”</w:t>
      </w:r>
    </w:p>
  </w:comment>
  <w:comment w:id="9" w:author="Unknown Author" w:date="2026-07-16T19:00:0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Explicar o que são fronteiras de pareto.</w:t>
      </w:r>
    </w:p>
  </w:comment>
  <w:comment w:id="10" w:author="Unknown Author" w:date="2026-07-16T19:10: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true"/>
        <w:spacing w:lineRule="auto" w:line="240"/>
        <w:jc w:val="start"/>
        <w:rPr/>
      </w:pPr>
      <w:r>
        <w:rPr>
          <w:rFonts w:asciiTheme="minorHAnsi" w:cstheme="minorBidi" w:eastAsiaTheme="minorHAnsi" w:hAnsiTheme="minorHAnsi" w:cs="" w:ascii="Calibri" w:hAnsi="Calibri"/>
          <w:sz w:val="24"/>
        </w:rPr>
      </w:r>
    </w:p>
  </w:comment>
  <w:comment w:id="11" w:author="Unknown Author" w:date="2026-07-17T10:36:15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 w:id="12" w:author="Unknown Author" w:date="2026-07-17T10:36:58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Tirar?</w:t>
      </w:r>
    </w:p>
  </w:comment>
  <w:comment w:id="13" w:author="Unknown Author" w:date="2026-07-17T10:47:52Z" w:initials="">
    <w:p>
      <w:pPr>
        <w:overflowPunct w:val="true"/>
        <w:spacing w:lineRule="auto" w:line="240"/>
        <w:jc w:val="start"/>
        <w:rPr/>
      </w:pPr>
      <w:r>
        <w:annotationRef/>
      </w:r>
      <w:r>
        <w:rPr>
          <w:rFonts w:asciiTheme="minorHAnsi" w:cstheme="minorBidi" w:eastAsiaTheme="minorHAnsi" w:hAnsiTheme="minorHAnsi" w:eastAsia="Calibri" w:cs="" w:ascii="Calibri" w:hAnsi="Calibri"/>
          <w:sz w:val="24"/>
        </w:rPr>
        <w:t>Se calhar tiramos o anexo?</w:t>
      </w:r>
    </w:p>
  </w:comment>
  <w:comment w:id="14" w:author="Unknown Author" w:date="2026-07-19T13:34:56Z" w:initials="">
    <w:p>
      <w:pPr>
        <w:overflowPunct w:val="false"/>
        <w:spacing w:lineRule="auto" w:line="240"/>
        <w:jc w:val="start"/>
        <w:rPr/>
      </w:pPr>
      <w:r>
        <w:annotationRef/>
      </w:r>
      <w:r>
        <w:rPr>
          <w:rFonts w:asciiTheme="minorHAnsi" w:cstheme="minorBidi" w:eastAsiaTheme="minorHAnsi" w:hAnsiTheme="minorHAnsi" w:cs="" w:ascii="Calibri" w:hAnsi="Calibri"/>
          <w:sz w:val="24"/>
        </w:rPr>
        <w:t>Isto está feito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157</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157</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Propriocepção designa a perceção corporal da posição, movimento e esforço dos segmentos do corpo. Em próteses acionadas pelo corpo, o </w:t>
      </w:r>
      <w:r>
        <w:rPr>
          <w:i/>
          <w:iCs/>
        </w:rPr>
        <w:t>feedback</w:t>
      </w:r>
      <w:r>
        <w:rPr/>
        <w:t xml:space="preserve">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4">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5">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6">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7">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8">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9">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0">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1">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2">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3">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Application>LibreOffice/26.2.4.2$Linux_X86_64 LibreOffice_project/3346a99e6b841765b75a9b29714a5b95c6761ce3</Application>
  <AppVersion>15.0000</AppVersion>
  <Pages>193</Pages>
  <Words>63647</Words>
  <Characters>382908</Characters>
  <CharactersWithSpaces>443533</CharactersWithSpaces>
  <Paragraphs>3349</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2026-07-19T13:53:37Z</dcterms:modified>
  <cp:revision>40</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