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before="0" w:after="0"/>
        <w:ind w:hanging="0" w:start="1843"/>
        <w:rPr>
          <w:rStyle w:val="TtulodeCapaefolhaderosto-IPCACarter"/>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37</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41</w:t>
      </w:r>
    </w:p>
    <w:p>
      <w:pPr>
        <w:pStyle w:val="TOC1"/>
        <w:rPr/>
      </w:pPr>
      <w:r>
        <w:rPr/>
        <w:t>Tabela 4.1 — Principais parâmetros antropométricos da mão e do membro superior relevantes para modelação paramétrica</w:t>
        <w:tab/>
        <w:t>47</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49</w:t>
      </w:r>
    </w:p>
    <w:p>
      <w:pPr>
        <w:pStyle w:val="TOC1"/>
        <w:rPr/>
      </w:pPr>
      <w:r>
        <w:rPr/>
        <w:t>Tabela 4.4 — Funções e limites da base antropométrica na configuração</w:t>
        <w:tab/>
        <w:t>50</w:t>
      </w:r>
    </w:p>
    <w:p>
      <w:pPr>
        <w:pStyle w:val="TOC1"/>
        <w:rPr/>
      </w:pPr>
      <w:r>
        <w:rPr/>
        <w:t>Tabela 4.5 — Estrutura hierárquica dos parâmetros no modelo paramétrico</w:t>
        <w:tab/>
        <w:t>51</w:t>
      </w:r>
    </w:p>
    <w:p>
      <w:pPr>
        <w:pStyle w:val="TOC1"/>
        <w:rPr/>
      </w:pPr>
      <w:r>
        <w:rPr/>
        <w:t>Tabela 4.6 — Mapeamento entre parâmetros antropométricos e elementos do modelo</w:t>
        <w:tab/>
        <w:t>53</w:t>
      </w:r>
    </w:p>
    <w:p>
      <w:pPr>
        <w:pStyle w:val="TOC1"/>
        <w:rPr/>
      </w:pPr>
      <w:r>
        <w:rPr/>
        <w:t>Tabela 4.7 — Estrutura técnica em camadas de um modelo paramétrico em OpenSCAD para próteses personalizadas</w:t>
        <w:tab/>
        <w:t>55</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58</w:t>
      </w:r>
    </w:p>
    <w:p>
      <w:pPr>
        <w:pStyle w:val="TOC1"/>
        <w:rPr/>
      </w:pPr>
      <w:r>
        <w:rPr/>
        <w:t>Tabela 4.10 — Exemplo da transformação das medidas antropométricas em geometria digital no Flexy Beast</w:t>
        <w:tab/>
        <w:t>60</w:t>
      </w:r>
    </w:p>
    <w:p>
      <w:pPr>
        <w:pStyle w:val="TOC1"/>
        <w:rPr/>
      </w:pPr>
      <w:r>
        <w:rPr/>
        <w:t>Tabela 4.11 — Cronologia das principais iterações paramétricas</w:t>
        <w:tab/>
        <w:t>61</w:t>
      </w:r>
    </w:p>
    <w:p>
      <w:pPr>
        <w:pStyle w:val="TOC1"/>
        <w:rPr/>
      </w:pPr>
      <w:r>
        <w:rPr/>
        <w:t>Tabela 5.1 — Fluxo de dados e responsabilidades da plataforma</w:t>
        <w:tab/>
        <w:t>66</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82</w:t>
      </w:r>
    </w:p>
    <w:p>
      <w:pPr>
        <w:pStyle w:val="TOC1"/>
        <w:rPr/>
      </w:pPr>
      <w:r>
        <w:rPr/>
        <w:t>Tabela 6.2 — Distribuição de tarefas entre regras, IA e supervisão humana</w:t>
        <w:tab/>
        <w:t>85</w:t>
      </w:r>
    </w:p>
    <w:p>
      <w:pPr>
        <w:pStyle w:val="TOC1"/>
        <w:rPr/>
      </w:pPr>
      <w:r>
        <w:rPr/>
        <w:t>Tabela 8.1 — Evidência do funcionamento da plataforma no processo de projeto</w:t>
        <w:tab/>
        <w:t>91</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95</w:t>
      </w:r>
    </w:p>
    <w:p>
      <w:pPr>
        <w:pStyle w:val="TOC1"/>
        <w:rPr/>
      </w:pPr>
      <w:r>
        <w:rPr/>
        <w:t>Tabela 8.4 — Descrições submetidas nos cenários de avaliação da IA</w:t>
        <w:tab/>
        <w:t>99</w:t>
      </w:r>
    </w:p>
    <w:p>
      <w:pPr>
        <w:pStyle w:val="TOC1"/>
        <w:rPr/>
      </w:pPr>
      <w:r>
        <w:rPr/>
        <w:t>Tabela 8.5 — Síntese da avaliação das sugestões de IA</w:t>
        <w:tab/>
        <w:t>100</w:t>
      </w:r>
    </w:p>
    <w:p>
      <w:pPr>
        <w:pStyle w:val="TOC1"/>
        <w:rPr/>
      </w:pPr>
      <w:r>
        <w:rPr/>
        <w:t>Tabela 8.6 — Modelos e mecanismos de escala avaliados</w:t>
        <w:tab/>
        <w:t>102</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106</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43</w:t>
      </w:r>
    </w:p>
    <w:p>
      <w:pPr>
        <w:pStyle w:val="TOC1"/>
        <w:rPr/>
      </w:pPr>
      <w:r>
        <w:rPr/>
        <w:t>Figura 4.1 — Parâmetros antropométricos utilizados na modelação paramétrica de dedos protésicos.</w:t>
        <w:tab/>
        <w:t>46</w:t>
      </w:r>
    </w:p>
    <w:p>
      <w:pPr>
        <w:pStyle w:val="TOC1"/>
        <w:rPr/>
      </w:pPr>
      <w:r>
        <w:rPr/>
        <w:t>Figura 4.2 — Comparação entre o escalonamento uniforme e a modelação paramétrica de dedo protésico.</w:t>
        <w:tab/>
        <w:t>49</w:t>
      </w:r>
    </w:p>
    <w:p>
      <w:pPr>
        <w:pStyle w:val="TOC1"/>
        <w:rPr/>
      </w:pPr>
      <w:r>
        <w:rPr/>
        <w:t>Figura 4.3 — Relação entre modelo paramétrico digital, prototipagem e verificação de um dedo protésico.</w:t>
        <w:tab/>
        <w:t>54</w:t>
      </w:r>
    </w:p>
    <w:p>
      <w:pPr>
        <w:pStyle w:val="TOC1"/>
        <w:rPr/>
      </w:pPr>
      <w:r>
        <w:rPr/>
        <w:t>Figura 5.1 — Fluxo geral de produção personalizada de próteses a partir de plataforma web – HandFab</w:t>
        <w:tab/>
        <w:t>64</w:t>
      </w:r>
    </w:p>
    <w:p>
      <w:pPr>
        <w:pStyle w:val="TOC1"/>
        <w:rPr/>
      </w:pPr>
      <w:r>
        <w:rPr/>
        <w:t>Figura 5.2 — Painel de configuração dos perfis de utilizador na plataforma HandFab.</w:t>
        <w:tab/>
        <w:t>65</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73</w:t>
      </w:r>
    </w:p>
    <w:p>
      <w:pPr>
        <w:pStyle w:val="TOC1"/>
        <w:rPr/>
      </w:pPr>
      <w:r>
        <w:rPr/>
        <w:t>Figura 5.7 — Ferramenta paramétrica para configuração de ajudas técnicas com variação de dimensões, materiais e peso.</w:t>
        <w:tab/>
        <w:t>74</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97</w:t>
      </w:r>
    </w:p>
    <w:p>
      <w:pPr>
        <w:pStyle w:val="TOC1"/>
        <w:rPr/>
      </w:pPr>
      <w:r>
        <w:rPr/>
        <w:t>Figura 8.2 — Séries físicas de segmentos identificados pelos perfis de ensaio de 8, 15, 28 e 70 anos.</w:t>
        <w:tab/>
        <w:t>97</w:t>
      </w:r>
    </w:p>
    <w:p>
      <w:pPr>
        <w:pStyle w:val="TOC1"/>
        <w:rPr/>
      </w:pPr>
      <w:r>
        <w:rPr/>
        <w:t>Figura 8.3 — UnLimbited Phoenix configurada para o perfil de ensaio de 15 anos, apresentada em sete vistas da montagem física.</w:t>
        <w:tab/>
        <w:t>97</w:t>
      </w:r>
    </w:p>
    <w:p>
      <w:pPr>
        <w:pStyle w:val="TOC1"/>
        <w:rPr/>
      </w:pPr>
      <w:r>
        <w:rPr/>
        <w:t>Figura 8.4 — Tarefas funcionais usadas em avaliação de prótese personalizada de membro superior.</w:t>
        <w:tab/>
        <w:t>98</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21</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24</w:t>
      </w:r>
    </w:p>
    <w:p>
      <w:pPr>
        <w:pStyle w:val="TOC2"/>
        <w:rPr/>
      </w:pPr>
      <w:r>
        <w:rPr/>
        <w:t>IA ao longo do processo de design</w:t>
        <w:tab/>
        <w:t>25</w:t>
      </w:r>
    </w:p>
    <w:p>
      <w:pPr>
        <w:pStyle w:val="TOC2"/>
        <w:rPr/>
      </w:pPr>
      <w:r>
        <w:rPr/>
        <w:t>Papel do designer, riscos e necessidade de supervisão humana</w:t>
        <w:tab/>
        <w:t>25</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28</w:t>
      </w:r>
    </w:p>
    <w:p>
      <w:pPr>
        <w:pStyle w:val="TOC2"/>
        <w:rPr/>
      </w:pPr>
      <w:r>
        <w:rPr/>
        <w:t>Fluxos participativos e infra-estruturas remotas</w:t>
        <w:tab/>
        <w:t>29</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34</w:t>
      </w:r>
    </w:p>
    <w:p>
      <w:pPr>
        <w:pStyle w:val="TOC1"/>
        <w:rPr/>
      </w:pPr>
      <w:r>
        <w:rPr/>
        <w:t>Capítulo 3 — Metodologia de Investigação</w:t>
        <w:tab/>
        <w:t>37</w:t>
      </w:r>
    </w:p>
    <w:p>
      <w:pPr>
        <w:pStyle w:val="TOC2"/>
        <w:rPr/>
      </w:pPr>
      <w:r>
        <w:rPr/>
        <w:t>3.1 Enquadramento metodológico e abordagem Research Through Design</w:t>
        <w:tab/>
        <w:t>37</w:t>
      </w:r>
    </w:p>
    <w:p>
      <w:pPr>
        <w:pStyle w:val="TOC2"/>
        <w:rPr/>
      </w:pPr>
      <w:r>
        <w:rPr/>
        <w:t>3.2 O design industrial como prática de investigação</w:t>
        <w:tab/>
        <w:t>38</w:t>
      </w:r>
    </w:p>
    <w:p>
      <w:pPr>
        <w:pStyle w:val="TOC2"/>
        <w:rPr/>
      </w:pPr>
      <w:r>
        <w:rPr/>
        <w:t>3.3 Estrutura metodológica do projeto</w:t>
        <w:tab/>
        <w:t>38</w:t>
      </w:r>
    </w:p>
    <w:p>
      <w:pPr>
        <w:pStyle w:val="TOC2"/>
        <w:rPr/>
      </w:pPr>
      <w:r>
        <w:rPr/>
        <w:t>3.4 Métodos de recolha e análise de dados</w:t>
        <w:tab/>
        <w:t>42</w:t>
      </w:r>
    </w:p>
    <w:p>
      <w:pPr>
        <w:pStyle w:val="TOC2"/>
        <w:rPr/>
      </w:pPr>
      <w:r>
        <w:rPr/>
        <w:t>3.5 Critérios de avaliação e limitações metodológicas</w:t>
        <w:tab/>
        <w:t>44</w:t>
      </w:r>
    </w:p>
    <w:p>
      <w:pPr>
        <w:pStyle w:val="TOC1"/>
        <w:rPr/>
      </w:pPr>
      <w:r>
        <w:rPr/>
        <w:t>Capítulo 4 — Desenvolvimento do Modelo Paramétrico</w:t>
        <w:tab/>
        <w:t>45</w:t>
      </w:r>
    </w:p>
    <w:p>
      <w:pPr>
        <w:pStyle w:val="TOC2"/>
        <w:rPr/>
      </w:pPr>
      <w:r>
        <w:rPr/>
        <w:t>4.1 Definição do problema de design e requisitos</w:t>
        <w:tab/>
        <w:t>45</w:t>
      </w:r>
    </w:p>
    <w:p>
      <w:pPr>
        <w:pStyle w:val="TOC2"/>
        <w:rPr/>
      </w:pPr>
      <w:r>
        <w:rPr/>
        <w:t>4.2 Parâmetros antropométricos e estrutura do modelo</w:t>
        <w:tab/>
        <w:t>46</w:t>
      </w:r>
    </w:p>
    <w:p>
      <w:pPr>
        <w:pStyle w:val="TOC2"/>
        <w:rPr/>
      </w:pPr>
      <w:r>
        <w:rPr/>
        <w:t>Conjuntos mínimos de parâmetros por nível de amputação</w:t>
        <w:tab/>
        <w:t>47</w:t>
      </w:r>
    </w:p>
    <w:p>
      <w:pPr>
        <w:pStyle w:val="TOC2"/>
        <w:rPr/>
      </w:pPr>
      <w:r>
        <w:rPr/>
        <w:t>Limitações do redimensionamento proporcional</w:t>
        <w:tab/>
        <w:t>48</w:t>
      </w:r>
    </w:p>
    <w:p>
      <w:pPr>
        <w:pStyle w:val="TOC2"/>
        <w:rPr/>
      </w:pPr>
      <w:r>
        <w:rPr/>
        <w:t>Métodos de recolha de dados antropométricos</w:t>
        <w:tab/>
        <w:t>49</w:t>
      </w:r>
    </w:p>
    <w:p>
      <w:pPr>
        <w:pStyle w:val="TOC2"/>
        <w:rPr/>
      </w:pPr>
      <w:r>
        <w:rPr/>
        <w:t>Bases de dados antropométricas, extração e normalização</w:t>
        <w:tab/>
        <w:t>48</w:t>
      </w:r>
    </w:p>
    <w:p>
      <w:pPr>
        <w:pStyle w:val="TOC2"/>
        <w:rPr/>
      </w:pPr>
      <w:r>
        <w:rPr/>
        <w:t>Correspondência entre perfil populacional e parâmetros do modelo</w:t>
        <w:tab/>
        <w:t>50</w:t>
      </w:r>
    </w:p>
    <w:p>
      <w:pPr>
        <w:pStyle w:val="TOC2"/>
        <w:rPr/>
      </w:pPr>
      <w:r>
        <w:rPr/>
        <w:t>Estrutura paramétrica e mapeamento de parâmetros</w:t>
        <w:tab/>
        <w:t>51</w:t>
      </w:r>
    </w:p>
    <w:p>
      <w:pPr>
        <w:pStyle w:val="TOC2"/>
        <w:rPr/>
      </w:pPr>
      <w:r>
        <w:rPr/>
        <w:t>OpenSCAD: enquadramento e justificação da escolha</w:t>
        <w:tab/>
        <w:t>51</w:t>
      </w:r>
    </w:p>
    <w:p>
      <w:pPr>
        <w:pStyle w:val="TOC2"/>
        <w:rPr/>
      </w:pPr>
      <w:r>
        <w:rPr/>
        <w:t>4.3 Modelação paramétrica em OpenSCAD</w:t>
        <w:tab/>
        <w:t>53</w:t>
      </w:r>
    </w:p>
    <w:p>
      <w:pPr>
        <w:pStyle w:val="TOC3"/>
        <w:tabs>
          <w:tab w:val="clear" w:pos="708"/>
          <w:tab w:val="right" w:pos="8204" w:leader="dot"/>
        </w:tabs>
        <w:rPr/>
      </w:pPr>
      <w:r>
        <w:rPr/>
        <w:t>4.3.1 Estrutura técnica, parâmetros e restrições</w:t>
        <w:tab/>
        <w:t>54</w:t>
      </w:r>
    </w:p>
    <w:p>
      <w:pPr>
        <w:pStyle w:val="TOC3"/>
        <w:tabs>
          <w:tab w:val="clear" w:pos="708"/>
          <w:tab w:val="right" w:pos="8204" w:leader="dot"/>
        </w:tabs>
        <w:rPr/>
      </w:pPr>
      <w:r>
        <w:rPr/>
        <w:t>4.3.2 Análise crítica da abordagem</w:t>
        <w:tab/>
        <w:t>56</w:t>
      </w:r>
    </w:p>
    <w:p>
      <w:pPr>
        <w:pStyle w:val="TOC3"/>
        <w:tabs>
          <w:tab w:val="clear" w:pos="708"/>
          <w:tab w:val="right" w:pos="8204" w:leader="dot"/>
        </w:tabs>
        <w:rPr/>
      </w:pPr>
      <w:r>
        <w:rPr/>
        <w:t>4.3.3 Relações implementadas nos modelos avaliados</w:t>
        <w:tab/>
        <w:t>57</w:t>
      </w:r>
    </w:p>
    <w:p>
      <w:pPr>
        <w:pStyle w:val="TOC3"/>
        <w:tabs>
          <w:tab w:val="clear" w:pos="708"/>
          <w:tab w:val="right" w:pos="8204" w:leader="dot"/>
        </w:tabs>
        <w:rPr/>
      </w:pPr>
      <w:r>
        <w:rPr/>
        <w:t>4.3.4 Dicionário operacional de parâmetros</w:t>
        <w:tab/>
        <w:t>58</w:t>
      </w:r>
    </w:p>
    <w:p>
      <w:pPr>
        <w:pStyle w:val="TOC3"/>
        <w:tabs>
          <w:tab w:val="clear" w:pos="708"/>
          <w:tab w:val="right" w:pos="8204" w:leader="dot"/>
        </w:tabs>
        <w:rPr/>
      </w:pPr>
      <w:r>
        <w:rPr/>
        <w:t>4.3.5 Exemplo numérico completo: perfil infantil no Flexy Beast</w:t>
        <w:tab/>
        <w:t>59</w:t>
      </w:r>
    </w:p>
    <w:p>
      <w:pPr>
        <w:pStyle w:val="TOC2"/>
        <w:rPr/>
      </w:pPr>
      <w:r>
        <w:rPr/>
        <w:t>4.4 Iterações e decisões de projeto</w:t>
        <w:tab/>
        <w:t>59</w:t>
      </w:r>
    </w:p>
    <w:p>
      <w:pPr>
        <w:pStyle w:val="TOC1"/>
        <w:rPr/>
      </w:pPr>
      <w:r>
        <w:rPr/>
        <w:t>Capítulo 5 — Plataforma Web e Integração Digital</w:t>
        <w:tab/>
        <w:t>63</w:t>
      </w:r>
    </w:p>
    <w:p>
      <w:pPr>
        <w:pStyle w:val="TOC2"/>
        <w:rPr/>
      </w:pPr>
      <w:r>
        <w:rPr/>
        <w:t>5.1 Enquadramento conceptual e perfis de utilizador</w:t>
        <w:tab/>
        <w:t>63</w:t>
      </w:r>
    </w:p>
    <w:p>
      <w:pPr>
        <w:pStyle w:val="TOC2"/>
        <w:rPr/>
      </w:pPr>
      <w:r>
        <w:rPr/>
        <w:t>5.2 Arquitetura geral do sistema</w:t>
        <w:tab/>
        <w:t>63</w:t>
      </w:r>
    </w:p>
    <w:p>
      <w:pPr>
        <w:pStyle w:val="TOC2"/>
        <w:rPr/>
      </w:pPr>
      <w:r>
        <w:rPr/>
        <w:t>5.3 Integração OpenSCAD via WebAssembly (WASM)</w:t>
        <w:tab/>
        <w:t>71</w:t>
      </w:r>
    </w:p>
    <w:p>
      <w:pPr>
        <w:pStyle w:val="TOC2"/>
        <w:rPr/>
      </w:pPr>
      <w:r>
        <w:rPr/>
        <w:t>5.4 Estrutura funcional da plataforma</w:t>
        <w:tab/>
        <w:t>73</w:t>
      </w:r>
    </w:p>
    <w:p>
      <w:pPr>
        <w:pStyle w:val="TOC2"/>
        <w:rPr/>
      </w:pPr>
      <w:r>
        <w:rPr/>
        <w:t>5.5 Gestão de parâmetros, versões e expansão</w:t>
        <w:tab/>
        <w:t>79</w:t>
      </w:r>
    </w:p>
    <w:p>
      <w:pPr>
        <w:pStyle w:val="TOC1"/>
        <w:rPr/>
      </w:pPr>
      <w:r>
        <w:rPr/>
        <w:t>Capítulo 6 — Integração da Inteligência Artificial</w:t>
        <w:tab/>
        <w:t>81</w:t>
      </w:r>
    </w:p>
    <w:p>
      <w:pPr>
        <w:pStyle w:val="TOC2"/>
        <w:rPr/>
      </w:pPr>
      <w:r>
        <w:rPr/>
        <w:t>6.1 Papel da IA no sistema proposto</w:t>
        <w:tab/>
        <w:t>81</w:t>
      </w:r>
    </w:p>
    <w:p>
      <w:pPr>
        <w:pStyle w:val="TOC2"/>
        <w:rPr/>
      </w:pPr>
      <w:r>
        <w:rPr/>
        <w:t>6.2 IA na parametrização, personalização e apoio à decisão</w:t>
        <w:tab/>
        <w:t>81</w:t>
      </w:r>
    </w:p>
    <w:p>
      <w:pPr>
        <w:pStyle w:val="TOC2"/>
        <w:rPr/>
      </w:pPr>
      <w:r>
        <w:rPr/>
        <w:t>6.3 Avaliação das sugestões paramétricas apoiadas por IA</w:t>
        <w:tab/>
        <w:t>84</w:t>
      </w:r>
    </w:p>
    <w:p>
      <w:pPr>
        <w:pStyle w:val="TOC2"/>
        <w:rPr/>
      </w:pPr>
      <w:r>
        <w:rPr/>
        <w:t>6.4 Ajuste, verificação e limitações éticas e técnicas</w:t>
        <w:tab/>
        <w:t>85</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87</w:t>
      </w:r>
    </w:p>
    <w:p>
      <w:pPr>
        <w:pStyle w:val="TOC2"/>
        <w:rPr/>
      </w:pPr>
      <w:r>
        <w:rPr/>
        <w:t>7.3 Mediação do processo de design e reflexão crítica</w:t>
        <w:tab/>
        <w:t>89</w:t>
      </w:r>
    </w:p>
    <w:p>
      <w:pPr>
        <w:pStyle w:val="TOC1"/>
        <w:rPr/>
      </w:pPr>
      <w:r>
        <w:rPr/>
        <w:t>Capítulo 8 — Avaliação e Discussão</w:t>
        <w:tab/>
        <w:t>91</w:t>
      </w:r>
    </w:p>
    <w:p>
      <w:pPr>
        <w:pStyle w:val="TOC2"/>
        <w:rPr/>
      </w:pPr>
      <w:r>
        <w:rPr/>
        <w:t>8.1 Estratégia e critérios de avaliação</w:t>
        <w:tab/>
        <w:t>91</w:t>
      </w:r>
    </w:p>
    <w:p>
      <w:pPr>
        <w:pStyle w:val="TOC3"/>
        <w:tabs>
          <w:tab w:val="clear" w:pos="708"/>
          <w:tab w:val="right" w:pos="8204" w:leader="dot"/>
        </w:tabs>
        <w:rPr/>
      </w:pPr>
      <w:r>
        <w:rPr/>
        <w:t>8.1.1 Verificação técnica da plataforma</w:t>
        <w:tab/>
        <w:t>91</w:t>
      </w:r>
    </w:p>
    <w:p>
      <w:pPr>
        <w:pStyle w:val="TOC3"/>
        <w:tabs>
          <w:tab w:val="clear" w:pos="708"/>
          <w:tab w:val="right" w:pos="8204" w:leader="dot"/>
        </w:tabs>
        <w:rPr/>
      </w:pPr>
      <w:r>
        <w:rPr/>
        <w:t>8.1.2 Avaliação complementar da consistência da geração, recuperação e acessibilidade</w:t>
        <w:tab/>
        <w:t>92</w:t>
      </w:r>
    </w:p>
    <w:p>
      <w:pPr>
        <w:pStyle w:val="TOC3"/>
        <w:tabs>
          <w:tab w:val="clear" w:pos="708"/>
          <w:tab w:val="right" w:pos="8204" w:leader="dot"/>
        </w:tabs>
        <w:rPr/>
      </w:pPr>
      <w:r>
        <w:rPr/>
        <w:t>8.1.3 Preparação para impressão e protótipos físicos</w:t>
        <w:tab/>
        <w:t>93</w:t>
      </w:r>
    </w:p>
    <w:p>
      <w:pPr>
        <w:pStyle w:val="TOC2"/>
        <w:rPr/>
      </w:pPr>
      <w:r>
        <w:rPr/>
        <w:t>8.2 Avaliação da coerência das sugestões de IA</w:t>
        <w:tab/>
        <w:t>98</w:t>
      </w:r>
    </w:p>
    <w:p>
      <w:pPr>
        <w:pStyle w:val="TOC2"/>
        <w:rPr/>
      </w:pPr>
      <w:r>
        <w:rPr/>
        <w:t>8.3 Verificação geométrica entre modelos</w:t>
        <w:tab/>
        <w:t>101</w:t>
      </w:r>
    </w:p>
    <w:p>
      <w:pPr>
        <w:pStyle w:val="TOC2"/>
        <w:rPr/>
      </w:pPr>
      <w:r>
        <w:rPr/>
        <w:t>8.4 Discussão dos resultados face aos objetivos</w:t>
        <w:tab/>
        <w:t>103</w:t>
      </w:r>
    </w:p>
    <w:p>
      <w:pPr>
        <w:pStyle w:val="TOC1"/>
        <w:rPr/>
      </w:pPr>
      <w:r>
        <w:rPr/>
        <w:t>Capítulo 9 — Conclusões e Trabalhos Futuros</w:t>
        <w:tab/>
        <w:t>105</w:t>
      </w:r>
    </w:p>
    <w:p>
      <w:pPr>
        <w:pStyle w:val="TOC2"/>
        <w:rPr/>
      </w:pPr>
      <w:r>
        <w:rPr/>
        <w:t>9.1 Resposta ao problema e às perguntas de investigação</w:t>
        <w:tab/>
        <w:t>105</w:t>
      </w:r>
    </w:p>
    <w:p>
      <w:pPr>
        <w:pStyle w:val="TOC2"/>
        <w:rPr/>
      </w:pPr>
      <w:r>
        <w:rPr/>
        <w:t>9.2 Contributos da investigação</w:t>
        <w:tab/>
        <w:t>107</w:t>
      </w:r>
    </w:p>
    <w:p>
      <w:pPr>
        <w:pStyle w:val="TOC2"/>
        <w:rPr/>
      </w:pPr>
      <w:r>
        <w:rPr/>
        <w:t>9.3 Limitações</w:t>
        <w:tab/>
        <w:t>107</w:t>
      </w:r>
    </w:p>
    <w:p>
      <w:pPr>
        <w:pStyle w:val="TOC2"/>
        <w:rPr/>
      </w:pPr>
      <w:r>
        <w:rPr/>
        <w:t>9.4 Trabalho futuro</w:t>
        <w:tab/>
        <w:t>108</w:t>
      </w:r>
    </w:p>
    <w:p>
      <w:pPr>
        <w:pStyle w:val="TOC1"/>
        <w:rPr/>
      </w:pPr>
      <w:r>
        <w:rPr/>
        <w:t>Referências Bibliográficas</w:t>
        <w:tab/>
        <w:t>109</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162</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rFonts w:eastAsia="Calibri"/>
                <w:kern w:val="0"/>
                <w:szCs w:val="24"/>
                <w:lang w:val="pt-PT" w:eastAsia="en-US" w:bidi="ar-SA"/>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t>O material suplementar entregue com a dissertação encontra-se organizado na pasta suplementos/ em quatro conjuntos: Suplemento 1 — Dados antropométricos; Suplemento 2 — Avaliação técnica da plataforma; Suplemento 3 — Parametrização e percurso numérico; e Suplemento 4 — Preparação para impressão e protótipos. O ficheiro manifesto_ficheiros.csv relaciona cada elemento com a sua origem e função, enquanto SHA256SUMS permite verificar a integridade do pacote.</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1"/>
      <w:r>
        <w:rPr/>
        <w:t>geração contínua</w:t>
      </w:r>
      <w:r>
        <w:rPr/>
      </w:r>
      <w:commentRangeEnd w:id="11"/>
      <w:r>
        <w:commentReference w:id="11"/>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2"/>
      <w:r>
        <w:rPr/>
        <w:t>, sem demonstrar, por si só, acessibilidade ou facilidade de utilização</w:t>
      </w:r>
      <w:r>
        <w:rPr/>
      </w:r>
      <w:commentRangeEnd w:id="12"/>
      <w:r>
        <w:commentReference w:id="12"/>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de utilizador, a diferenciação de permissões e a atribuição de utilizadores a técnicos. Esta funcionalidade permite representar diferentes níveis de intervenção no protótipo. </w:t>
      </w:r>
      <w:commentRangeStart w:id="13"/>
      <w:r>
        <w:rPr/>
        <w:t>Os resultados funcionais disponíveis são discutidos na Secção 8.1 e no Anexo B.</w:t>
      </w:r>
      <w:commentRangeEnd w:id="13"/>
      <w:r>
        <w:commentReference w:id="13"/>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dissertação.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dissertação.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122</w:t>
      </w:r>
    </w:p>
    <w:p>
      <w:pPr>
        <w:pStyle w:val="ndicedoAnexo2"/>
        <w:rPr/>
      </w:pPr>
      <w:r>
        <w:rPr/>
        <w:t>A.2 Estratégia de Pesquisa Bibliográfica</w:t>
        <w:tab/>
        <w:t>122</w:t>
      </w:r>
    </w:p>
    <w:p>
      <w:pPr>
        <w:pStyle w:val="ndicedoAnexo3"/>
        <w:tabs>
          <w:tab w:val="clear" w:pos="708"/>
          <w:tab w:val="right" w:pos="8204" w:leader="dot"/>
        </w:tabs>
        <w:rPr/>
      </w:pPr>
      <w:r>
        <w:rPr/>
        <w:t>A.2.1 Pesquisa bibliográfica orientada</w:t>
        <w:tab/>
        <w:t>122</w:t>
      </w:r>
    </w:p>
    <w:p>
      <w:pPr>
        <w:pStyle w:val="ndicedoAnexo3"/>
        <w:tabs>
          <w:tab w:val="clear" w:pos="708"/>
          <w:tab w:val="right" w:pos="8204" w:leader="dot"/>
        </w:tabs>
        <w:rPr/>
      </w:pPr>
      <w:r>
        <w:rPr/>
        <w:t>A.2.2 Base ANSUR 1988</w:t>
        <w:tab/>
        <w:t>122</w:t>
      </w:r>
    </w:p>
    <w:p>
      <w:pPr>
        <w:pStyle w:val="ndicedoAnexo2"/>
        <w:rPr/>
      </w:pPr>
      <w:r>
        <w:rPr/>
        <w:t>A.3 Critérios de Inclusão e Exclusão de Estudos</w:t>
        <w:tab/>
        <w:t>123</w:t>
      </w:r>
    </w:p>
    <w:p>
      <w:pPr>
        <w:pStyle w:val="ndicedoAnexo3"/>
        <w:tabs>
          <w:tab w:val="clear" w:pos="708"/>
          <w:tab w:val="right" w:pos="8204" w:leader="dot"/>
        </w:tabs>
        <w:rPr/>
      </w:pPr>
      <w:r>
        <w:rPr/>
        <w:t>A.3.1 Critérios de inclusão</w:t>
        <w:tab/>
        <w:t>123</w:t>
      </w:r>
    </w:p>
    <w:p>
      <w:pPr>
        <w:pStyle w:val="ndicedoAnexo3"/>
        <w:tabs>
          <w:tab w:val="clear" w:pos="708"/>
          <w:tab w:val="right" w:pos="8204" w:leader="dot"/>
        </w:tabs>
        <w:rPr/>
      </w:pPr>
      <w:r>
        <w:rPr/>
        <w:t>A.3.2 Critérios de exclusão</w:t>
        <w:tab/>
        <w:t>123</w:t>
      </w:r>
    </w:p>
    <w:p>
      <w:pPr>
        <w:pStyle w:val="ndicedoAnexo2"/>
        <w:rPr/>
      </w:pPr>
      <w:r>
        <w:rPr/>
        <w:t>A.4 Processo de Extracção de Dados</w:t>
        <w:tab/>
        <w:t>124</w:t>
      </w:r>
    </w:p>
    <w:p>
      <w:pPr>
        <w:pStyle w:val="ndicedoAnexo3"/>
        <w:tabs>
          <w:tab w:val="clear" w:pos="708"/>
          <w:tab w:val="right" w:pos="8204" w:leader="dot"/>
        </w:tabs>
        <w:rPr/>
      </w:pPr>
      <w:r>
        <w:rPr/>
        <w:t>A.4.1 Leitura dos PDFs e localização das tabelas</w:t>
        <w:tab/>
        <w:t>124</w:t>
      </w:r>
    </w:p>
    <w:p>
      <w:pPr>
        <w:pStyle w:val="ndicedoAnexo3"/>
        <w:tabs>
          <w:tab w:val="clear" w:pos="708"/>
          <w:tab w:val="right" w:pos="8204" w:leader="dot"/>
        </w:tabs>
        <w:rPr/>
      </w:pPr>
      <w:r>
        <w:rPr/>
        <w:t>A.4.2 Identificação das unidades e conversão</w:t>
        <w:tab/>
        <w:t>124</w:t>
      </w:r>
    </w:p>
    <w:p>
      <w:pPr>
        <w:pStyle w:val="ndicedoAnexo3"/>
        <w:tabs>
          <w:tab w:val="clear" w:pos="708"/>
          <w:tab w:val="right" w:pos="8204" w:leader="dot"/>
        </w:tabs>
        <w:rPr/>
      </w:pPr>
      <w:r>
        <w:rPr/>
        <w:t>A.4.3 Decomposição em linhas atómicas</w:t>
        <w:tab/>
        <w:t>124</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125</w:t>
      </w:r>
    </w:p>
    <w:p>
      <w:pPr>
        <w:pStyle w:val="ndicedoAnexo3"/>
        <w:tabs>
          <w:tab w:val="clear" w:pos="708"/>
          <w:tab w:val="right" w:pos="8204" w:leader="dot"/>
        </w:tabs>
        <w:rPr/>
      </w:pPr>
      <w:r>
        <w:rPr/>
        <w:t>A.5.1 ANSUR 1988 — EUA, militares (Gordon et al., 1989)</w:t>
        <w:tab/>
        <w:t>125</w:t>
      </w:r>
    </w:p>
    <w:p>
      <w:pPr>
        <w:pStyle w:val="ndicedoAnexo3"/>
        <w:tabs>
          <w:tab w:val="clear" w:pos="708"/>
          <w:tab w:val="right" w:pos="8204" w:leader="dot"/>
        </w:tabs>
        <w:rPr/>
      </w:pPr>
      <w:r>
        <w:rPr/>
        <w:t>A.5.2 Turquia — jovens adultos (Chatzioglou et al., 2024)</w:t>
        <w:tab/>
        <w:t>125</w:t>
      </w:r>
    </w:p>
    <w:p>
      <w:pPr>
        <w:pStyle w:val="ndicedoAnexo3"/>
        <w:tabs>
          <w:tab w:val="clear" w:pos="708"/>
          <w:tab w:val="right" w:pos="8204" w:leader="dot"/>
        </w:tabs>
        <w:rPr/>
      </w:pPr>
      <w:r>
        <w:rPr/>
        <w:t>A.5.3 México — população geral (Rodríguez-Vega &amp; Rodríguez-Vega, 2024)</w:t>
        <w:tab/>
        <w:t>125</w:t>
      </w:r>
    </w:p>
    <w:p>
      <w:pPr>
        <w:pStyle w:val="ndicedoAnexo3"/>
        <w:tabs>
          <w:tab w:val="clear" w:pos="708"/>
          <w:tab w:val="right" w:pos="8204" w:leader="dot"/>
        </w:tabs>
        <w:rPr/>
      </w:pPr>
      <w:r>
        <w:rPr/>
        <w:t>A.5.4 Índia — mulheres trabalhadoras (Nag et al., 2003)</w:t>
        <w:tab/>
        <w:t>126</w:t>
      </w:r>
    </w:p>
    <w:p>
      <w:pPr>
        <w:pStyle w:val="ndicedoAnexo3"/>
        <w:tabs>
          <w:tab w:val="clear" w:pos="708"/>
          <w:tab w:val="right" w:pos="8204" w:leader="dot"/>
        </w:tabs>
        <w:rPr/>
      </w:pPr>
      <w:r>
        <w:rPr/>
        <w:t>A.5.5 Portugal — trabalhadores industriais (Anacleto Filho et al., 2023)</w:t>
        <w:tab/>
        <w:t>126</w:t>
      </w:r>
    </w:p>
    <w:p>
      <w:pPr>
        <w:pStyle w:val="ndicedoAnexo3"/>
        <w:tabs>
          <w:tab w:val="clear" w:pos="708"/>
          <w:tab w:val="right" w:pos="8204" w:leader="dot"/>
        </w:tabs>
        <w:rPr/>
      </w:pPr>
      <w:r>
        <w:rPr/>
        <w:t>A.5.6 Nigéria — atletas universitários (Ibiwari et al., 2025)</w:t>
        <w:tab/>
        <w:t>126</w:t>
      </w:r>
    </w:p>
    <w:p>
      <w:pPr>
        <w:pStyle w:val="ndicedoAnexo3"/>
        <w:tabs>
          <w:tab w:val="clear" w:pos="708"/>
          <w:tab w:val="right" w:pos="8204" w:leader="dot"/>
        </w:tabs>
        <w:rPr/>
      </w:pPr>
      <w:r>
        <w:rPr/>
        <w:t>A.5.7 Jordânia — trabalhadores com deficiência (Mistarihi, 2020)</w:t>
        <w:tab/>
        <w:t>127</w:t>
      </w:r>
    </w:p>
    <w:p>
      <w:pPr>
        <w:pStyle w:val="ndicedoAnexo3"/>
        <w:tabs>
          <w:tab w:val="clear" w:pos="708"/>
          <w:tab w:val="right" w:pos="8204" w:leader="dot"/>
        </w:tabs>
        <w:rPr/>
      </w:pPr>
      <w:r>
        <w:rPr/>
        <w:t>A.5.8 EUA — dedo indicador (Lim et al., 2018)</w:t>
        <w:tab/>
        <w:t>127</w:t>
      </w:r>
    </w:p>
    <w:p>
      <w:pPr>
        <w:pStyle w:val="ndicedoAnexo3"/>
        <w:tabs>
          <w:tab w:val="clear" w:pos="708"/>
          <w:tab w:val="right" w:pos="8204" w:leader="dot"/>
        </w:tabs>
        <w:rPr/>
      </w:pPr>
      <w:r>
        <w:rPr/>
        <w:t>A.5.9 Estudo excluído: Moreo (2016)</w:t>
        <w:tab/>
        <w:t>127</w:t>
      </w:r>
    </w:p>
    <w:p>
      <w:pPr>
        <w:pStyle w:val="ndicedoAnexo3"/>
        <w:tabs>
          <w:tab w:val="clear" w:pos="708"/>
          <w:tab w:val="right" w:pos="8204" w:leader="dot"/>
        </w:tabs>
        <w:rPr/>
      </w:pPr>
      <w:r>
        <w:rPr/>
        <w:t>A.5.10 EUA — militares ANSUR II (Gordon et al., 2015)</w:t>
        <w:tab/>
        <w:t>127</w:t>
      </w:r>
    </w:p>
    <w:p>
      <w:pPr>
        <w:pStyle w:val="ndicedoAnexo3"/>
        <w:tabs>
          <w:tab w:val="clear" w:pos="708"/>
          <w:tab w:val="right" w:pos="8204" w:leader="dot"/>
        </w:tabs>
        <w:rPr/>
      </w:pPr>
      <w:r>
        <w:rPr/>
        <w:t>A.5.11 Países Baixos — DINED (TU Delft, 1993–2004)</w:t>
        <w:tab/>
        <w:t>128</w:t>
      </w:r>
    </w:p>
    <w:p>
      <w:pPr>
        <w:pStyle w:val="ndicedoAnexo3"/>
        <w:tabs>
          <w:tab w:val="clear" w:pos="708"/>
          <w:tab w:val="right" w:pos="8204" w:leader="dot"/>
        </w:tabs>
        <w:rPr/>
      </w:pPr>
      <w:r>
        <w:rPr/>
        <w:t>A.5.12 China — idosos de Pequim (Hu et al., 2007)</w:t>
        <w:tab/>
        <w:t>128</w:t>
      </w:r>
    </w:p>
    <w:p>
      <w:pPr>
        <w:pStyle w:val="ndicedoAnexo3"/>
        <w:tabs>
          <w:tab w:val="clear" w:pos="708"/>
          <w:tab w:val="right" w:pos="8204" w:leader="dot"/>
        </w:tabs>
        <w:rPr/>
      </w:pPr>
      <w:r>
        <w:rPr/>
        <w:t>A.5.13 Estudo excluído: reconstrução corporal 3D a partir de fotografias ortogonais</w:t>
        <w:tab/>
        <w:t>129</w:t>
      </w:r>
    </w:p>
    <w:p>
      <w:pPr>
        <w:pStyle w:val="ndicedoAnexo2"/>
        <w:rPr/>
      </w:pPr>
      <w:r>
        <w:rPr/>
        <w:t>A.6 Estrutura do CSV e esquema de dados</w:t>
        <w:tab/>
        <w:t>129</w:t>
      </w:r>
    </w:p>
    <w:p>
      <w:pPr>
        <w:pStyle w:val="ndicedoAnexo3"/>
        <w:tabs>
          <w:tab w:val="clear" w:pos="708"/>
          <w:tab w:val="right" w:pos="8204" w:leader="dot"/>
        </w:tabs>
        <w:rPr/>
      </w:pPr>
      <w:r>
        <w:rPr/>
        <w:t>A.6.1 Campos</w:t>
        <w:tab/>
        <w:t>129</w:t>
      </w:r>
    </w:p>
    <w:p>
      <w:pPr>
        <w:pStyle w:val="ndicedoAnexo3"/>
        <w:tabs>
          <w:tab w:val="clear" w:pos="708"/>
          <w:tab w:val="right" w:pos="8204" w:leader="dot"/>
        </w:tabs>
        <w:rPr/>
      </w:pPr>
      <w:r>
        <w:rPr/>
        <w:t>A.6.2 Formato longo (long format)</w:t>
        <w:tab/>
        <w:t>130</w:t>
      </w:r>
    </w:p>
    <w:p>
      <w:pPr>
        <w:pStyle w:val="ndicedoAnexo2"/>
        <w:rPr/>
      </w:pPr>
      <w:r>
        <w:rPr/>
        <w:t>A.7 Controlo de Qualidade dos Dados</w:t>
        <w:tab/>
        <w:t>130</w:t>
      </w:r>
    </w:p>
    <w:p>
      <w:pPr>
        <w:pStyle w:val="ndicedoAnexo3"/>
        <w:tabs>
          <w:tab w:val="clear" w:pos="708"/>
          <w:tab w:val="right" w:pos="8204" w:leader="dot"/>
        </w:tabs>
        <w:rPr/>
      </w:pPr>
      <w:r>
        <w:rPr/>
        <w:t>A.7.1 Marcação inline de limitações</w:t>
        <w:tab/>
        <w:t>130</w:t>
      </w:r>
    </w:p>
    <w:p>
      <w:pPr>
        <w:pStyle w:val="ndicedoAnexo3"/>
        <w:tabs>
          <w:tab w:val="clear" w:pos="708"/>
          <w:tab w:val="right" w:pos="8204" w:leader="dot"/>
        </w:tabs>
        <w:rPr/>
      </w:pPr>
      <w:r>
        <w:rPr/>
        <w:t>A.7.2 Verificação de unidades</w:t>
        <w:tab/>
        <w:t>130</w:t>
      </w:r>
    </w:p>
    <w:p>
      <w:pPr>
        <w:pStyle w:val="ndicedoAnexo3"/>
        <w:tabs>
          <w:tab w:val="clear" w:pos="708"/>
          <w:tab w:val="right" w:pos="8204" w:leader="dot"/>
        </w:tabs>
        <w:rPr/>
      </w:pPr>
      <w:r>
        <w:rPr/>
        <w:t>A.7.3 Ligação à fonte</w:t>
        <w:tab/>
        <w:t>131</w:t>
      </w:r>
    </w:p>
    <w:p>
      <w:pPr>
        <w:pStyle w:val="ndicedoAnexo2"/>
        <w:rPr/>
      </w:pPr>
      <w:r>
        <w:rPr/>
        <w:t>A.8 Escrita do Código de Geração</w:t>
        <w:tab/>
        <w:t>131</w:t>
      </w:r>
    </w:p>
    <w:p>
      <w:pPr>
        <w:pStyle w:val="ndicedoAnexo3"/>
        <w:tabs>
          <w:tab w:val="clear" w:pos="708"/>
          <w:tab w:val="right" w:pos="8204" w:leader="dot"/>
        </w:tabs>
        <w:rPr/>
      </w:pPr>
      <w:r>
        <w:rPr/>
        <w:t>A.8.1 Correspondência entre os CSV e os parâmetros da plataforma</w:t>
        <w:tab/>
        <w:t>131</w:t>
      </w:r>
    </w:p>
    <w:p>
      <w:pPr>
        <w:pStyle w:val="ndicedoAnexo2"/>
        <w:rPr/>
      </w:pPr>
      <w:r>
        <w:rPr/>
        <w:t>A.9 Resultado Final</w:t>
        <w:tab/>
        <w:t>132</w:t>
      </w:r>
    </w:p>
    <w:p>
      <w:pPr>
        <w:pStyle w:val="ndicedoAnexo2"/>
        <w:rPr/>
      </w:pPr>
      <w:r>
        <w:rPr/>
        <w:t>A.10 Cobertura Global da Base de Dados e Lacunas</w:t>
        <w:tab/>
        <w:t>132</w:t>
      </w:r>
    </w:p>
    <w:p>
      <w:pPr>
        <w:pStyle w:val="ndicedoAnexo3"/>
        <w:tabs>
          <w:tab w:val="clear" w:pos="708"/>
          <w:tab w:val="right" w:pos="8204" w:leader="dot"/>
        </w:tabs>
        <w:rPr/>
      </w:pPr>
      <w:r>
        <w:rPr/>
        <w:t>A.10.1 O que está coberto</w:t>
        <w:tab/>
        <w:t>132</w:t>
      </w:r>
    </w:p>
    <w:p>
      <w:pPr>
        <w:pStyle w:val="ndicedoAnexo4"/>
        <w:tabs>
          <w:tab w:val="clear" w:pos="708"/>
          <w:tab w:val="right" w:pos="8204" w:leader="dot"/>
        </w:tabs>
        <w:rPr/>
      </w:pPr>
      <w:r>
        <w:rPr/>
        <w:t>A.10.1.1 Cobertura geográfica</w:t>
        <w:tab/>
        <w:t>132</w:t>
      </w:r>
    </w:p>
    <w:p>
      <w:pPr>
        <w:pStyle w:val="ndicedoAnexo4"/>
        <w:tabs>
          <w:tab w:val="clear" w:pos="708"/>
          <w:tab w:val="right" w:pos="8204" w:leader="dot"/>
        </w:tabs>
        <w:rPr/>
      </w:pPr>
      <w:r>
        <w:rPr/>
        <w:t>A.10.1.2 Cobertura etária</w:t>
        <w:tab/>
        <w:t>133</w:t>
      </w:r>
    </w:p>
    <w:p>
      <w:pPr>
        <w:pStyle w:val="ndicedoAnexo4"/>
        <w:tabs>
          <w:tab w:val="clear" w:pos="708"/>
          <w:tab w:val="right" w:pos="8204" w:leader="dot"/>
        </w:tabs>
        <w:rPr/>
      </w:pPr>
      <w:r>
        <w:rPr/>
        <w:t>A.10.1.3 Cobertura estatística</w:t>
        <w:tab/>
        <w:t>133</w:t>
      </w:r>
    </w:p>
    <w:p>
      <w:pPr>
        <w:pStyle w:val="ndicedoAnexo3"/>
        <w:tabs>
          <w:tab w:val="clear" w:pos="708"/>
          <w:tab w:val="right" w:pos="8204" w:leader="dot"/>
        </w:tabs>
        <w:rPr/>
      </w:pPr>
      <w:r>
        <w:rPr/>
        <w:t>A.10.2 Onde a cobertura falha</w:t>
        <w:tab/>
        <w:t>134</w:t>
      </w:r>
    </w:p>
    <w:p>
      <w:pPr>
        <w:pStyle w:val="ndicedoAnexo4"/>
        <w:tabs>
          <w:tab w:val="clear" w:pos="708"/>
          <w:tab w:val="right" w:pos="8204" w:leader="dot"/>
        </w:tabs>
        <w:rPr/>
      </w:pPr>
      <w:r>
        <w:rPr/>
        <w:t>A.10.2.1 Lacunas geográficas</w:t>
        <w:tab/>
        <w:t>134</w:t>
      </w:r>
    </w:p>
    <w:p>
      <w:pPr>
        <w:pStyle w:val="ndicedoAnexo4"/>
        <w:tabs>
          <w:tab w:val="clear" w:pos="708"/>
          <w:tab w:val="right" w:pos="8204" w:leader="dot"/>
        </w:tabs>
        <w:rPr/>
      </w:pPr>
      <w:r>
        <w:rPr/>
        <w:t>A.10.2.2 Lacunas demográficas</w:t>
        <w:tab/>
        <w:t>134</w:t>
      </w:r>
    </w:p>
    <w:p>
      <w:pPr>
        <w:pStyle w:val="ndicedoAnexo4"/>
        <w:tabs>
          <w:tab w:val="clear" w:pos="708"/>
          <w:tab w:val="right" w:pos="8204" w:leader="dot"/>
        </w:tabs>
        <w:rPr/>
      </w:pPr>
      <w:r>
        <w:rPr/>
        <w:t>A.10.2.3 Limitações qualitativas dos dados existentes</w:t>
        <w:tab/>
        <w:t>135</w:t>
      </w:r>
    </w:p>
    <w:p>
      <w:pPr>
        <w:pStyle w:val="ndicedoAnexo3"/>
        <w:tabs>
          <w:tab w:val="clear" w:pos="708"/>
          <w:tab w:val="right" w:pos="8204" w:leader="dot"/>
        </w:tabs>
        <w:rPr/>
      </w:pPr>
      <w:r>
        <w:rPr/>
        <w:t>A.10.3 PRIORIDADES identificadas para expansão futura</w:t>
        <w:tab/>
        <w:t>135</w:t>
      </w:r>
    </w:p>
    <w:p>
      <w:pPr>
        <w:pStyle w:val="ndicedoAnexo4"/>
        <w:tabs>
          <w:tab w:val="clear" w:pos="708"/>
          <w:tab w:val="right" w:pos="8204" w:leader="dot"/>
        </w:tabs>
        <w:rPr/>
      </w:pPr>
      <w:r>
        <w:rPr/>
        <w:t>A.10.3.1 Prioridade alta</w:t>
        <w:tab/>
        <w:t>135</w:t>
      </w:r>
    </w:p>
    <w:p>
      <w:pPr>
        <w:pStyle w:val="ndicedoAnexo4"/>
        <w:tabs>
          <w:tab w:val="clear" w:pos="708"/>
          <w:tab w:val="right" w:pos="8204" w:leader="dot"/>
        </w:tabs>
        <w:rPr/>
      </w:pPr>
      <w:r>
        <w:rPr/>
        <w:t>A.10.3.2 Prioridade média</w:t>
        <w:tab/>
        <w:t>136</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dissertação.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143</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141</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146</w:t>
      </w:r>
    </w:p>
    <w:p>
      <w:pPr>
        <w:pStyle w:val="ndicedoAnexo2"/>
        <w:rPr/>
      </w:pPr>
      <w:r>
        <w:rPr/>
        <w:t>C.2 Princípio comum de adaptação</w:t>
        <w:tab/>
        <w:t>146</w:t>
      </w:r>
    </w:p>
    <w:p>
      <w:pPr>
        <w:pStyle w:val="ndicedoAnexo3"/>
        <w:tabs>
          <w:tab w:val="clear" w:pos="708"/>
          <w:tab w:val="right" w:pos="8204" w:leader="dot"/>
        </w:tabs>
        <w:rPr/>
      </w:pPr>
      <w:r>
        <w:rPr/>
        <w:t>C.2.1 Campos antropométricos comuns</w:t>
        <w:tab/>
        <w:t>147</w:t>
      </w:r>
    </w:p>
    <w:p>
      <w:pPr>
        <w:pStyle w:val="ndicedoAnexo3"/>
        <w:tabs>
          <w:tab w:val="clear" w:pos="708"/>
          <w:tab w:val="right" w:pos="8204" w:leader="dot"/>
        </w:tabs>
        <w:rPr/>
      </w:pPr>
      <w:r>
        <w:rPr/>
        <w:t>C.2.2 Tipos de parâmetros</w:t>
        <w:tab/>
        <w:t>147</w:t>
      </w:r>
    </w:p>
    <w:p>
      <w:pPr>
        <w:pStyle w:val="ndicedoAnexo3"/>
        <w:tabs>
          <w:tab w:val="clear" w:pos="708"/>
          <w:tab w:val="right" w:pos="8204" w:leader="dot"/>
        </w:tabs>
        <w:rPr/>
      </w:pPr>
      <w:r>
        <w:rPr/>
        <w:t>C.2.3 Coerência dos controlos no estado final examinado</w:t>
        <w:tab/>
        <w:t>148</w:t>
      </w:r>
    </w:p>
    <w:p>
      <w:pPr>
        <w:pStyle w:val="ndicedoAnexo2"/>
        <w:rPr/>
      </w:pPr>
      <w:r>
        <w:rPr/>
        <w:t>C.3 Flexy Beast</w:t>
        <w:tab/>
        <w:t>148</w:t>
      </w:r>
    </w:p>
    <w:p>
      <w:pPr>
        <w:pStyle w:val="ndicedoAnexo3"/>
        <w:tabs>
          <w:tab w:val="clear" w:pos="708"/>
          <w:tab w:val="right" w:pos="8204" w:leader="dot"/>
        </w:tabs>
        <w:rPr/>
      </w:pPr>
      <w:r>
        <w:rPr/>
        <w:t>C.3.1 Origem e estratégia de adaptação</w:t>
        <w:tab/>
        <w:t>148</w:t>
      </w:r>
    </w:p>
    <w:p>
      <w:pPr>
        <w:pStyle w:val="ndicedoAnexo3"/>
        <w:tabs>
          <w:tab w:val="clear" w:pos="708"/>
          <w:tab w:val="right" w:pos="8204" w:leader="dot"/>
        </w:tabs>
        <w:rPr/>
      </w:pPr>
      <w:r>
        <w:rPr/>
        <w:t>C.3.2 Entradas, limites e relações</w:t>
        <w:tab/>
        <w:t>148</w:t>
      </w:r>
    </w:p>
    <w:p>
      <w:pPr>
        <w:pStyle w:val="ndicedoAnexo3"/>
        <w:tabs>
          <w:tab w:val="clear" w:pos="708"/>
          <w:tab w:val="right" w:pos="8204" w:leader="dot"/>
        </w:tabs>
        <w:rPr/>
      </w:pPr>
      <w:r>
        <w:rPr/>
        <w:t>C.3.3 Braçadeira e interfaces confirmáveis</w:t>
        <w:tab/>
        <w:t>150</w:t>
      </w:r>
    </w:p>
    <w:p>
      <w:pPr>
        <w:pStyle w:val="ndicedoAnexo3"/>
        <w:tabs>
          <w:tab w:val="clear" w:pos="708"/>
          <w:tab w:val="right" w:pos="8204" w:leader="dot"/>
        </w:tabs>
        <w:rPr/>
      </w:pPr>
      <w:r>
        <w:rPr/>
        <w:t>C.3.4 PROpagação paramétrica documentada no perfil de ensaio</w:t>
        <w:tab/>
        <w:t>150</w:t>
      </w:r>
    </w:p>
    <w:p>
      <w:pPr>
        <w:pStyle w:val="ndicedoAnexo3"/>
        <w:tabs>
          <w:tab w:val="clear" w:pos="708"/>
          <w:tab w:val="right" w:pos="8204" w:leader="dot"/>
        </w:tabs>
        <w:rPr/>
      </w:pPr>
      <w:r>
        <w:rPr/>
        <w:t>C.3.5 Limitações específicas</w:t>
        <w:tab/>
        <w:t>151</w:t>
      </w:r>
    </w:p>
    <w:p>
      <w:pPr>
        <w:pStyle w:val="ndicedoAnexo2"/>
        <w:rPr/>
      </w:pPr>
      <w:r>
        <w:rPr/>
        <w:t>C.4 Cyborg Beast</w:t>
        <w:tab/>
        <w:t>151</w:t>
      </w:r>
    </w:p>
    <w:p>
      <w:pPr>
        <w:pStyle w:val="ndicedoAnexo3"/>
        <w:tabs>
          <w:tab w:val="clear" w:pos="708"/>
          <w:tab w:val="right" w:pos="8204" w:leader="dot"/>
        </w:tabs>
        <w:rPr/>
      </w:pPr>
      <w:r>
        <w:rPr/>
        <w:t>C.4.1 Origem e estratégia de adaptação</w:t>
        <w:tab/>
        <w:t>151</w:t>
      </w:r>
    </w:p>
    <w:p>
      <w:pPr>
        <w:pStyle w:val="ndicedoAnexo3"/>
        <w:tabs>
          <w:tab w:val="clear" w:pos="708"/>
          <w:tab w:val="right" w:pos="8204" w:leader="dot"/>
        </w:tabs>
        <w:rPr/>
      </w:pPr>
      <w:r>
        <w:rPr/>
        <w:t>C.4.2 Entradas e escala da mão</w:t>
        <w:tab/>
        <w:t>151</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152</w:t>
      </w:r>
    </w:p>
    <w:p>
      <w:pPr>
        <w:pStyle w:val="ndicedoAnexo3"/>
        <w:tabs>
          <w:tab w:val="clear" w:pos="708"/>
          <w:tab w:val="right" w:pos="8204" w:leader="dot"/>
        </w:tabs>
        <w:rPr/>
      </w:pPr>
      <w:r>
        <w:rPr/>
        <w:t>C.4.6 Limitações específicas</w:t>
        <w:tab/>
        <w:t>153</w:t>
      </w:r>
    </w:p>
    <w:p>
      <w:pPr>
        <w:pStyle w:val="ndicedoAnexo2"/>
        <w:rPr/>
      </w:pPr>
      <w:r>
        <w:rPr/>
        <w:t>C.5 Paraglider Hand</w:t>
        <w:tab/>
        <w:t>153</w:t>
      </w:r>
    </w:p>
    <w:p>
      <w:pPr>
        <w:pStyle w:val="ndicedoAnexo3"/>
        <w:tabs>
          <w:tab w:val="clear" w:pos="708"/>
          <w:tab w:val="right" w:pos="8204" w:leader="dot"/>
        </w:tabs>
        <w:rPr/>
      </w:pPr>
      <w:r>
        <w:rPr/>
        <w:t>C.5.1 Origem e estratégia de adaptação</w:t>
        <w:tab/>
        <w:t>153</w:t>
      </w:r>
    </w:p>
    <w:p>
      <w:pPr>
        <w:pStyle w:val="ndicedoAnexo3"/>
        <w:tabs>
          <w:tab w:val="clear" w:pos="708"/>
          <w:tab w:val="right" w:pos="8204" w:leader="dot"/>
        </w:tabs>
        <w:rPr/>
      </w:pPr>
      <w:r>
        <w:rPr/>
        <w:t>C.5.2 Relações implementadas</w:t>
        <w:tab/>
        <w:t>153</w:t>
      </w:r>
    </w:p>
    <w:p>
      <w:pPr>
        <w:pStyle w:val="ndicedoAnexo3"/>
        <w:tabs>
          <w:tab w:val="clear" w:pos="708"/>
          <w:tab w:val="right" w:pos="8204" w:leader="dot"/>
        </w:tabs>
        <w:rPr/>
      </w:pPr>
      <w:r>
        <w:rPr/>
        <w:t>C.5.3 Hardware e limites confirmáveis</w:t>
        <w:tab/>
        <w:t>155</w:t>
      </w:r>
    </w:p>
    <w:p>
      <w:pPr>
        <w:pStyle w:val="ndicedoAnexo3"/>
        <w:tabs>
          <w:tab w:val="clear" w:pos="708"/>
          <w:tab w:val="right" w:pos="8204" w:leader="dot"/>
        </w:tabs>
        <w:rPr/>
      </w:pPr>
      <w:r>
        <w:rPr/>
        <w:t>C.5.4 Exemplo de propagação</w:t>
        <w:tab/>
        <w:t>155</w:t>
      </w:r>
    </w:p>
    <w:p>
      <w:pPr>
        <w:pStyle w:val="ndicedoAnexo3"/>
        <w:tabs>
          <w:tab w:val="clear" w:pos="708"/>
          <w:tab w:val="right" w:pos="8204" w:leader="dot"/>
        </w:tabs>
        <w:rPr/>
      </w:pPr>
      <w:r>
        <w:rPr/>
        <w:t>C.5.5 Limitações específicas</w:t>
        <w:tab/>
        <w:t>156</w:t>
      </w:r>
    </w:p>
    <w:p>
      <w:pPr>
        <w:pStyle w:val="ndicedoAnexo2"/>
        <w:rPr/>
      </w:pPr>
      <w:r>
        <w:rPr/>
        <w:t>C.6 UnLimbited Phoenix Hand</w:t>
        <w:tab/>
        <w:t>156</w:t>
      </w:r>
    </w:p>
    <w:p>
      <w:pPr>
        <w:pStyle w:val="ndicedoAnexo3"/>
        <w:tabs>
          <w:tab w:val="clear" w:pos="708"/>
          <w:tab w:val="right" w:pos="8204" w:leader="dot"/>
        </w:tabs>
        <w:rPr/>
      </w:pPr>
      <w:r>
        <w:rPr/>
        <w:t>C.6.1 Origem e estratégia de adaptação</w:t>
        <w:tab/>
        <w:t>156</w:t>
      </w:r>
    </w:p>
    <w:p>
      <w:pPr>
        <w:pStyle w:val="ndicedoAnexo3"/>
        <w:tabs>
          <w:tab w:val="clear" w:pos="708"/>
          <w:tab w:val="right" w:pos="8204" w:leader="dot"/>
        </w:tabs>
        <w:rPr/>
      </w:pPr>
      <w:r>
        <w:rPr/>
        <w:t>C.6.2 Escala global e limite dimensional mínimo</w:t>
        <w:tab/>
        <w:t>156</w:t>
      </w:r>
    </w:p>
    <w:p>
      <w:pPr>
        <w:pStyle w:val="ndicedoAnexo3"/>
        <w:tabs>
          <w:tab w:val="clear" w:pos="708"/>
          <w:tab w:val="right" w:pos="8204" w:leader="dot"/>
        </w:tabs>
        <w:rPr/>
      </w:pPr>
      <w:r>
        <w:rPr/>
        <w:t>C.6.3 Comprimentos digitais e preservação dos furos</w:t>
        <w:tab/>
        <w:t>157</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158</w:t>
      </w:r>
    </w:p>
    <w:p>
      <w:pPr>
        <w:pStyle w:val="ndicedoAnexo3"/>
        <w:tabs>
          <w:tab w:val="clear" w:pos="708"/>
          <w:tab w:val="right" w:pos="8204" w:leader="dot"/>
        </w:tabs>
        <w:rPr/>
      </w:pPr>
      <w:r>
        <w:rPr/>
        <w:t>C.6.6 Componentes fixos e tolerâncias confirmáveis</w:t>
        <w:tab/>
        <w:t>158</w:t>
      </w:r>
    </w:p>
    <w:p>
      <w:pPr>
        <w:pStyle w:val="ndicedoAnexo3"/>
        <w:tabs>
          <w:tab w:val="clear" w:pos="708"/>
          <w:tab w:val="right" w:pos="8204" w:leader="dot"/>
        </w:tabs>
        <w:rPr/>
      </w:pPr>
      <w:r>
        <w:rPr/>
        <w:t>C.6.7 Limitações específicas</w:t>
        <w:tab/>
        <w:t>159</w:t>
      </w:r>
    </w:p>
    <w:p>
      <w:pPr>
        <w:pStyle w:val="ndicedoAnexo2"/>
        <w:rPr/>
      </w:pPr>
      <w:r>
        <w:rPr/>
        <w:t>C.7 Síntese comparativa das estratégias</w:t>
        <w:tab/>
        <w:t>159</w:t>
      </w:r>
    </w:p>
    <w:p>
      <w:pPr>
        <w:pStyle w:val="ndicedoAnexo2"/>
        <w:rPr/>
      </w:pPr>
      <w:r>
        <w:rPr/>
        <w:t>C.8 Critérios de aceitação, limitação e rejeição</w:t>
        <w:tab/>
        <w:t>160</w:t>
      </w:r>
    </w:p>
    <w:p>
      <w:pPr>
        <w:pStyle w:val="ndicedoAnexo2"/>
        <w:rPr/>
      </w:pPr>
      <w:r>
        <w:rPr/>
        <w:t>C.9 Relação com o Suplemento 3</w:t>
        <w:tab/>
        <w:t>160</w:t>
      </w:r>
    </w:p>
    <w:p>
      <w:pPr>
        <w:pStyle w:val="ndicedoAnexo2"/>
        <w:rPr/>
      </w:pPr>
      <w:r>
        <w:rPr/>
        <w:t>C.10 Limite de interpretação</w:t>
        <w:tab/>
        <w:t>160</w:t>
      </w:r>
    </w:p>
    <w:p>
      <w:pPr>
        <w:pStyle w:val="ndicedoAnexo2"/>
        <w:rPr/>
      </w:pPr>
      <w:r>
        <w:rPr/>
        <w:t>C.11 Fontes técnicas consultadas</w:t>
        <w:tab/>
        <w:t>161</w:t>
      </w:r>
    </w:p>
    <w:p>
      <w:pPr>
        <w:pStyle w:val="ndicedoAnexo2"/>
        <w:rPr/>
      </w:pPr>
      <w:r>
        <w:rPr/>
        <w:t>C.12 Verificações executadas</w:t>
        <w:tab/>
        <w:t>161</w:t>
      </w:r>
    </w:p>
    <w:p>
      <w:pPr>
        <w:pStyle w:val="ndicedoAnexo2"/>
        <w:rPr/>
      </w:pPr>
      <w:r>
        <w:rPr/>
        <w:t>Tabela C.1 — Correspondência entre medidas normalizadas e parâmetros dos modelos</w:t>
        <w:tab/>
        <w:t>147</w:t>
      </w:r>
    </w:p>
    <w:p>
      <w:pPr>
        <w:pStyle w:val="ndicedoAnexo2"/>
        <w:rPr/>
      </w:pPr>
      <w:r>
        <w:rPr/>
        <w:t>Tabela C.2 — Parâmetros numéricos do Flexy Beast com efeito dimensional</w:t>
        <w:tab/>
        <w:t>148</w:t>
      </w:r>
    </w:p>
    <w:p>
      <w:pPr>
        <w:pStyle w:val="ndicedoAnexo2"/>
        <w:rPr/>
      </w:pPr>
      <w:r>
        <w:rPr/>
        <w:t>Tabela C.3 — Relações dimensionais do Paraglider Hand</w:t>
        <w:tab/>
        <w:t>153</w:t>
      </w:r>
    </w:p>
    <w:p>
      <w:pPr>
        <w:pStyle w:val="ndicedoAnexo2"/>
        <w:rPr/>
      </w:pPr>
      <w:r>
        <w:rPr/>
        <w:t>Tabela C.4 — Comparação das adaptações e excepções de escala</w:t>
        <w:tab/>
        <w:t>159</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61"/>
        <w:gridCol w:w="5936"/>
        <w:gridCol w:w="1090"/>
      </w:tblGrid>
      <w:tr>
        <w:trPr/>
        <w:tc>
          <w:tcPr>
            <w:tcW w:w="1761" w:type="dxa"/>
            <w:tcBorders/>
            <w:vAlign w:val="center"/>
          </w:tcPr>
          <w:p>
            <w:pPr>
              <w:pStyle w:val="TextoNormal-IPCA"/>
              <w:rPr/>
            </w:pPr>
            <w:r>
              <w:rPr/>
            </w:r>
          </w:p>
        </w:tc>
        <w:tc>
          <w:tcPr>
            <w:tcW w:w="5936"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61" w:type="dxa"/>
            <w:tcBorders/>
            <w:vAlign w:val="center"/>
          </w:tcPr>
          <w:p>
            <w:pPr>
              <w:pStyle w:val="TextoNormal-IPCA"/>
              <w:rPr/>
            </w:pPr>
            <w:r>
              <w:rPr/>
            </w:r>
          </w:p>
        </w:tc>
        <w:tc>
          <w:tcPr>
            <w:tcW w:w="5936"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61" w:type="dxa"/>
            <w:tcBorders/>
            <w:vAlign w:val="center"/>
          </w:tcPr>
          <w:p>
            <w:pPr>
              <w:pStyle w:val="TextoNormal-IPCA"/>
              <w:rPr/>
            </w:pPr>
            <w:r>
              <w:rPr/>
            </w:r>
          </w:p>
        </w:tc>
        <w:tc>
          <w:tcPr>
            <w:tcW w:w="5936"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dissertação,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t>C.9 Relação com o Suplemento 3</w:t>
      </w:r>
    </w:p>
    <w:p>
      <w:pPr>
        <w:pStyle w:val="TextoNormal-IPCA"/>
        <w:rPr/>
      </w:pPr>
      <w: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t>C.11 Fontes técnicas consultadas</w:t>
      </w:r>
    </w:p>
    <w:p>
      <w:pPr>
        <w:pStyle w:val="TextoNormal-IPCA"/>
        <w:rPr/>
      </w:pPr>
      <w:r>
        <w:t>- relatório técnico de adaptação antropométrica da plataforma;</w:t>
      </w:r>
    </w:p>
    <w:p>
      <w:pPr>
        <w:pStyle w:val="TextoNormal-IPCA"/>
        <w:rPr/>
      </w:pPr>
      <w:r>
        <w:t>- catálogo de configuração dos modelos;</w:t>
      </w:r>
    </w:p>
    <w:p>
      <w:pPr>
        <w:pStyle w:val="TextoNormal-IPCA"/>
        <w:rPr/>
      </w:pPr>
      <w:r>
        <w:t>- serviços de correspondência e importação de perfis antropométricos;</w:t>
      </w:r>
    </w:p>
    <w:p>
      <w:pPr>
        <w:pStyle w:val="TextoNormal-IPCA"/>
        <w:rPr/>
      </w:pPr>
      <w:r>
        <w:t>- implementações OpenSCAD activas das famílias Flexy Beast, Cyborg Beast, Paraglider Hand e UnLimbited Phoenix, incluindo as dependências de montagem;</w:t>
      </w:r>
    </w:p>
    <w:p>
      <w:pPr>
        <w:pStyle w:val="TextoNormal-IPCA"/>
        <w:rPr/>
      </w:pPr>
      <w:r>
        <w:t>- dicionário integral de parâmetros e percurso numérico do perfil de ensaio, conservados no Suplemento 3 — Parametrização e percurso numérico;</w:t>
      </w:r>
    </w:p>
    <w:p>
      <w:pPr>
        <w:pStyle w:val="TextoNormal-IPCA"/>
        <w:rPr/>
      </w:pPr>
      <w:r>
        <w:t>- Capítulo 4 do manuscrito consolidado;</w:t>
      </w:r>
    </w:p>
    <w:p>
      <w:pPr>
        <w:pStyle w:val="TextoNormal-IPCA"/>
        <w:rPr/>
      </w:pPr>
      <w: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163</w:t>
      </w:r>
    </w:p>
    <w:p>
      <w:pPr>
        <w:pStyle w:val="ndicedoAnexo2"/>
        <w:rPr/>
      </w:pPr>
      <w:r>
        <w:rPr/>
        <w:t>D.2 Distinção entre estimativa e medição real</w:t>
        <w:tab/>
        <w:t>163</w:t>
      </w:r>
    </w:p>
    <w:p>
      <w:pPr>
        <w:pStyle w:val="ndicedoAnexo2"/>
        <w:rPr/>
      </w:pPr>
      <w:r>
        <w:rPr/>
        <w:t>D.3 Variáveis, controlos e materiais</w:t>
        <w:tab/>
        <w:t>163</w:t>
      </w:r>
    </w:p>
    <w:p>
      <w:pPr>
        <w:pStyle w:val="ndicedoAnexo3"/>
        <w:tabs>
          <w:tab w:val="clear" w:pos="708"/>
          <w:tab w:val="right" w:pos="8204" w:leader="dot"/>
        </w:tabs>
        <w:rPr/>
      </w:pPr>
      <w:r>
        <w:rPr/>
        <w:t>D.3.1 Série A — projectos de preparação digital para impressão 3D com configuração analisada</w:t>
        <w:tab/>
        <w:t>164</w:t>
      </w:r>
    </w:p>
    <w:p>
      <w:pPr>
        <w:pStyle w:val="ndicedoAnexo3"/>
        <w:tabs>
          <w:tab w:val="clear" w:pos="708"/>
          <w:tab w:val="right" w:pos="8204" w:leader="dot"/>
        </w:tabs>
        <w:rPr/>
      </w:pPr>
      <w:r>
        <w:rPr/>
        <w:t>D.3.2 Série B — comparação digital controlada</w:t>
        <w:tab/>
        <w:t>164</w:t>
      </w:r>
    </w:p>
    <w:p>
      <w:pPr>
        <w:pStyle w:val="ndicedoAnexo2"/>
        <w:rPr/>
      </w:pPr>
      <w:r>
        <w:rPr/>
        <w:t>D.4 Resultados</w:t>
        <w:tab/>
        <w:t>165</w:t>
      </w:r>
    </w:p>
    <w:p>
      <w:pPr>
        <w:pStyle w:val="ndicedoAnexo3"/>
        <w:tabs>
          <w:tab w:val="clear" w:pos="708"/>
          <w:tab w:val="right" w:pos="8204" w:leader="dot"/>
        </w:tabs>
        <w:rPr/>
      </w:pPr>
      <w:r>
        <w:rPr/>
        <w:t>D.4.1 Série A</w:t>
        <w:tab/>
        <w:t>165</w:t>
      </w:r>
    </w:p>
    <w:p>
      <w:pPr>
        <w:pStyle w:val="ndicedoAnexo3"/>
        <w:tabs>
          <w:tab w:val="clear" w:pos="708"/>
          <w:tab w:val="right" w:pos="8204" w:leader="dot"/>
        </w:tabs>
        <w:rPr/>
      </w:pPr>
      <w:r>
        <w:rPr/>
        <w:t>D.4.2 Série B (condição comum)</w:t>
        <w:tab/>
        <w:t>165</w:t>
      </w:r>
    </w:p>
    <w:p>
      <w:pPr>
        <w:pStyle w:val="ndicedoAnexo3"/>
        <w:tabs>
          <w:tab w:val="clear" w:pos="708"/>
          <w:tab w:val="right" w:pos="8204" w:leader="dot"/>
        </w:tabs>
        <w:rPr/>
      </w:pPr>
      <w:r>
        <w:rPr/>
        <w:t>D.4.3 Geometria — tamanho do conjunto vs tamanho da peça</w:t>
        <w:tab/>
        <w:t>167</w:t>
      </w:r>
    </w:p>
    <w:p>
      <w:pPr>
        <w:pStyle w:val="ndicedoAnexo3"/>
        <w:tabs>
          <w:tab w:val="clear" w:pos="708"/>
          <w:tab w:val="right" w:pos="8204" w:leader="dot"/>
        </w:tabs>
        <w:rPr/>
      </w:pPr>
      <w:r>
        <w:rPr/>
        <w:t>D.4.4 Comparação entre entrada, malha e peça física</w:t>
        <w:tab/>
        <w:t>167</w:t>
      </w:r>
    </w:p>
    <w:p>
      <w:pPr>
        <w:pStyle w:val="ndicedoAnexo3"/>
        <w:tabs>
          <w:tab w:val="clear" w:pos="708"/>
          <w:tab w:val="right" w:pos="8204" w:leader="dot"/>
        </w:tabs>
        <w:rPr/>
      </w:pPr>
      <w:r>
        <w:rPr/>
        <w:t>D.4.5 Registo fotográfico dos protótipos</w:t>
        <w:tab/>
        <w:t>169</w:t>
      </w:r>
    </w:p>
    <w:p>
      <w:pPr>
        <w:pStyle w:val="ndicedoAnexo2"/>
        <w:rPr/>
      </w:pPr>
      <w:r>
        <w:rPr/>
        <w:t>D.5 Compatibilidade com orientações de dimensionamento</w:t>
        <w:tab/>
        <w:t>169</w:t>
      </w:r>
    </w:p>
    <w:p>
      <w:pPr>
        <w:pStyle w:val="ndicedoAnexo2"/>
        <w:rPr/>
      </w:pPr>
      <w:r>
        <w:rPr/>
        <w:t>D.6 Limites de comparabilidade</w:t>
        <w:tab/>
        <w:t>169</w:t>
      </w:r>
    </w:p>
    <w:p>
      <w:pPr>
        <w:pStyle w:val="ndicedoAnexo2"/>
        <w:rPr/>
      </w:pPr>
      <w:r>
        <w:rPr/>
        <w:t>D.7 Campos que não puderam ser obtidos</w:t>
        <w:tab/>
        <w:t>170</w:t>
      </w:r>
    </w:p>
    <w:p>
      <w:pPr>
        <w:pStyle w:val="ndicedoAnexo2"/>
        <w:rPr/>
      </w:pPr>
      <w:r>
        <w:rPr/>
        <w:t>D.8 O que pode e não pode ser afirmado na dissertação</w:t>
        <w:tab/>
        <w:t>170</w:t>
      </w:r>
    </w:p>
    <w:p>
      <w:pPr>
        <w:pStyle w:val="ndicedoAnexo2"/>
        <w:rPr/>
      </w:pPr>
      <w:r>
        <w:rPr/>
        <w:t>Tabela D.1 — Estimativas dos projectos de preparação digital para impressão 3D com configuração analisada</w:t>
        <w:tab/>
        <w:t>165</w:t>
      </w:r>
    </w:p>
    <w:p>
      <w:pPr>
        <w:pStyle w:val="ndicedoAnexo2"/>
        <w:rPr/>
      </w:pPr>
      <w:r>
        <w:rPr/>
        <w:t>Tabela D.2 — Estimativas de preparação para impressão na condição digital comum</w:t>
        <w:tab/>
        <w:t>165</w:t>
      </w:r>
    </w:p>
    <w:p>
      <w:pPr>
        <w:pStyle w:val="ndicedoAnexo2"/>
        <w:rPr/>
      </w:pPr>
      <w:r>
        <w:rPr/>
        <w:t>Tabela D.3 — Comparação dimensional da palma no eixo X em PLA e PETG</w:t>
        <w:tab/>
        <w:t>167</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900"/>
        <w:gridCol w:w="1352"/>
        <w:gridCol w:w="2198"/>
        <w:gridCol w:w="1251"/>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w:t>
      </w:r>
      <w:r>
        <w:rPr/>
        <w:t>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8"/>
        <w:gridCol w:w="1050"/>
        <w:gridCol w:w="1352"/>
        <w:gridCol w:w="1450"/>
        <w:gridCol w:w="1198"/>
        <w:gridCol w:w="1251"/>
        <w:gridCol w:w="1138"/>
      </w:tblGrid>
      <w:tr>
        <w:trPr>
          <w:tblHeader w:val="true"/>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 xml:space="preserve">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w:t>
      </w:r>
      <w:r>
        <w:rPr>
          <w:b w:val="false"/>
          <w:bCs w:val="false"/>
        </w:rPr>
        <w:t>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 xml:space="preserve">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w:t>
      </w:r>
      <w:r>
        <w:rPr>
          <w:b w:val="false"/>
          <w:bCs w:val="false"/>
        </w:rPr>
        <w:t>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w:t>
      </w:r>
      <w:r>
        <w:rPr>
          <w:b w:val="false"/>
          <w:bCs w:val="false"/>
        </w:rPr>
        <w:t xml:space="preserve"> a caixa envolve</w:t>
      </w:r>
      <w:r>
        <w:rPr/>
        <w:t>nte da palma isolada.</w:t>
      </w:r>
    </w:p>
    <w:p>
      <w:pPr>
        <w:pStyle w:val="TextoNormal-IPCA"/>
        <w:rPr/>
      </w:pPr>
      <w:r>
        <w:rPr/>
        <w:t xml:space="preserve">- </w:t>
      </w:r>
      <w:r>
        <w:rPr>
          <w:b w:val="false"/>
          <w:bCs w:val="false"/>
        </w:rPr>
        <w:t>Placa disposta:</w:t>
      </w:r>
      <w:r>
        <w:rPr>
          <w:b w:val="false"/>
          <w:bCs w:val="false"/>
        </w:rPr>
        <w:t xml:space="preserve"> a área ocupada pelas peças efectiva</w:t>
      </w:r>
      <w:r>
        <w:rPr/>
        <w:t>mente colocadas na placa.</w:t>
      </w:r>
    </w:p>
    <w:p>
      <w:pPr>
        <w:pStyle w:val="TextoNormal-IPCA"/>
        <w:rPr/>
      </w:pPr>
      <w:r>
        <w:rPr>
          <w:b w:val="false"/>
          <w:bCs w:val="false"/>
        </w:rPr>
        <w:t>N</w:t>
      </w:r>
      <w:r>
        <w:rPr>
          <w:b w:val="false"/>
          <w:bCs w:val="false"/>
        </w:rPr>
        <w:t>a orientação analisada, uma dimensão da caixa envolvente do modelo montado ultrapassa a dimensão nominal da placa.</w:t>
      </w:r>
      <w:r>
        <w:rPr>
          <w:b w:val="false"/>
          <w:bCs w:val="false"/>
        </w:rPr>
        <w:t xml:space="preserve">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estado_parametro do mesmo ficheiro</w:t>
      </w:r>
      <w:r>
        <w:rPr>
          <w:rFonts w:ascii="Consolas" w:hAnsi="Consolas"/>
          <w:sz w:val="20"/>
        </w:rPr>
        <w:t/>
      </w:r>
      <w:r>
        <w:rPr/>
        <w:t>.</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11" w:author="Unknown Author" w:date="2026-07-17T10:36: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 w:id="12" w:author="Unknown Author" w:date="2026-07-17T10:36:5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Tirar?</w:t>
      </w:r>
    </w:p>
  </w:comment>
  <w:comment w:id="13" w:author="Unknown Author" w:date="2026-07-17T10:47:5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Se calhar tiramos o anexo?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Application>LibreOffice/26.2.4.2$Linux_X86_64 LibreOffice_project/3346a99e6b841765b75a9b29714a5b95c6761ce3</Application>
  <AppVersion>15.0000</AppVersion>
  <Pages>193</Pages>
  <Words>64704</Words>
  <Characters>388906</Characters>
  <CharactersWithSpaces>450600</CharactersWithSpaces>
  <Paragraphs>3326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2026-07-19T18:31:39Z</dcterms:modified>
  <cp:revision>53</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