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documento:0.4.3</w:t>
      </w:r>
    </w:p>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pPr>
      <w: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pStyle w:val="Quote"/>
      </w:pPr>
      <w: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w:t>
      </w:r>
      <w:r>
        <w:rPr>
          <w:i/>
        </w:rPr>
        <w:t>body-powered</w:t>
      </w:r>
      <w:r>
        <w:t>)</w:t>
      </w:r>
    </w:p>
    <w:p>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4714875"/>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4714875"/>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467225"/>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4467225"/>
                    </a:xfrm>
                    <a:prstGeom prst="rect">
                      <a:avLst/>
                    </a:prstGeom>
                  </pic:spPr>
                </pic:pic>
              </a:graphicData>
            </a:graphic>
          </wp:inline>
        </w:drawing>
      </w:r>
    </w:p>
    <w:p>
      <w:pPr/>
      <w:r>
        <w:t>Figura 2.2 — Utilização, rejeição primária e rejeição secundária de próteses do membro superior adquiridas.</w:t>
      </w:r>
    </w:p>
    <w:p>
      <w:pPr/>
      <w:r>
        <w:t>Fonte original (APA 7): Biddiss, E., Beaton, D., &amp; Chau, T. (2007). Consumer design priorities for upper limb prosthetics. Disability and Rehabilitation: Assistive Technology, 2(6), 346-357.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p>
    <w:p>
      <w:pPr>
        <w:pStyle w:val="Heading3"/>
      </w:pPr>
      <w: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18383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1838325"/>
                    </a:xfrm>
                    <a:prstGeom prst="rect">
                      <a:avLst/>
                    </a:prstGeom>
                  </pic:spPr>
                </pic:pic>
              </a:graphicData>
            </a:graphic>
          </wp:inline>
        </w:drawing>
      </w:r>
    </w:p>
    <w:p>
      <w:pPr/>
      <w:r>
        <w:t>Figura 2.3 — Fluxo digital entre aquisição, CAD/CAM e fabricação aditiva em próteses e ortóteses.</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25755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257550"/>
                    </a:xfrm>
                    <a:prstGeom prst="rect">
                      <a:avLst/>
                    </a:prstGeom>
                  </pic:spPr>
                </pic:pic>
              </a:graphicData>
            </a:graphic>
          </wp:inline>
        </w:drawing>
      </w:r>
    </w:p>
    <w:p>
      <w:pPr/>
      <w:r>
        <w:t>Figura 2.4 — Exemplo de configurador digital para personalização de uma prótese impressa em 3D.</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[^12]fabrico (Lei et al., 2016 (#ref-lei-2016); Stralen, 2018 (#ref-stralen-2018)).</w:t>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p>
    <w:p>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300037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00375"/>
                    </a:xfrm>
                    <a:prstGeom prst="rect">
                      <a:avLst/>
                    </a:prstGeom>
                  </pic:spPr>
                </pic:pic>
              </a:graphicData>
            </a:graphic>
          </wp:inline>
        </w:drawing>
      </w:r>
    </w:p>
    <w:p>
      <w:pPr/>
      <w:r>
        <w:t>Figura 2.5 — Marcos anatómicos e medidas de referência da mão para fins de personalização.</w:t>
      </w:r>
    </w:p>
    <w:p>
      <w:pPr/>
      <w:r>
        <w:t>Fonte original (APA 7):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pStyle w:val="ListNumber"/>
      </w:pPr>
      <w: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p>
    <w:p>
      <w:pPr>
        <w:pStyle w:val="ListNumber"/>
      </w:pPr>
      <w: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p>
    <w:p>
      <w:pPr>
        <w:pStyle w:val="ListNumber"/>
      </w:pPr>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p>
    <w:p>
      <w:pPr>
        <w:pStyle w:val="ListNumber"/>
      </w:pPr>
      <w: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p>
    <w:p>
      <w:pPr>
        <w:pStyle w:val="ListNumber"/>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pPr>
      <w:r>
        <w:t>Interpretação e aplicação de dados antropométricos no projeto</w:t>
      </w:r>
    </w:p>
    <w:p>
      <w:pPr/>
      <w:r>
        <w:t>A passagem de dados antropométricos para critérios de projeto ocorre por diferentes vias analíticas:</w:t>
      </w:r>
    </w:p>
    <w:p>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2.5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90512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2905125"/>
                    </a:xfrm>
                    <a:prstGeom prst="rect">
                      <a:avLst/>
                    </a:prstGeom>
                  </pic:spPr>
                </pic:pic>
              </a:graphicData>
            </a:graphic>
          </wp:inline>
        </w:drawing>
      </w:r>
    </w:p>
    <w:p>
      <w:pPr/>
      <w:r>
        <w:t>Figura 2.6 — Enquadramento de um fluxo de CAD assistido por IA para desenvolvimento de produto.</w:t>
      </w:r>
    </w:p>
    <w:p>
      <w:pPr/>
      <w: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p>
    <w:p>
      <w:pPr>
        <w:pStyle w:val="Heading3"/>
      </w:pPr>
      <w:r>
        <w:t>Papel do designer, riscos e necessidade de supervisão humana</w:t>
      </w:r>
    </w:p>
    <w:p>
      <w:pPr/>
      <w: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Síntese</w:t>
      </w:r>
    </w:p>
    <w:p>
      <w:pPr/>
      <w: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pPr>
      <w:r>
        <w:t>2.6 Plataformas digitais e sistemas configuráveis</w:t>
      </w:r>
    </w:p>
    <w:p>
      <w:pPr/>
      <w: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128587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1285875"/>
                    </a:xfrm>
                    <a:prstGeom prst="rect">
                      <a:avLst/>
                    </a:prstGeom>
                  </pic:spPr>
                </pic:pic>
              </a:graphicData>
            </a:graphic>
          </wp:inline>
        </w:drawing>
      </w:r>
    </w:p>
    <w:p>
      <w:pPr/>
      <w:r>
        <w:t>Figura 2.7 — Modelo de processo para configurar participação em ecossistemas de inovação e cocriação.</w:t>
      </w:r>
    </w:p>
    <w:p>
      <w:pPr/>
      <w:r>
        <w:t>Fonte original (APA 7): Akasaka, M., Veeckman, C., Georges, A., Schuurman, D., &amp; Coorevits, L. (2022). A framework for configuring participation in living labs. https://www.semanticscholar.org/paper/305d55af5fda06b4d1b33e7d29c1f16d1b7ea488</w:t>
      </w:r>
    </w:p>
    <w:p>
      <w:pPr/>
      <w: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t>Mecanismos de personalização: modularidade, parametrização e tailoring</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standardização e improviso</w:t>
      </w:r>
    </w:p>
    <w:p>
      <w:pPr/>
      <w: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r>
        <w:t>– Sustentabilidade da participação: risco de sobrecarga de participação e de desistência; necessidade de mecanismos de apoio, curadoria e redistribuição da carga entre utilizadores e especialistas (Fischer et al., 2017 (#ref-fischer-2017)).</w:t>
      </w:r>
    </w:p>
    <w:p>
      <w:pPr/>
      <w:r>
        <w:t>– 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r>
        <w:t>– 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pPr>
      <w:r>
        <w:t>2.7 Análise crítica do estado da arte e lacunas identificadas</w:t>
      </w:r>
    </w:p>
    <w:p>
      <w:pPr/>
      <w: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r>
        <w:drawing>
          <wp:inline xmlns:wp="http://schemas.openxmlformats.org/drawingml/2006/wordprocessingDrawing" distT="0" distB="0" distL="0" distR="0">
            <wp:extent cx="5715000" cy="3762375"/>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3762375"/>
                    </a:xfrm>
                    <a:prstGeom prst="rect">
                      <a:avLst/>
                    </a:prstGeom>
                  </pic:spPr>
                </pic:pic>
              </a:graphicData>
            </a:graphic>
          </wp:inline>
        </w:drawing>
      </w:r>
    </w:p>
    <w:p>
      <w:pPr/>
      <w:r>
        <w:t>Figura 2.8 — Distribuição dos estudos por nível de prontidão tecnológica (TRL) em próteses e ortóteses com fabrico digital.</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pPr>
      <w:r>
        <w:t>Lacuna 1 — Evidência insuficiente e fraca tradução para o mundo real</w:t>
      </w:r>
    </w:p>
    <w:p>
      <w:pPr/>
      <w: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pPr>
      <w:r>
        <w:t>Lacuna 2 — Desalinhamento entre necessidades identificadas, métricas objetivas, e qualidade de vida</w:t>
      </w:r>
    </w:p>
    <w:p>
      <w:pPr/>
      <w: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pPr>
      <w:r>
        <w:t>Lacuna 3 — Persistência de problemas na interface corpo–dispositivo e na personalização</w:t>
      </w:r>
    </w:p>
    <w:p>
      <w:pPr/>
      <w: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pPr>
      <w: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quotidianas (Cordella et al., 2016 (#ref-cordella-2016); Marinelli et al., 2022 (#ref-marinelli-2022)).</w:t>
      </w:r>
    </w:p>
    <w:p>
      <w:pPr/>
      <w: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Number"/>
      </w:pPr>
      <w:r>
        <w:t>1. reforcem a ligação entre personalização e evidência, com pipelines integrados de aquisição de dados, geração de variantes e validação;</w:t>
      </w:r>
    </w:p>
    <w:p>
      <w:pPr>
        <w:pStyle w:val="ListNumber"/>
      </w:pPr>
      <w:r>
        <w:t>2. privilegiem avaliação ecologicamente válida e longitudinal, aproximando métricas de resultados de participação e qualidade de vida;</w:t>
      </w:r>
    </w:p>
    <w:p>
      <w:pPr>
        <w:pStyle w:val="ListNumber"/>
      </w:pPr>
      <w:r>
        <w:t>3. tratem a interface corpo–dispositivo e o conforto como requisitos estruturantes, não como otimizações posteriores;</w:t>
      </w:r>
    </w:p>
    <w:p>
      <w:pPr>
        <w:pStyle w:val="ListNumber"/>
      </w:pPr>
      <w:r>
        <w:t>4. incorporem envolvimento do utilizador como elemento contínuo e reportável, articulando métodos qualitativos e quantitativos;</w:t>
      </w:r>
    </w:p>
    <w:p>
      <w:pPr>
        <w:pStyle w:val="ListNumber"/>
      </w:pPr>
      <w:r>
        <w:t>5. Considerem a acessibilidade, a manutenção e o contexto de serviço como parte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Heading3"/>
      </w:pPr>
      <w:r>
        <w:t>3.2 O design industrial como prática investigativa</w:t>
      </w:r>
    </w:p>
    <w:p>
      <w:pPr/>
      <w: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63830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1638300"/>
                    </a:xfrm>
                    <a:prstGeom prst="rect">
                      <a:avLst/>
                    </a:prstGeom>
                  </pic:spPr>
                </pic:pic>
              </a:graphicData>
            </a:graphic>
          </wp:inline>
        </w:drawing>
      </w:r>
    </w:p>
    <w:p>
      <w:pPr/>
      <w:r>
        <w:t>Figura 3.1 — Exemplo de recolha dimensional para ajuste de prótese impressa em 3D.</w:t>
      </w:r>
    </w:p>
    <w:p>
      <w:pPr/>
      <w: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5715000" cy="331470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3314700"/>
                    </a:xfrm>
                    <a:prstGeom prst="rect">
                      <a:avLst/>
                    </a:prstGeom>
                  </pic:spPr>
                </pic:pic>
              </a:graphicData>
            </a:graphic>
          </wp:inline>
        </w:drawing>
      </w:r>
    </w:p>
    <w:p>
      <w:pPr/>
      <w:r>
        <w:t>Figura 4.1 — Parâmetros antropométricos utilizados na modelação paramétrica de dedos protésicos.</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pPr>
      <w:r>
        <w:t>Limitações do escalonamento uniforme</w:t>
      </w:r>
    </w:p>
    <w:p>
      <w:pPr/>
      <w: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410527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4105275"/>
                    </a:xfrm>
                    <a:prstGeom prst="rect">
                      <a:avLst/>
                    </a:prstGeom>
                  </pic:spPr>
                </pic:pic>
              </a:graphicData>
            </a:graphic>
          </wp:inline>
        </w:drawing>
      </w:r>
    </w:p>
    <w:p>
      <w:pPr/>
      <w:r>
        <w:t>Figura 4.2 — Comparação entre o escalonamento uniforme e a modelação paramétrica de dedo protésico.</w:t>
      </w:r>
    </w:p>
    <w:p>
      <w:pPr/>
      <w: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t>Métodos de recolha de dados antropométricos</w:t>
      </w:r>
    </w:p>
    <w:p>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pPr>
      <w:r>
        <w:t>5.2 Arquitetura geral do sistema</w:t>
      </w:r>
    </w:p>
    <w:p>
      <w:pPr/>
      <w: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escalabilidade</w:t>
      </w:r>
    </w:p>
    <w:p>
      <w:pPr/>
      <w: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Bdr>
          <w:bottom w:val="single" w:sz="6" w:space="1" w:color="808080"/>
        </w:pBdr>
      </w:pPr>
    </w:p>
    <w:p>
      <w:pPr>
        <w:pStyle w:val="Heading2"/>
      </w:pPr>
      <w:r>
        <w:t>Capítulo 6 — Integração da Inteligência Artificial</w:t>
      </w:r>
    </w:p>
    <w:p>
      <w:pPr>
        <w:pStyle w:val="Heading3"/>
      </w:pPr>
      <w:r>
        <w:t>6.1 Papel da IA no sistema proposto</w:t>
      </w:r>
    </w:p>
    <w:p>
      <w:pPr/>
      <w: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r>
        <w:t>A principal fragilidade identificada prende-se com a lateralidade. Embora os ensaios tenham produzido o lado correto, a regra de espelhamento foi inferida pelo modelo a partir da linguagem natural, e não imposta explicitamente no pedido. Esta situação é aceitável como evidência preliminar de capacidade inferencial, mas é insuficiente como salvaguarda de um parâmetro crítico: uma prótese gerada para o lado errado é inutilizável e o erro pode não ser imediatamente evidente para um utilizador não especializado. Por isso, a evolução do sistema deve incluir uma instrução explícita sobre mão intacta, lado amputado e espelhamento, bem como validação no servidor por esquema JSON e reenvio automático do pedido quando a saída não cumprir o contrato esperado.</w:t>
      </w:r>
    </w:p>
    <w:p>
      <w:pPr/>
      <w: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pPr>
      <w:r>
        <w:t>6.4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Bdr>
          <w:bottom w:val="single" w:sz="6" w:space="1" w:color="808080"/>
        </w:pBdr>
      </w:pPr>
    </w:p>
    <w:p>
      <w:pPr>
        <w:pStyle w:val="Heading2"/>
      </w:pPr>
      <w:r>
        <w:t>Capítulo 7 — Interface, Interação e Experiência de Utilização</w:t>
      </w:r>
    </w:p>
    <w:p>
      <w:pPr>
        <w:pStyle w:val="Heading3"/>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Heading3"/>
      </w:pPr>
      <w:r>
        <w:t>8.2 Validação antropométrica das sugestões de IA</w:t>
      </w:r>
    </w:p>
    <w:p>
      <w:pPr/>
      <w: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Nos três casos, a lateralidade foi correta, embora dependente de inferência linguística e não de uma regra explícita no pedido.</w:t>
      </w:r>
    </w:p>
    <w:p>
      <w:pPr/>
      <w:r>
        <w:t>Tabela 8.1 — Síntese da validação antropométrica assistida por IA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Eixo avaliado</w:t>
            </w:r>
          </w:p>
        </w:tc>
        <w:tc>
          <w:tcPr>
            <w:tcW w:w="0" w:type="auto"/>
          </w:tcPr>
          <w:p>
            <w:pPr/>
            <w:r>
              <w:t>Resultado observado</w:t>
            </w:r>
          </w:p>
        </w:tc>
        <w:tc>
          <w:tcPr>
            <w:tcW w:w="0" w:type="auto"/>
          </w:tcPr>
          <w:p>
            <w:pPr/>
            <w:r>
              <w:t>Interpretação</w:t>
            </w:r>
          </w:p>
        </w:tc>
      </w:tr>
      <w:tr>
        <w:tc>
          <w:tcPr>
            <w:tcW w:w="0" w:type="auto"/>
          </w:tcPr>
          <w:p>
            <w:pPr/>
            <w:r>
              <w:t>Conformidade com o esquema</w:t>
            </w:r>
          </w:p>
        </w:tc>
        <w:tc>
          <w:tcPr>
            <w:tcW w:w="0" w:type="auto"/>
          </w:tcPr>
          <w:p>
            <w:pPr/>
            <w:r>
              <w:t>Saídas parseáveis, chaves conhecidas e valores dentro dos limites</w:t>
            </w:r>
          </w:p>
        </w:tc>
        <w:tc>
          <w:tcPr>
            <w:tcW w:w="0" w:type="auto"/>
          </w:tcPr>
          <w:p>
            <w:pPr/>
            <w:r>
              <w:t>O esquema vivo do modelo reduziu sugestões inválidas</w:t>
            </w:r>
          </w:p>
        </w:tc>
      </w:tr>
      <w:tr>
        <w:tc>
          <w:tcPr>
            <w:tcW w:w="0" w:type="auto"/>
          </w:tcPr>
          <w:p>
            <w:pPr/>
            <w:r>
              <w:t>Proporcionalidade digital</w:t>
            </w:r>
          </w:p>
        </w:tc>
        <w:tc>
          <w:tcPr>
            <w:tcW w:w="0" w:type="auto"/>
          </w:tcPr>
          <w:p>
            <w:pPr/>
            <w:r>
              <w:t>Dedo médio mais longo, mindinho mais curto e polegar abaixo do dedo médio</w:t>
            </w:r>
          </w:p>
        </w:tc>
        <w:tc>
          <w:tcPr>
            <w:tcW w:w="0" w:type="auto"/>
          </w:tcPr>
          <w:p>
            <w:pPr/>
            <w:r>
              <w:t>As relações anatómicas principais foram preservadas</w:t>
            </w:r>
          </w:p>
        </w:tc>
      </w:tr>
      <w:tr>
        <w:tc>
          <w:tcPr>
            <w:tcW w:w="0" w:type="auto"/>
          </w:tcPr>
          <w:p>
            <w:pPr/>
            <w:r>
              <w:t>Entradas ricas</w:t>
            </w:r>
          </w:p>
        </w:tc>
        <w:tc>
          <w:tcPr>
            <w:tcW w:w="0" w:type="auto"/>
          </w:tcPr>
          <w:p>
            <w:pPr/>
            <w:r>
              <w:t>Medições fornecidas mantidas literalmente</w:t>
            </w:r>
          </w:p>
        </w:tc>
        <w:tc>
          <w:tcPr>
            <w:tcW w:w="0" w:type="auto"/>
          </w:tcPr>
          <w:p>
            <w:pPr/>
            <w:r>
              <w:t>A IA não reestimou valores diretamente declarados</w:t>
            </w:r>
          </w:p>
        </w:tc>
      </w:tr>
      <w:tr>
        <w:tc>
          <w:tcPr>
            <w:tcW w:w="0" w:type="auto"/>
          </w:tcPr>
          <w:p>
            <w:pPr/>
            <w:r>
              <w:t>Entradas parciais</w:t>
            </w:r>
          </w:p>
        </w:tc>
        <w:tc>
          <w:tcPr>
            <w:tcW w:w="0" w:type="auto"/>
          </w:tcPr>
          <w:p>
            <w:pPr/>
            <w:r>
              <w:t>Campos em falta estimados em torno da medida fornecida</w:t>
            </w:r>
          </w:p>
        </w:tc>
        <w:tc>
          <w:tcPr>
            <w:tcW w:w="0" w:type="auto"/>
          </w:tcPr>
          <w:p>
            <w:pPr/>
            <w:r>
              <w:t>O sistema combinou dados explícitos e priors populacionais</w:t>
            </w:r>
          </w:p>
        </w:tc>
      </w:tr>
      <w:tr>
        <w:tc>
          <w:tcPr>
            <w:tcW w:w="0" w:type="auto"/>
          </w:tcPr>
          <w:p>
            <w:pPr/>
            <w:r>
              <w:t>Entradas apenas demográficas</w:t>
            </w:r>
          </w:p>
        </w:tc>
        <w:tc>
          <w:tcPr>
            <w:tcW w:w="0" w:type="auto"/>
          </w:tcPr>
          <w:p>
            <w:pPr/>
            <w:r>
              <w:t>Conjunto completo e plausível de parâmetros</w:t>
            </w:r>
          </w:p>
        </w:tc>
        <w:tc>
          <w:tcPr>
            <w:tcW w:w="0" w:type="auto"/>
          </w:tcPr>
          <w:p>
            <w:pPr/>
            <w:r>
              <w:t>O fluxo oferece um ponto de partida para utilizadores não especialistas</w:t>
            </w:r>
          </w:p>
        </w:tc>
      </w:tr>
      <w:tr>
        <w:tc>
          <w:tcPr>
            <w:tcW w:w="0" w:type="auto"/>
          </w:tcPr>
          <w:p>
            <w:pPr/>
            <w:r>
              <w:t>Lateralidade</w:t>
            </w:r>
          </w:p>
        </w:tc>
        <w:tc>
          <w:tcPr>
            <w:tcW w:w="0" w:type="auto"/>
          </w:tcPr>
          <w:p>
            <w:pPr/>
            <w:r>
              <w:t>Correta nos três cenários unilaterais</w:t>
            </w:r>
          </w:p>
        </w:tc>
        <w:tc>
          <w:tcPr>
            <w:tcW w:w="0" w:type="auto"/>
          </w:tcPr>
          <w:p>
            <w:pPr/>
            <w:r>
              <w:t>Resultado útil, mas ainda insuficiente como salvaguarda formal</w:t>
            </w:r>
          </w:p>
        </w:tc>
      </w:tr>
    </w:tbl>
    <w:p>
      <w:pPr/>
      <w: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Esta variabilidade confirma que a avaliação deve privilegiar propriedades invariantes e taxas de aprovação, e não valores absolutos isolados.</w:t>
      </w:r>
    </w:p>
    <w:p>
      <w:pPr>
        <w:pStyle w:val="Heading3"/>
      </w:pPr>
      <w:r>
        <w:t>8.3 Validação geométrica intermodelos</w:t>
      </w:r>
    </w:p>
    <w:p>
      <w:pPr/>
      <w: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r>
        <w:t>Tabela 8.2 — Modelos e mecanismos de escala avaliados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Modelo</w:t>
            </w:r>
          </w:p>
        </w:tc>
        <w:tc>
          <w:tcPr>
            <w:tcW w:w="0" w:type="auto"/>
          </w:tcPr>
          <w:p>
            <w:pPr/>
            <w:r>
              <w:t>Entradas antropométricas principais</w:t>
            </w:r>
          </w:p>
        </w:tc>
        <w:tc>
          <w:tcPr>
            <w:tcW w:w="0" w:type="auto"/>
          </w:tcPr>
          <w:p>
            <w:pPr/>
            <w:r>
              <w:t>Mecanismo de escala</w:t>
            </w:r>
          </w:p>
        </w:tc>
        <w:tc>
          <w:tcPr>
            <w:tcW w:w="0" w:type="auto"/>
          </w:tcPr>
          <w:p>
            <w:pPr/>
            <w:r>
              <w:t>Implicação observada</w:t>
            </w:r>
          </w:p>
        </w:tc>
      </w:tr>
      <w:tr>
        <w:tc>
          <w:tcPr>
            <w:tcW w:w="0" w:type="auto"/>
          </w:tcPr>
          <w:p>
            <w:pPr/>
            <w:r>
              <w:t>Flexy Beast</w:t>
            </w:r>
          </w:p>
        </w:tc>
        <w:tc>
          <w:tcPr>
            <w:tcW w:w="0" w:type="auto"/>
          </w:tcPr>
          <w:p>
            <w:pPr/>
            <w:r>
              <w:t>Largura da palma e comprimentos dos cinco dedos</w:t>
            </w:r>
          </w:p>
        </w:tc>
        <w:tc>
          <w:tcPr>
            <w:tcW w:w="0" w:type="auto"/>
          </w:tcPr>
          <w:p>
            <w:pPr/>
            <w:r>
              <w:t>Escalas independentes para palma e dedos</w:t>
            </w:r>
          </w:p>
        </w:tc>
        <w:tc>
          <w:tcPr>
            <w:tcW w:w="0" w:type="auto"/>
          </w:tcPr>
          <w:p>
            <w:pPr/>
            <w:r>
              <w:t>Adequado a crianças e mãos pequenas</w:t>
            </w:r>
          </w:p>
        </w:tc>
      </w:tr>
      <w:tr>
        <w:tc>
          <w:tcPr>
            <w:tcW w:w="0" w:type="auto"/>
          </w:tcPr>
          <w:p>
            <w:pPr/>
            <w:r>
              <w:t>Paraglider Hand</w:t>
            </w:r>
          </w:p>
        </w:tc>
        <w:tc>
          <w:tcPr>
            <w:tcW w:w="0" w:type="auto"/>
          </w:tcPr>
          <w:p>
            <w:pPr/>
            <w:r>
              <w:t>Palma e dedos, com parâmetros adicionais de contexto</w:t>
            </w:r>
          </w:p>
        </w:tc>
        <w:tc>
          <w:tcPr>
            <w:tcW w:w="0" w:type="auto"/>
          </w:tcPr>
          <w:p>
            <w:pPr/>
            <w:r>
              <w:t>Escala geral da palma e ajustes por dedo</w:t>
            </w:r>
          </w:p>
        </w:tc>
        <w:tc>
          <w:tcPr>
            <w:tcW w:w="0" w:type="auto"/>
          </w:tcPr>
          <w:p>
            <w:pPr/>
            <w:r>
              <w:t>Adequado a adultos e a uma gama ampla de perfis</w:t>
            </w:r>
          </w:p>
        </w:tc>
      </w:tr>
      <w:tr>
        <w:tc>
          <w:tcPr>
            <w:tcW w:w="0" w:type="auto"/>
          </w:tcPr>
          <w:p>
            <w:pPr/>
            <w:r>
              <w:t>UnLimbited Phoenix</w:t>
            </w:r>
          </w:p>
        </w:tc>
        <w:tc>
          <w:tcPr>
            <w:tcW w:w="0" w:type="auto"/>
          </w:tcPr>
          <w:p>
            <w:pPr/>
            <w:r>
              <w:t>Largura da palma</w:t>
            </w:r>
          </w:p>
        </w:tc>
        <w:tc>
          <w:tcPr>
            <w:tcW w:w="0" w:type="auto"/>
          </w:tcPr>
          <w:p>
            <w:pPr/>
            <w:r>
              <w:t>Escala uniforme limitada por piso mínimo</w:t>
            </w:r>
          </w:p>
        </w:tc>
        <w:tc>
          <w:tcPr>
            <w:tcW w:w="0" w:type="auto"/>
          </w:tcPr>
          <w:p>
            <w:pPr/>
            <w:r>
              <w:t>Fiel ao modelo original, mas inadequado para mãos pequenas</w:t>
            </w:r>
          </w:p>
        </w:tc>
      </w:tr>
    </w:tbl>
    <w:p>
      <w:pPr/>
      <w: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r>
        <w:t>Tabela 8.3 — Rácio da maior dimensão da palma exportada face ao baseline</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Perfil</w:t>
            </w:r>
          </w:p>
        </w:tc>
        <w:tc>
          <w:tcPr>
            <w:tcW w:w="0" w:type="auto"/>
          </w:tcPr>
          <w:p>
            <w:pPr/>
            <w:r>
              <w:t>Flexy Beast</w:t>
            </w:r>
          </w:p>
        </w:tc>
        <w:tc>
          <w:tcPr>
            <w:tcW w:w="0" w:type="auto"/>
          </w:tcPr>
          <w:p>
            <w:pPr/>
            <w:r>
              <w:t>Paraglider Hand</w:t>
            </w:r>
          </w:p>
        </w:tc>
        <w:tc>
          <w:tcPr>
            <w:tcW w:w="0" w:type="auto"/>
          </w:tcPr>
          <w:p>
            <w:pPr/>
            <w:r>
              <w:t>UnLimbited Phoenix</w:t>
            </w:r>
          </w:p>
        </w:tc>
      </w:tr>
      <w:tr>
        <w:tc>
          <w:tcPr>
            <w:tcW w:w="0" w:type="auto"/>
          </w:tcPr>
          <w:p>
            <w:pPr/>
            <w:r>
              <w:t>Baseline</w:t>
            </w:r>
          </w:p>
        </w:tc>
        <w:tc>
          <w:tcPr>
            <w:tcW w:w="0" w:type="auto"/>
          </w:tcPr>
          <w:p>
            <w:pPr/>
            <w:r>
              <w:t>1,000</w:t>
            </w:r>
          </w:p>
        </w:tc>
        <w:tc>
          <w:tcPr>
            <w:tcW w:w="0" w:type="auto"/>
          </w:tcPr>
          <w:p>
            <w:pPr/>
            <w:r>
              <w:t>1,000</w:t>
            </w:r>
          </w:p>
        </w:tc>
        <w:tc>
          <w:tcPr>
            <w:tcW w:w="0" w:type="auto"/>
          </w:tcPr>
          <w:p>
            <w:pPr/>
            <w:r>
              <w:t>1,000</w:t>
            </w:r>
          </w:p>
        </w:tc>
      </w:tr>
      <w:tr>
        <w:tc>
          <w:tcPr>
            <w:tcW w:w="0" w:type="auto"/>
          </w:tcPr>
          <w:p>
            <w:pPr/>
            <w:r>
              <w:t>Criança</w:t>
            </w:r>
          </w:p>
        </w:tc>
        <w:tc>
          <w:tcPr>
            <w:tcW w:w="0" w:type="auto"/>
          </w:tcPr>
          <w:p>
            <w:pPr/>
            <w:r>
              <w:t>0,761</w:t>
            </w:r>
          </w:p>
        </w:tc>
        <w:tc>
          <w:tcPr>
            <w:tcW w:w="0" w:type="auto"/>
          </w:tcPr>
          <w:p>
            <w:pPr/>
            <w:r>
              <w:t>0,747</w:t>
            </w:r>
          </w:p>
        </w:tc>
        <w:tc>
          <w:tcPr>
            <w:tcW w:w="0" w:type="auto"/>
          </w:tcPr>
          <w:p>
            <w:pPr/>
            <w:r>
              <w:t>0,760 antes da correção; 1,000 após impor o piso</w:t>
            </w:r>
          </w:p>
        </w:tc>
      </w:tr>
      <w:tr>
        <w:tc>
          <w:tcPr>
            <w:tcW w:w="0" w:type="auto"/>
          </w:tcPr>
          <w:p>
            <w:pPr/>
            <w:r>
              <w:t>Mulher adulta</w:t>
            </w:r>
          </w:p>
        </w:tc>
        <w:tc>
          <w:tcPr>
            <w:tcW w:w="0" w:type="auto"/>
          </w:tcPr>
          <w:p>
            <w:pPr/>
            <w:r>
              <w:t>0,932</w:t>
            </w:r>
          </w:p>
        </w:tc>
        <w:tc>
          <w:tcPr>
            <w:tcW w:w="0" w:type="auto"/>
          </w:tcPr>
          <w:p>
            <w:pPr/>
            <w:r>
              <w:t>0,928</w:t>
            </w:r>
          </w:p>
        </w:tc>
        <w:tc>
          <w:tcPr>
            <w:tcW w:w="0" w:type="auto"/>
          </w:tcPr>
          <w:p>
            <w:pPr/>
            <w:r>
              <w:t>1,000</w:t>
            </w:r>
          </w:p>
        </w:tc>
      </w:tr>
      <w:tr>
        <w:tc>
          <w:tcPr>
            <w:tcW w:w="0" w:type="auto"/>
          </w:tcPr>
          <w:p>
            <w:pPr/>
            <w:r>
              <w:t>Homem adulto</w:t>
            </w:r>
          </w:p>
        </w:tc>
        <w:tc>
          <w:tcPr>
            <w:tcW w:w="0" w:type="auto"/>
          </w:tcPr>
          <w:p>
            <w:pPr/>
            <w:r>
              <w:t>1,148</w:t>
            </w:r>
          </w:p>
        </w:tc>
        <w:tc>
          <w:tcPr>
            <w:tcW w:w="0" w:type="auto"/>
          </w:tcPr>
          <w:p>
            <w:pPr/>
            <w:r>
              <w:t>1,157</w:t>
            </w:r>
          </w:p>
        </w:tc>
        <w:tc>
          <w:tcPr>
            <w:tcW w:w="0" w:type="auto"/>
          </w:tcPr>
          <w:p>
            <w:pPr/>
            <w:r>
              <w:t>1,171</w:t>
            </w:r>
          </w:p>
        </w:tc>
      </w:tr>
    </w:tbl>
    <w:p>
      <w:pPr/>
      <w: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pPr>
      <w:r>
        <w:t>8.4 Discussão dos resultados face aos objetivos</w:t>
      </w:r>
    </w:p>
    <w:p>
      <w:pPr/>
      <w: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A variabilidade estocástica da IA impede tratar uma saída isolada como prescrição fixa; a ausência de uma referência clínica direta impede afirmar precisão individual; e a lateralidade, embora correta nos ensaios, requer uma regra explícita de espelhamento para deixar de depender de inferência linguística.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pPr>
      <w:r>
        <w:t>Capítulo 9 — Conclusões e Trabalhos Futuros</w:t>
      </w:r>
    </w:p>
    <w:p>
      <w:pPr>
        <w:pStyle w:val="Heading3"/>
      </w:pPr>
      <w:r>
        <w:t>9.1 Síntese dos principais contributos</w:t>
      </w:r>
    </w:p>
    <w:p>
      <w:pPr/>
      <w: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r>
        <w:t>A validação realizada mostrou três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w:t>
      </w:r>
    </w:p>
    <w:p>
      <w:pPr>
        <w:pStyle w:val="Heading3"/>
      </w:pPr>
      <w:r>
        <w:t>9.2 Contributos para o Design Industrial</w:t>
      </w:r>
    </w:p>
    <w:p>
      <w:pPr/>
      <w: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pPr>
      <w:r>
        <w:t>9.3 Limitações e perspetivas de desenvolvimento futuro</w:t>
      </w:r>
    </w:p>
    <w:p>
      <w:pPr/>
      <w: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r>
        <w:t>A componente de IA exige desenvolvimento adicional. A lateralidade deve ser tratada por regra explícita, distinguindo mão intacta, lado amputado e orientação da prótese.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w:t>
      </w:r>
    </w:p>
    <w:p>
      <w:pPr/>
      <w: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t>hand.csv</w:t>
      </w:r>
      <w:r>
        <w:rPr>
          <w:rFonts w:ascii="Consolas" w:hAnsi="Consolas"/>
          <w:sz w:val="20"/>
        </w:rPr>
        <w:t>.</w:t>
      </w:r>
    </w:p>
    <w:p>
      <w:pPr/>
      <w:r>
        <w:t>&lt;a id="ref-1-definir-o-que-e-propriocep"&gt;&lt;/a&gt;</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id="ref-7-definir-seed-design"&gt;&lt;/a&gt;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dc:title>
  <dc:creator>Codex Markdown Exporter</dc:creator>
  <cp:lastModifiedBy>Codex Markdown Exporter</cp:lastModifiedBy>
  <dcterms:created xsi:type="dcterms:W3CDTF">2026-06-29T16:24:26Z</dcterms:created>
  <dcterms:modified xsi:type="dcterms:W3CDTF">2026-06-29T16:24:26Z</dcterms:modified>
</cp:coreProperties>
</file>