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documento:0.4.17</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89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99</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personalização em massa (</w:t>
      </w:r>
      <w:r>
        <w:rPr>
          <w:rStyle w:val="Emphasis"/>
        </w:rPr>
        <w:t>mass customization</w:t>
      </w:r>
      <w:r>
        <w:rPr/>
        <w:t>) e personalização individualizada em escala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de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A materialização dos modelos foi realizada por impressão 3D numa Bambu Lab A1 com AMS. A Bambu Lab A1 é uma impressora 3D de extrusão de filamento, adequada à produção rápida de protótipos em materiais termoplásticos. O sistema AMS, associado à impressora,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8"/>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8"/>
      <w:r>
        <w:commentReference w:id="18"/>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9"/>
      <w:r>
        <w:rPr>
          <w:i/>
          <w:iCs/>
          <w:shd w:fill="FFFF00" w:val="clear"/>
          <w:lang w:val="pt-PT"/>
        </w:rPr>
        <w:t>data-driven</w:t>
      </w:r>
      <w:r>
        <w:rPr>
          <w:i/>
          <w:iCs/>
          <w:shd w:fill="FFFF00" w:val="clear"/>
          <w:lang w:val="pt-PT"/>
        </w:rPr>
      </w:r>
      <w:commentRangeEnd w:id="19"/>
      <w:r>
        <w:commentReference w:id="19"/>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0"/>
      <w:r>
        <w:rPr>
          <w:i/>
          <w:iCs/>
          <w:lang w:val="pt-PT"/>
        </w:rPr>
        <w:t>human-in-the-loop.</w:t>
      </w:r>
      <w:r>
        <w:rPr>
          <w:i/>
          <w:iCs/>
          <w:lang w:val="pt-PT"/>
        </w:rPr>
      </w:r>
      <w:commentRangeEnd w:id="20"/>
      <w:r>
        <w:commentReference w:id="20"/>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1"/>
      <w:r>
        <w:commentReference w:id="21"/>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2"/>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no PrusaSlicer 2.9.6 e no Bambu Studio, e impressas nos materiais definidos na metodologia numa Bambu Lab A1 com AMS,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pStyle w:val="Normal"/>
        <w:bidi w:val="0"/>
        <w:jc w:val="left"/>
        <w:rPr>
          <w:lang w:val="pt-PT"/>
        </w:rPr>
      </w:pPr>
      <w:r>
        <w:rP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