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t>Versão do documento:0.4.19</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AMS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Automatic Material System; sistema automático de alimentação de filamento usado em impressoras Bambu Lab.</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rPr/>
      </w:pPr>
      <w:r>
        <w:rPr/>
        <w:t>Lista de tabelas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Papéis dos profissionais de saúde no desenvolvimento de dispositivos médicos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Elementos centrais na configuração da participação em sistemas configuráveis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Principais parâmetros antropométricos da mão e do membro superior relevantes para modelação paramétrica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Conjuntos mínimos de parâmetros por nível de amputação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Métodos de recolha de dados antropométricos e suas características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Fontes integradas na base local de dados antropométricos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hierárquica dos parâmetros no modelo paramétrico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Mapeamento entre parâmetros antropométricos e elementos do modelo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técnica em camadas de um modelo paramétrico em OpenSCAD para próteses personalizadas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dos resultados da validação por impressão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Entradas/prompt utilizadas para criação dos perfis de validação antropométrica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da validação antropométrica assistida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Modelos e mecanismos de escala avaliados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Rácio adimensional da maior dimensão da palma exportada face ao baseline</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103</w:t>
            </w:r>
          </w:p>
        </w:tc>
      </w:tr>
    </w:tbl>
    <w:p>
      <w:pPr>
        <w:pStyle w:val="Normal"/>
        <w:rPr/>
      </w:pPr>
      <w:r>
        <w:rPr/>
      </w:r>
    </w:p>
    <w:p>
      <w:pPr>
        <w:pStyle w:val="Heading2"/>
        <w:rPr/>
      </w:pPr>
      <w:r>
        <w:rPr/>
        <w:t>Lista de figuras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1.1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e dispositivos associados à fabricação aditiva em contexto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de membro superior impressas em 3D, ilustrando diversidade tipológica e construtiva.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Utilização, rejeição primária e rejeição secundária de próteses do membro superior adquiridas.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digital entre aquisição, CAD/CAM e fabricação aditiva em próteses e ortóteses.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configurador digital para personalização de uma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Marcos anatómicos e medidas de referência da mão para fins de personalização.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Enquadramento de um fluxo de CAD assistido por IA para desenvolvimento de produto.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29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 de processo para configurar participação em ecossistemas de inovação e cocriação.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2.8</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39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Processo interdisciplinar de desenvolvimento de uma prótese de membro superior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44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recolha dimensional para ajuste de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Parâmetros antropométricos utilizados na modelação paramétrica de dedos protésicos.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Comparação entre o escalonamento uniforme e a modelação paramétrica de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55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Relação entre modelo paramétrico digital, prototipagem e verificação de um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65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plataforma web – Hand Fab</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digitalização, CAD adaptativo e fabrico aditivo.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Ferramenta paramétrica para configuração de ajudas técnicas com variação de dimensões, materiais e peso.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77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6.1</w:t>
            </w:r>
          </w:p>
        </w:tc>
        <w:tc>
          <w:tcPr>
            <w:tcW w:w="672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compreensão dos sistemas de IA e princípios de IA responsável.</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89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7.1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Teste de uma prótese impressa em 3D com utilizador em contexto aplicado.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Tarefas funcionais usadas em avaliação de prótese personalizada de membro superior.</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99</w:t>
            </w:r>
          </w:p>
        </w:tc>
      </w:tr>
    </w:tbl>
    <w:p>
      <w:pPr>
        <w:pStyle w:val="Normal"/>
        <w:rPr/>
      </w:pPr>
      <w:r>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de projeto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9"/>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6"/>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personalização em massa (</w:t>
      </w:r>
      <w:r>
        <w:rPr>
          <w:rStyle w:val="Emphasis"/>
        </w:rPr>
        <w:t>mass customization</w:t>
      </w:r>
      <w:r>
        <w:rPr/>
        <w:t>) e personalização individualizada em escala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10"/>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1"/>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w:t>
      </w:r>
    </w:p>
    <w:p>
      <w:pPr>
        <w:pStyle w:val="Normal"/>
        <w:bidi w:val="0"/>
        <w:jc w:val="left"/>
        <w:rPr>
          <w:lang w:val="pt-PT"/>
        </w:rPr>
      </w:pPr>
      <w:r>
        <w:rPr/>
        <w:t>A força reside na capacidade de lidar com informação complexa, heterogénea e volumosa. A fragilidade reside no facto de o sistema depender dos dados com que foi treinado, podendo reproduzir enviesamentos, simplificações e erros já presentes nesses dados.</w:t>
      </w:r>
      <w:r>
        <w:rPr>
          <w:lang w:val="pt-PT"/>
        </w:rPr>
        <w:t xml:space="preserve">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 xml:space="preserve">Em domínios como a reabilitação e as tecnologias de assistência, a personalização é frequentemente descrita como uma necessidade funcional, e não apenas como uma diferenciação de mercado. Isso significa que a adequação do produto ao utilizador </w:t>
      </w:r>
      <w:r>
        <w:rPr/>
        <w:t>pode ser determinante para a segurança, a usabilidade e a adoção sustentada, deslocando o foco do design de uma solução “média” para sistemas capazes de acomodar diferenças individuais de forma controlada.</w:t>
      </w:r>
      <w:r>
        <w:rPr>
          <w:lang w:val="pt-PT"/>
        </w:rPr>
        <w:t>(Fischer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BodyText"/>
        <w:bidi w:val="0"/>
        <w:jc w:val="left"/>
        <w:rPr>
          <w:highlight w:val="none"/>
          <w:shd w:fill="FFFF00" w:val="clear"/>
          <w:lang w:val="pt-PT"/>
        </w:rPr>
      </w:pPr>
      <w:r>
        <w:rPr>
          <w:shd w:fill="auto" w:val="clear"/>
          <w:lang w:val="pt-PT"/>
        </w:rPr>
        <w:t xml:space="preserve">Um enquadramento conceptual relevante para compreender os sistemas configuráveis é o dos </w:t>
      </w:r>
      <w:r>
        <w:rPr>
          <w:rStyle w:val="Emphasis"/>
          <w:shd w:fill="auto" w:val="clear"/>
          <w:lang w:val="pt-PT"/>
        </w:rPr>
        <w:t>toolkits for user innovation</w:t>
      </w:r>
      <w:r>
        <w:rPr>
          <w:shd w:fill="auto" w:val="clear"/>
          <w:lang w:val="pt-PT"/>
        </w:rPr>
        <w:t>. Este conceito refere-se a conjuntos estruturados de ferramentas, regras e mecanismos de feedback que permitem aos utilizadores participar diretamente na definição ou adaptação de produtos, sem assumirem a totalidade do processo técnico de desenvolvimento. Nestes sistemas, parte do trabalho de tradução das necessidades individuais é deslocada para o utilizador, enquanto fabricantes, designers ou especialistas mantêm responsabilidade sobre tarefas críticas de resolução técnica, produção, validação e controlo de qualidade.</w:t>
      </w:r>
    </w:p>
    <w:p>
      <w:pPr>
        <w:pStyle w:val="BodyText"/>
        <w:bidi w:val="0"/>
        <w:jc w:val="left"/>
        <w:rPr>
          <w:highlight w:val="none"/>
          <w:shd w:fill="FFFF00" w:val="clear"/>
          <w:lang w:val="pt-PT"/>
        </w:rPr>
      </w:pPr>
      <w:r>
        <w:rPr>
          <w:shd w:fill="auto" w:val="clear"/>
          <w:lang w:val="pt-PT"/>
        </w:rPr>
        <w:t xml:space="preserve">Esta abordagem permite distinguir configuradores, centrados sobretudo na seleção entre opções previamente definidas, de </w:t>
      </w:r>
      <w:r>
        <w:rPr>
          <w:rStyle w:val="Emphasis"/>
          <w:shd w:fill="auto" w:val="clear"/>
          <w:lang w:val="pt-PT"/>
        </w:rPr>
        <w:t>toolkits</w:t>
      </w:r>
      <w:r>
        <w:rPr>
          <w:shd w:fill="auto" w:val="clear"/>
          <w:lang w:val="pt-PT"/>
        </w:rPr>
        <w:t>, que oferecem ao utilizador a possibilidade de criar ou ajustar soluções dentro de um espaço de projeto delimitado por regras, parâmetros e feedback operacional (Franke &amp; Hippel, 2002 (#ref-franke-2002); Hippel &amp; Katz, 2002 (#ref-hippel-2002)).</w:t>
      </w:r>
    </w:p>
    <w:p>
      <w:pPr>
        <w:pStyle w:val="BodyText"/>
        <w:rPr>
          <w:highlight w:val="none"/>
          <w:shd w:fill="auto" w:val="clear"/>
          <w:lang w:val="pt-PT"/>
        </w:rPr>
      </w:pPr>
      <w:r>
        <w:rPr>
          <w:shd w:fill="auto" w:val="clear"/>
          <w:lang w:val="pt-PT"/>
        </w:rPr>
        <w:t>O meta-design aprofunda esta lógica ao deslocar o foco do projeto de uma solução fechada para a criação das condições que permitem a sua evolução posterior. Neste enquadramento, o papel do designer não se limita à definição inicial do artefacto ou da interface, mas inclui a construção de ambientes, ferramentas e estruturas sociais que possibilitam a participação ativa dos utilizadores ao longo do tempo. O meta-design pode, assim, ser entendido como uma abordagem em que se projeta o próprio sistema de adaptação: em vez de antecipar todas as necessidades futuras, cria-se uma infraestrutura que permite aos utilizadores, técnicos ou comunidades ajustar, expandir e reconfigurar a solução em contexto de uso.</w:t>
      </w:r>
    </w:p>
    <w:p>
      <w:pPr>
        <w:pStyle w:val="BodyText"/>
        <w:rPr>
          <w:lang w:val="pt-PT"/>
        </w:rPr>
      </w:pPr>
      <w:r>
        <w:rPr>
          <w:shd w:fill="auto" w:val="clear"/>
          <w:lang w:val="pt-PT"/>
        </w:rPr>
        <w:t xml:space="preserve">O modelo </w:t>
      </w:r>
      <w:r>
        <w:rPr>
          <w:rStyle w:val="Emphasis"/>
          <w:shd w:fill="auto" w:val="clear"/>
          <w:lang w:val="pt-PT"/>
        </w:rPr>
        <w:t>Seeding, Evolutionary Growth, and Reseeding</w:t>
      </w:r>
      <w:r>
        <w:rPr>
          <w:shd w:fill="auto" w:val="clear"/>
          <w:lang w:val="pt-PT"/>
        </w:rPr>
        <w:t xml:space="preserve"> formaliza este processo em três momentos articulados. A fase de </w:t>
      </w:r>
      <w:r>
        <w:rPr>
          <w:rStyle w:val="Emphasis"/>
          <w:shd w:fill="auto" w:val="clear"/>
          <w:lang w:val="pt-PT"/>
        </w:rPr>
        <w:t>seeding</w:t>
      </w:r>
      <w:r>
        <w:rPr>
          <w:shd w:fill="auto" w:val="clear"/>
          <w:lang w:val="pt-PT"/>
        </w:rPr>
        <w:t xml:space="preserve"> corresponde à criação de uma estrutura inicial suficientemente robusta para orientar a utilização, mas suficientemente aberta para permitir desenvolvimento posterior. A fase de </w:t>
      </w:r>
      <w:r>
        <w:rPr>
          <w:rStyle w:val="Emphasis"/>
          <w:shd w:fill="auto" w:val="clear"/>
          <w:lang w:val="pt-PT"/>
        </w:rPr>
        <w:t>evolutionary growth</w:t>
      </w:r>
      <w:r>
        <w:rPr>
          <w:shd w:fill="auto" w:val="clear"/>
          <w:lang w:val="pt-PT"/>
        </w:rPr>
        <w:t xml:space="preserve"> corresponde ao crescimento do sistema através das adaptações, usos e contribuições dos utilizadores. Por fim, a fase de </w:t>
      </w:r>
      <w:r>
        <w:rPr>
          <w:rStyle w:val="Emphasis"/>
          <w:shd w:fill="auto" w:val="clear"/>
          <w:lang w:val="pt-PT"/>
        </w:rPr>
        <w:t>reseeding</w:t>
      </w:r>
      <w:r>
        <w:rPr>
          <w:shd w:fill="auto" w:val="clear"/>
          <w:lang w:val="pt-PT"/>
        </w:rPr>
        <w:t xml:space="preserve"> implica a reorganização periódica dessas contribuições, consolidando aprendizagens, corrigindo inconsistências e reestruturando o sistema para novos ciclos de utilização e desenvolvimento</w:t>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2"/>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Heading3"/>
        <w:bidi w:val="0"/>
        <w:jc w:val="left"/>
        <w:rPr>
          <w:lang w:val="pt-PT"/>
        </w:rPr>
      </w:pPr>
      <w:r>
        <w:rPr>
          <w:lang w:val="pt-PT"/>
        </w:rPr>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 xml:space="preserve">Na reabilitação, plataformas de </w:t>
      </w:r>
      <w:r>
        <w:rPr>
          <w:i/>
          <w:iCs/>
          <w:lang w:val="pt-PT"/>
        </w:rPr>
        <w:t>virtual coaching</w:t>
      </w:r>
      <w:r>
        <w:rPr>
          <w:rStyle w:val="FootnoteReference"/>
          <w:i/>
          <w:iCs/>
          <w:lang w:val="pt-PT"/>
        </w:rPr>
        <w:footnoteReference w:id="13"/>
      </w:r>
      <w:r>
        <w:rPr>
          <w:lang w:val="pt-PT"/>
        </w:rPr>
        <w:t xml:space="preserve">, </w:t>
      </w:r>
      <w:r>
        <w:rPr>
          <w:i/>
          <w:iCs/>
          <w:lang w:val="pt-PT"/>
        </w:rPr>
        <w:t>serious games</w:t>
      </w:r>
      <w:r>
        <w:rPr>
          <w:rStyle w:val="FootnoteReference"/>
          <w:i/>
          <w:iCs/>
          <w:lang w:val="pt-PT"/>
        </w:rPr>
        <w:footnoteReference w:id="14"/>
      </w:r>
      <w:r>
        <w:rPr>
          <w:lang w:val="pt-PT"/>
        </w:rPr>
        <w:t xml:space="preserve"> configuráveis e modelos de cocriação tecnológica são apresentados como formas de personalizar os tratamentos com base no estado clínico, nos objetivos terapêuticos e no </w:t>
      </w:r>
      <w:r>
        <w:rPr>
          <w:i/>
          <w:iCs/>
          <w:lang w:val="pt-PT"/>
        </w:rPr>
        <w:t>feedback</w:t>
      </w:r>
      <w:r>
        <w:rPr>
          <w:lang w:val="pt-PT"/>
        </w:rPr>
        <w:t xml:space="preserve">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w:t>
      </w:r>
    </w:p>
    <w:p>
      <w:pPr>
        <w:pStyle w:val="Normal"/>
        <w:bidi w:val="0"/>
        <w:jc w:val="left"/>
        <w:rPr>
          <w:lang w:val="pt-PT"/>
        </w:rPr>
      </w:pPr>
      <w:r>
        <w:rPr/>
        <w:t>Estudos sobre próteses pediátricas, serviços de reabilitação e modelos como o Victoria Hand Project mostram que a personalização pode combinar prototipagem iterativa, módulos intercambiáveis, criação digital de encaixes e circulação de feedback entre contextos clínicos locais e equipas técnicas responsáveis pela coordenação e desenvolvimento do sistema.</w:t>
      </w:r>
    </w:p>
    <w:p>
      <w:pPr>
        <w:pStyle w:val="Normal"/>
        <w:bidi w:val="0"/>
        <w:jc w:val="left"/>
        <w:rPr>
          <w:lang w:val="pt-PT"/>
        </w:rPr>
      </w:pPr>
      <w:r>
        <w:rPr>
          <w:lang w:val="pt-PT"/>
        </w:rPr>
        <w:t>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auto" w:val="clear"/>
          <w:lang w:val="pt-PT"/>
        </w:rPr>
        <w:t>por nível de prontidão tecnológica, ou Technology Readiness Level (TRL)</w:t>
      </w:r>
      <w:r>
        <w:rPr>
          <w:rStyle w:val="FootnoteReference"/>
          <w:shd w:fill="FFFF00" w:val="clear"/>
          <w:lang w:val="pt-PT"/>
        </w:rPr>
        <w:footnoteReference w:id="15"/>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5"/>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6"/>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3"/>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4"/>
      </w:r>
    </w:p>
    <w:p>
      <w:pPr>
        <w:pStyle w:val="Heading3"/>
        <w:bidi w:val="0"/>
        <w:jc w:val="left"/>
        <w:rPr>
          <w:lang w:val="pt-PT"/>
        </w:rPr>
      </w:pPr>
      <w:r>
        <w:rPr>
          <w:lang w:val="pt-PT"/>
        </w:rPr>
        <w:t>3.4 Métodos de recolha e análise de dados</w:t>
      </w:r>
    </w:p>
    <w:p>
      <w:pPr>
        <w:pStyle w:val="Heading3"/>
        <w:bidi w:val="0"/>
        <w:jc w:val="left"/>
        <w:rPr>
          <w:lang w:val="pt-PT"/>
        </w:rPr>
      </w:pPr>
      <w:r>
        <w:rPr>
          <w:lang w:val="pt-PT"/>
        </w:rPr>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5"/>
      </w:r>
      <w:r>
        <w:rPr>
          <w:lang w:val="pt-PT"/>
        </w:rPr>
        <w:t>. Estes dados são analisados de forma iterativa, permitindo reformular o modelo paramétrico e otimizar o seu desempenho.</w:t>
      </w:r>
    </w:p>
    <w:p>
      <w:pPr>
        <w:pStyle w:val="Normal"/>
        <w:bidi w:val="0"/>
        <w:jc w:val="left"/>
        <w:rPr>
          <w:lang w:val="pt-PT"/>
        </w:rPr>
      </w:pPr>
      <w:r>
        <w:rPr/>
        <w:t xml:space="preserve">Na fase de prototipagem, a análise incide sobre os critérios de exequibilidade de fabrico, robustez estrutural preliminar, coerência dimensional, facilidade de montagem e comportamento material inicial. Os modelos exportados a partir dos testes de perfil foram preparados para fabrico digital em dois programas de preparação para impressão 3D: PrusaSlicer 2.9.6 e Bambu Studio. Estes programas permitem converter o modelo tridimensional num conjunto de instruções interpretáveis pela impressora, definindo parâmetros como orientação da peça, altura de camada, preenchimento interno, suportes, temperaturas, velocidades e trajetórias de deposição do material. A utilização de dois ambientes de preparação permitiu verificar a compatibilidade dos ficheiros exportados e observar eventuais diferenças na interpretação da geometria antes da produção física.</w:t>
      </w:r>
    </w:p>
    <w:p>
      <w:pPr>
        <w:pStyle w:val="BodyText"/>
        <w:rPr/>
      </w:pPr>
      <w:r>
        <w:rPr/>
        <w:t xml:space="preserve">A materialização dos modelos foi realizada em duas impressoras FDM: Bambu Lab A1 com AMS e Prusa Mini. Os testes de impressão usaram o mesmo perfil de base criado na plataforma, alterando-se a idade como variável controlada para produzir variações dimensionais comparáveis entre configurações. Ambas são impressoras 3D de extrusão de filamento, adequadas à produção rápida de protótipos em materiais termoplásticos. O sistema AMS, associado à Bambu Lab A1, permite gerir automaticamente vários rolos de filamento, facilitando a alternância entre materiais ou cores durante o processo de impressão.</w:t>
      </w:r>
    </w:p>
    <w:p>
      <w:pPr>
        <w:pStyle w:val="BodyText"/>
        <w:rPr/>
      </w:pPr>
      <w:r>
        <w:rPr/>
        <w:t>Foram utilizados dois materiais: PLA e PETG. O PLA foi selecionado por ser rígido, estável, económico e adequado à verificação rápida da geometria, permitindo avaliar dimensões gerais, encaixes preliminares e coerência formal. O PETG foi utilizado como alternativa mais resistente e menos frágil, permitindo observar o comportamento dos componentes em situações de manipulação, encaixe e montagem preliminar. Esta comparação permitiu verificar se a geometria gerada pelo sistema permanecia compatível com a preparação para impressão 3D, com a manipulação física dos componentes e com a transição do ambiente digital para o objeto materializado.</w:t>
      </w:r>
    </w:p>
    <w:p>
      <w:pPr>
        <w:pStyle w:val="Normal"/>
        <w:bidi w:val="0"/>
        <w:jc w:val="left"/>
        <w:rPr>
          <w:lang w:val="pt-PT"/>
        </w:rPr>
      </w:pPr>
      <w:r>
        <w:rPr/>
        <w:t>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7"/>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6"/>
      <w:r>
        <w:rPr>
          <w:lang w:val="pt-PT"/>
        </w:rPr>
        <w:t xml:space="preserve">s OpenSCAD/WebAssembly </w:t>
      </w:r>
      <w:r>
        <w:rPr>
          <w:lang w:val="pt-PT"/>
        </w:rPr>
      </w:r>
      <w:commentRangeEnd w:id="6"/>
      <w:r>
        <w:commentReference w:id="6"/>
      </w:r>
      <w:r>
        <w:rPr>
          <w:lang w:val="pt-PT"/>
        </w:rPr>
        <w:t xml:space="preserve">e se os ficheiros </w:t>
      </w:r>
      <w:commentRangeStart w:id="7"/>
      <w:r>
        <w:rPr>
          <w:lang w:val="pt-PT"/>
        </w:rPr>
        <w:t>3MF e STL</w:t>
      </w:r>
      <w:r>
        <w:rPr>
          <w:lang w:val="pt-PT"/>
        </w:rPr>
      </w:r>
      <w:commentRangeEnd w:id="7"/>
      <w:r>
        <w:commentReference w:id="7"/>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8"/>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8"/>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20"/>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personalização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2"/>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9"/>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9"/>
      <w:r>
        <w:commentReference w:id="9"/>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0"/>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0"/>
      <w:r>
        <w:commentReference w:id="10"/>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1"/>
      <w:r>
        <w:rPr>
          <w:lang w:val="pt-PT"/>
        </w:rPr>
        <w:t>ivamente técnica (Peixoto et al., 2025 (#ref-peixoto-2025)).</w:t>
      </w:r>
      <w:commentRangeEnd w:id="11"/>
      <w:r>
        <w:commentReference w:id="11"/>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24"/>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descr="Image 15"/>
                    <pic:cNvPicPr>
                      <a:picLocks noChangeAspect="1" noChangeArrowheads="1"/>
                    </pic:cNvPicPr>
                  </pic:nvPicPr>
                  <pic:blipFill>
                    <a:blip r:embed="rId25"/>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5.2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 xml:space="preserve">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w:t>
      </w:r>
      <w:r>
        <w:rPr/>
        <w:t>Neste sentido, a arquitetura traduz uma opção por robustez e capacidade de expansão controlada, ao articular os diferentes componentes numa estrutura técnica coerente com os requisitos de personalização assistida, gestão multiutilizador e evolução futura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5.3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descr="Image 16"/>
                    <pic:cNvPicPr>
                      <a:picLocks noChangeAspect="1" noChangeArrowheads="1"/>
                    </pic:cNvPicPr>
                  </pic:nvPicPr>
                  <pic:blipFill>
                    <a:blip r:embed="rId27"/>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5.3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2"/>
      <w:r>
        <w:rPr>
          <w:lang w:val="pt-PT"/>
        </w:rPr>
        <w:t>STL ou 3MF</w:t>
      </w:r>
      <w:r>
        <w:rPr>
          <w:lang w:val="pt-PT"/>
        </w:rPr>
      </w:r>
      <w:commentRangeEnd w:id="12"/>
      <w:r>
        <w:commentReference w:id="12"/>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6"/>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7"/>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3"/>
      <w:r>
        <w:rPr>
          <w:lang w:val="pt-PT"/>
        </w:rPr>
        <w:t>No caso do Paraglider Hand, também conhecido como Flexible Flyer, a integração partiu de uma mão mecânica acionada pelo corpo, derivada da linhagem Phoenix e UnLimbited.</w:t>
      </w:r>
      <w:r>
        <w:rPr>
          <w:lang w:val="pt-PT"/>
        </w:rPr>
      </w:r>
      <w:commentRangeEnd w:id="13"/>
      <w:r>
        <w:commentReference w:id="13"/>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4"/>
      <w:r>
        <w:rPr>
          <w:lang w:val="pt-PT"/>
        </w:rPr>
        <w:t>parâmetros de hardware</w:t>
      </w:r>
      <w:r>
        <w:rPr>
          <w:lang w:val="pt-PT"/>
        </w:rPr>
      </w:r>
      <w:commentRangeEnd w:id="14"/>
      <w:r>
        <w:commentReference w:id="14"/>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5"/>
      <w:r>
        <w:rPr>
          <w:lang w:val="pt-PT"/>
        </w:rPr>
        <w:t>SQLite</w:t>
      </w:r>
      <w:r>
        <w:rPr>
          <w:lang w:val="pt-PT"/>
        </w:rPr>
      </w:r>
      <w:commentRangeEnd w:id="15"/>
      <w:r>
        <w:commentReference w:id="15"/>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6"/>
      <w:r>
        <w:rPr>
          <w:lang w:val="pt-PT"/>
        </w:rPr>
        <w:t>IA</w:t>
      </w:r>
      <w:r>
        <w:rPr>
          <w:lang w:val="pt-PT"/>
        </w:rPr>
      </w:r>
      <w:commentRangeEnd w:id="16"/>
      <w:r>
        <w:commentReference w:id="16"/>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17"/>
      <w:r>
        <w:rPr>
          <w:lang w:val="pt-PT"/>
        </w:rPr>
        <w:t>EMG</w:t>
      </w:r>
      <w:r>
        <w:rPr>
          <w:lang w:val="pt-PT"/>
        </w:rPr>
      </w:r>
      <w:commentRangeEnd w:id="17"/>
      <w:r>
        <w:commentReference w:id="17"/>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Neste enquadramento, a IA é tratada como camada complementar de apoio à configuração, operando sobre uma base paramétrica já definida. A literatura sobre próteses parametrizadas, dedos protésicos personalizados e encaixes transradiais confirma a utilidade de modelos explícitos e ajustáveis; neste sistema, esse princípio é retomado sem atribuir à IA a geração autónoma da geometria (da Silveira Romero et al., 2025 (#ref-da-silveira-romero-2025); Lim et al., 2018 (#ref-lim-2018); Saldarriaga et al., 2024 (#ref-saldarriaga-2024)).</w:t>
      </w:r>
      <w:r>
        <w:rPr/>
        <w:t/>
      </w:r>
      <w:r>
        <w:rPr>
          <w:lang w:val="pt-PT"/>
        </w:rPr>
        <w:t/>
      </w:r>
      <w:commentRangeStart w:id="18"/>
      <w:r>
        <w:rPr>
          <w:shd w:fill="FFFF00" w:val="clear"/>
          <w:lang w:val="pt-PT"/>
        </w:rPr>
        <w:t/>
      </w:r>
      <w:commentRangeEnd w:id="18"/>
      <w:r>
        <w:commentReference w:id="18"/>
      </w:r>
      <w:r>
        <w:rPr>
          <w:shd w:fill="FFFF00" w:val="clear"/>
          <w:lang w:val="pt-PT"/>
        </w:rPr>
      </w:r>
    </w:p>
    <w:p>
      <w:pPr>
        <w:pStyle w:val="Normal"/>
        <w:bidi w:val="0"/>
        <w:jc w:val="left"/>
        <w:rPr>
          <w:lang w:val="pt-PT"/>
        </w:rPr>
      </w:pPr>
      <w:r>
        <w:rPr>
          <w:lang w:val="pt-PT"/>
        </w:rPr>
        <w:t>A sua função específica é mediar a passagem entre dados de entrada e exploração inicial do espaço paramétrico: sugere valores plausíveis, sinaliza dependências e reduz a complexidade da configuração manual, sem substituir interpretação humana nem validação técnica. Esta posição aproxima-se de abordagens data-driven orientadas à adaptação estrutural e ao conforto (Gu et al., 2024 (#ref-gu-2024)).</w:t>
      </w:r>
      <w:r>
        <w:rPr>
          <w:shd w:fill="FFFF00" w:val="clear"/>
          <w:lang w:val="pt-PT"/>
        </w:rPr>
        <w:t/>
      </w:r>
      <w:commentRangeStart w:id="19"/>
      <w:r>
        <w:rPr>
          <w:i/>
          <w:iCs/>
          <w:shd w:fill="FFFF00" w:val="clear"/>
          <w:lang w:val="pt-PT"/>
        </w:rPr>
        <w:t/>
      </w:r>
      <w:r>
        <w:rPr>
          <w:i/>
          <w:iCs/>
          <w:shd w:fill="FFFF00" w:val="clear"/>
          <w:lang w:val="pt-PT"/>
        </w:rPr>
      </w:r>
      <w:commentRangeEnd w:id="19"/>
      <w:r>
        <w:commentReference w:id="19"/>
      </w:r>
      <w:r>
        <w:rPr>
          <w:lang w:val="pt-PT"/>
        </w:rPr>
        <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descrita no capítulo anterior: a interface, a lógica paramétrica, a renderização local e a chamada à IA mantêm funções separadas. A IA reforça um processo já estruturado por regras, fabrico e responsabilidade humana, em vez de prometer automatização total (Romero et al., 2025 (#ref-da-silveira-romero-2025); Elbreki et al., 2022 (#ref-elbreki-2022); Idris et al., 2024 (#ref-idris-2024)).</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personalização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É por isso que, nesta investigação, a personalização assistida por IA deve ser entendida como uma prática de human-in-the-loop. O sistema procura ampliar a capacidade de análise e exploração do protesista, do designer ou do utilizador informado: sugere configurações iniciais, organiza alternativas e explicita dependências, mas a aceitação final continua dependente de verificação técnica e julgamento contextual.</w:t>
      </w:r>
      <w:commentRangeStart w:id="20"/>
      <w:r>
        <w:rPr>
          <w:i/>
          <w:iCs/>
          <w:lang w:val="pt-PT"/>
        </w:rPr>
        <w:t/>
      </w:r>
      <w:r>
        <w:rPr>
          <w:i/>
          <w:iCs/>
          <w:lang w:val="pt-PT"/>
        </w:rPr>
      </w:r>
      <w:commentRangeEnd w:id="20"/>
      <w:r>
        <w:commentReference w:id="20"/>
      </w:r>
      <w:r>
        <w:rPr/>
        <w:t/>
      </w:r>
      <w:r>
        <w:rPr>
          <w:lang w:val="pt-PT"/>
        </w:rPr>
        <w:t/>
      </w:r>
      <w:r>
        <w:rPr/>
        <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1"/>
      <w:r>
        <w:rPr>
          <w:lang w:val="pt-PT"/>
        </w:rPr>
        <w:t>O protocolo considerou dois grupos de perfis: cinco descrições apenas demográficas ou contextuais e três cenários de amputação unilateral com diferentes níveis de medição. A função desta secção é delimitar o desenho do ensaio; os resultados detalhados, incluindo a resposta a entradas completas, parciais ou apenas demográficas, são apresentados na Secção 8.2.</w:t>
      </w:r>
      <w:r>
        <w:rPr>
          <w:lang w:val="pt-PT"/>
        </w:rPr>
      </w:r>
      <w:commentRangeEnd w:id="21"/>
      <w:r>
        <w:commentReference w:id="21"/>
      </w:r>
      <w:r>
        <w:rPr>
          <w:lang w:val="pt-PT"/>
        </w:rPr>
        <w:t/>
      </w:r>
      <w:r>
        <w:rPr/>
        <w:t/>
      </w:r>
    </w:p>
    <w:p>
      <w:pPr>
        <w:pStyle w:val="Normal"/>
        <w:bidi w:val="0"/>
        <w:jc w:val="left"/>
        <w:rPr>
          <w:lang w:val="pt-PT"/>
        </w:rPr>
      </w:pPr>
      <w:r>
        <w:rPr>
          <w:lang w:val="pt-PT"/>
        </w:rPr>
        <w:t>A verificação prolongou-se depois da resposta numérica até à exportação dos modelos em STL e 3MF, etapa necessária para confirmar a continuidade entre sugestão paramétrica e geometria produzida.</w:t>
      </w:r>
    </w:p>
    <w:p>
      <w:pPr>
        <w:pStyle w:val="Normal"/>
        <w:bidi w:val="0"/>
        <w:jc w:val="left"/>
        <w:rPr>
          <w:lang w:val="pt-PT"/>
        </w:rPr>
      </w:pPr>
      <w:r>
        <w:rPr>
          <w:lang w:val="pt-PT"/>
        </w:rPr>
        <w:t>Essa etapa incidiu sobre os três modelos ativos da plataforma - Flexy Beast, Paraglider Hand e UnLimbited Phoenix - e os seus resultados são analisados na Secção 8.3.</w:t>
      </w:r>
      <w:r>
        <w:rPr/>
        <w:commentReference w:id="22"/>
      </w:r>
      <w:r>
        <w:rPr>
          <w:lang w:val="pt-PT"/>
        </w:rPr>
        <w:t/>
      </w:r>
    </w:p>
    <w:p>
      <w:pPr>
        <w:pStyle w:val="Normal"/>
        <w:bidi w:val="0"/>
        <w:jc w:val="left"/>
        <w:rPr>
          <w:lang w:val="pt-PT"/>
        </w:rPr>
      </w:pPr>
      <w:r>
        <w:rPr>
          <w:lang w:val="pt-PT"/>
        </w:rPr>
        <w:t>A lateralidade foi incluída no protocolo como critério crítico, mas a descrição completa da falha observada e da correção determinística fica concentrada na Secção 8.2. Esta opção evita duplicar aqui a narrativa dos resultados e mantém a Secção 6.3 centrada no desenho da validação e nos seus limites.</w:t>
      </w:r>
      <w:r>
        <w:rPr/>
        <w:t/>
      </w:r>
    </w:p>
    <w:p>
      <w:pPr>
        <w:pStyle w:val="Normal"/>
        <w:bidi w:val="0"/>
        <w:jc w:val="left"/>
        <w:rPr>
          <w:lang w:val="pt-PT"/>
        </w:rPr>
      </w:pPr>
      <w:r>
        <w:rPr>
          <w:lang w:val="pt-PT"/>
        </w:rPr>
        <w:t>Deste modo, esta secção estabelece o alcance metodológico da validação antropométrica assistida por IA: verificar consistência interna, continuidade entre linguagem natural e parâmetros, e necessidade de revisão humana antes de qualquer utilização funcional ou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 (Panchal et al., 2019 (#ref-panchal-2019); Yüksel et al., 2023 (#ref-yuksel-2023)).</w:t>
      </w:r>
      <w:r>
        <w:rPr/>
        <w:t/>
      </w:r>
      <w:r>
        <w:rPr>
          <w:lang w:val="pt-PT"/>
        </w:rPr>
        <w:t/>
      </w:r>
    </w:p>
    <w:p>
      <w:pPr>
        <w:pStyle w:val="Normal"/>
        <w:bidi w:val="0"/>
        <w:jc w:val="left"/>
        <w:rPr>
          <w:lang w:val="pt-PT"/>
        </w:rPr>
      </w:pPr>
      <w:r>
        <w:rPr>
          <w:lang w:val="pt-PT"/>
        </w:rPr>
        <w:t>A Figura 6.1 sintetiza a relação entre os desafios de tornar os sistemas de IA compreensíveis e os princípios de IA responsável. No contexto desta investigação, a figura é útil porque evidencia que a responsabilidade em sistemas de IA resulta da articulação entre desempenho preditivo, transparência, possibilidade de verificação, privacidade, justiça e prestação de contas. Estes princípios reforçam a opção do sistema por uma IA de apoio, limitada por regras e sujeita a revisão humana (Barredo Arrieta et al., 2020 (#ref-arrieta-2020)).</w:t>
      </w:r>
      <w:r>
        <w:rPr/>
        <w:t/>
      </w:r>
      <w:r>
        <w:rPr>
          <w:lang w:val="pt-PT"/>
        </w:rPr>
        <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descr="Image 17"/>
                    <pic:cNvPicPr>
                      <a:picLocks noChangeAspect="1" noChangeArrowheads="1"/>
                    </pic:cNvPicPr>
                  </pic:nvPicPr>
                  <pic:blipFill>
                    <a:blip r:embed="rId29"/>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acede às configurações e comunicar que a IA apoia a configuração sem assumir autoridade técnica ou clínica. Esta delimitação evita deslocamentos indevidos de responsabilidade e define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tornar acessível, através da interface, um sistema de modelação paramétrica baseado em código. Em vez de exigir contacto direto com a estrutura interna do modelo, a aplicação organiza a interação em torno de ações reconhecíveis e progressivas: selecionar um modelo, introduzir dados antropométricos, ajustar parâmetros, observar o resultado e guardar configurações.</w:t>
      </w:r>
      <w:r>
        <w:rPr/>
        <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3"/>
      <w:r>
        <w:rPr>
          <w:lang w:val="pt-PT"/>
        </w:rPr>
        <w:t>UI/UX</w:t>
      </w:r>
      <w:r>
        <w:rPr>
          <w:lang w:val="pt-PT"/>
        </w:rPr>
      </w:r>
      <w:commentRangeEnd w:id="23"/>
      <w:r>
        <w:commentReference w:id="23"/>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Para o designer, técnico especialista em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r>
        <w:rPr/>
        <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8" descr="Image 18"/>
                    <pic:cNvPicPr>
                      <a:picLocks noChangeAspect="1" noChangeArrowheads="1"/>
                    </pic:cNvPicPr>
                  </pic:nvPicPr>
                  <pic:blipFill>
                    <a:blip r:embed="rId31"/>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critérios mínimos de consistência numérica, paramétrica e geométrica antes da preparação para fabrico.</w:t>
      </w:r>
    </w:p>
    <w:p>
      <w:pPr>
        <w:pStyle w:val="Normal"/>
        <w:bidi w:val="0"/>
        <w:jc w:val="left"/>
        <w:rPr>
          <w:lang w:val="pt-PT"/>
        </w:rPr>
      </w:pPr>
      <w:r>
        <w:rPr/>
        <w:t>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t xml:space="preserve">A validação foi depois prolongada para prototipagem física. Com base nos resultados dos testes de perfil, foram selecionadas configurações representativas dos cenários avaliados, incluindo perfis de mão pequena, perfil adulto feminino e perfil adulto masculino. Nos testes de impressão, estas configurações foram geradas a partir do mesmo perfil de base criado na plataforma, alterando-se a idade como variável controlada para observar a forma como o sistema propagava essa alteração para a geometria exportada e para a viabilidade de impressão. Estas geometrias foram exportadas em STL/3MF, preparadas e impressas com os programas, materiais e equipamentos definidos na metodologia, para verificar a passagem do modelo exportado ao protótipo físico.</w:t>
      </w:r>
    </w:p>
    <w:p>
      <w:pPr>
        <w:pStyle w:val="Normal"/>
        <w:bidi w:val="0"/>
        <w:jc w:val="left"/>
        <w:rPr>
          <w:lang w:val="pt-PT"/>
        </w:rPr>
      </w:pPr>
      <w:r>
        <w:rPr/>
        <w:t>A validação física seguiu cinco verificações principais: compatibilidade do ficheiro exportado com o software de preparação para impressão,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pStyle w:val="Normal"/>
        <w:rPr/>
      </w:pPr>
      <w:r>
        <w:rPr/>
      </w:r>
    </w:p>
    <w:p>
      <w:pPr>
        <w:pStyle w:val="Normal"/>
        <w:bidi w:val="0"/>
        <w:jc w:val="left"/>
        <w:rPr>
          <w:lang w:val="pt-PT"/>
        </w:rPr>
      </w:pPr>
      <w:r>
        <w:rPr/>
        <w:t>A Tabela 8.1 sintetiza os resultados observados nas impressões realizadas. A leitura deve ser entendida como registo técnico preliminar de produção e verificação material, e não como ensaio mecânico normalizado ou validação clínica.</w:t>
      </w:r>
    </w:p>
    <w:p>
      <w:pPr>
        <w:pStyle w:val="Normal"/>
        <w:rPr/>
      </w:pPr>
      <w:r>
        <w:rPr/>
      </w:r>
    </w:p>
    <w:p>
      <w:pPr>
        <w:pStyle w:val="Normal"/>
        <w:bidi w:val="0"/>
        <w:jc w:val="left"/>
        <w:rPr>
          <w:lang w:val="pt-PT"/>
        </w:rPr>
      </w:pPr>
      <w:r>
        <w:rPr/>
        <w:t>Tabela 8.1 — Síntese dos resultados da validação por impressão 3D</w:t>
      </w:r>
    </w:p>
    <w:p>
      <w:pPr>
        <w:pStyle w:val="Normal"/>
        <w:bidi w:val="0"/>
        <w:jc w:val="left"/>
        <w:rPr>
          <w:lang w:val="pt-PT"/>
        </w:rPr>
      </w:pPr>
      <w:r>
        <w:rPr>
          <w:lang w:val="pt-PT"/>
        </w:rPr>
      </w:r>
    </w:p>
    <w:tbl>
      <w:tblPr>
        <w:tblStyle w:val="TableGrid"/>
        <w:tblW w:w="5000" w:type="pct"/>
        <w:jc w:val="left"/>
        <w:tblInd w:w="103" w:type="dxa"/>
        <w:tblLayout w:type="fixed"/>
        <w:tblCellMar>
          <w:top w:w="0" w:type="dxa"/>
          <w:left w:w="108" w:type="dxa"/>
          <w:bottom w:w="0" w:type="dxa"/>
          <w:right w:w="108" w:type="dxa"/>
        </w:tblCellMar>
      </w:tblPr>
      <w:tblGrid>
        <w:gridCol w:w="1342"/>
        <w:gridCol w:w="894"/>
        <w:gridCol w:w="2835"/>
        <w:gridCol w:w="3955"/>
      </w:tblGrid>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Configuração testada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Material</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Verificações realizadas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Resultado observado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zonas finas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sem defeitos impeditivos; geometria imprimível, mantendo necessidade de atenção às espessuras nas zonas reduzidas.</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encaixe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comportamento material menos frágil na manipulação e no encaixe preliminar.</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integridade formal</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proporções e escala mantiveram coerência com o modelo exportado.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zonas críticas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zonas críticas e encaixes verificáveis no protótipo físico.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 escala aumentada</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a escala maior não impediu a produção do protótipo.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manipulação preliminar sem falhas impeditivas observadas.</w:t>
            </w:r>
          </w:p>
        </w:tc>
      </w:tr>
    </w:tbl>
    <w:p>
      <w:pPr>
        <w:pStyle w:val="Normal"/>
        <w:rPr/>
      </w:pPr>
      <w:r>
        <w:rPr/>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descr="Image 19"/>
                    <pic:cNvPicPr>
                      <a:picLocks noChangeAspect="1" noChangeArrowheads="1"/>
                    </pic:cNvPicPr>
                  </pic:nvPicPr>
                  <pic:blipFill>
                    <a:blip r:embed="rId32"/>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8.2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t>Tabela 8.3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8.4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t>Tabela 8.5 — 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w:t>
      </w:r>
    </w:p>
    <w:p>
      <w:pPr>
        <w:pStyle w:val="Normal"/>
        <w:bidi w:val="0"/>
        <w:jc w:val="left"/>
        <w:rPr>
          <w:lang w:val="pt-PT"/>
        </w:rPr>
      </w:pPr>
      <w:r>
        <w:rPr>
          <w:lang w:val="pt-PT"/>
        </w:rPr>
        <w:t>A variação entre execuções produzida pela IA impede tratar uma saída isolada como prescrição fixa; a ausência de uma referência clínica direta limita a afirmação de precisão individual; e a lateralidade revelou-se um parâmetro crítico que deve permanecer sob controlo determinístico da plataforma.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prototipagem física confirmou a viabilidade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impressão e a impressão 3D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em síntese, que as sugestões respeitaram os limites do modelo, preservaram proporções anatómicas e se adaptaram à riqueza variável das entradas, desde medições completas até descrições apenas contextuais.</w:t>
      </w:r>
    </w:p>
    <w:p>
      <w:pPr>
        <w:pStyle w:val="Normal"/>
        <w:bidi w:val="0"/>
        <w:jc w:val="left"/>
        <w:rPr>
          <w:lang w:val="pt-PT"/>
        </w:rPr>
      </w:pPr>
      <w:r>
        <w:rPr/>
        <w:t>A validação geométrica e a prototipagem física acrescentaram uma verificação indispensável: a cadeia até STL/3MF e impressão 3D revelou constrangimentos de escala, dependências do código original, zonas críticas e montagem preliminar que a resposta numérica isolada não evidenciava.</w:t>
      </w:r>
    </w:p>
    <w:p>
      <w:pPr>
        <w:pStyle w:val="Normal"/>
        <w:bidi w:val="0"/>
        <w:jc w:val="left"/>
        <w:rPr>
          <w:lang w:val="pt-PT"/>
        </w:rPr>
      </w:pPr>
      <w:r>
        <w:rPr/>
        <w:t>A avaliação centrada no utilizador reforçou a mesma conclusão metodológica: a acessibilidade paramétrica depende tanto da inferência da IA como de salvaguardas explícitas na interface, em particular para lateralidade, adequação do modelo escolhido e proveniência das estimativas.</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inicial deve ser aprofundada através de ensaios mais sistemáticos de montagem, controlo de tolerâncias, resistência, desgaste, consistência entre impressões sucessivas e adequação ao uso.</w:t>
      </w:r>
    </w:p>
    <w:p>
      <w:pPr>
        <w:pStyle w:val="Normal"/>
        <w:bidi w:val="0"/>
        <w:jc w:val="left"/>
        <w:rPr>
          <w:lang w:val="pt-PT"/>
        </w:rPr>
      </w:pPr>
      <w:r>
        <w:rPr>
          <w:lang w:val="pt-PT"/>
        </w:rPr>
        <w:t>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clareza com que a interface comunica o processo de configuração, a confiança nas sugestões, a distribuição de responsabilidade e a utilidade real do fluxo em contextos de prototipagem.</w:t>
      </w:r>
    </w:p>
    <w:p>
      <w:pPr>
        <w:pStyle w:val="Normal"/>
        <w:bidi w:val="0"/>
        <w:jc w:val="left"/>
        <w:rPr>
          <w:lang w:val="pt-PT"/>
        </w:rPr>
      </w:pPr>
      <w:r>
        <w:rPr>
          <w:lang w:val="pt-PT"/>
        </w:rPr>
        <w:t>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personalização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do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o 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variações antropométricas documentadas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2T17:25:21Z" w:initials="">
    <w:p>
      <w:pPr>
        <w:overflowPunct w:val="true"/>
        <w:bidi w:val="0"/>
        <w:rPr/>
      </w:pPr>
      <w:r>
        <w:annotationRef/>
      </w:r>
      <w:r>
        <w:rPr>
          <w:lang w:val="pt-PT"/>
        </w:rPr>
        <w:t>Podemos adicionar aquele gráfico todo bonito que fizeste antes.</w:t>
      </w:r>
    </w:p>
  </w:comment>
  <w:comment w:id="4" w:author="Unknown Author" w:date="2026-07-02T17:57:37Z" w:initials="">
    <w:p>
      <w:pPr>
        <w:overflowPunct w:val="true"/>
        <w:bidi w:val="0"/>
        <w:rPr/>
      </w:pPr>
      <w:r>
        <w:annotationRef/>
      </w:r>
      <w:r>
        <w:rPr>
          <w:lang w:val="pt-PT"/>
        </w:rPr>
        <w:t>Aqui é que podemos meter o nosso gráfico bonitolas</w:t>
      </w:r>
    </w:p>
  </w:comment>
  <w:comment w:id="5" w:author="Unknown Author" w:date="2026-07-02T18:05:03Z" w:initials="">
    <w:p>
      <w:pPr>
        <w:overflowPunct w:val="true"/>
        <w:bidi w:val="0"/>
        <w:rPr/>
      </w:pPr>
      <w:r>
        <w:annotationRef/>
      </w:r>
      <w:r>
        <w:rPr>
          <w:lang w:val="pt-PT"/>
        </w:rPr>
        <w:t>Falo disto? Acho que não faço em PLA e PETG</w:t>
      </w:r>
    </w:p>
  </w:comment>
  <w:comment w:id="6" w:author="Unknown Author" w:date="2026-07-03T19:16:18Z" w:initials="">
    <w:p w14:paraId="01000000">
      <w:pPr>
        <w:overflowPunct w:val="false"/>
        <w:rPr/>
      </w:pPr>
      <w:r>
        <w:annotationRef/>
      </w:r>
      <w:r>
        <w:rPr>
          <w:lang w:val="pt-PT"/>
        </w:rPr>
        <w:t>Isto é a primeira vez que estás a falar do Openscad</w:t>
      </w:r>
    </w:p>
  </w:comment>
  <w:comment w:id="7" w:author="Unknown Author" w:date="2026-07-03T19:16:31Z" w:initials="">
    <w:p w14:paraId="02000000">
      <w:pPr>
        <w:overflowPunct w:val="false"/>
        <w:rPr/>
      </w:pPr>
      <w:r>
        <w:annotationRef/>
      </w:r>
      <w:r>
        <w:rPr>
          <w:lang w:val="pt-PT"/>
        </w:rPr>
        <w:t>É preciso dizer o que é STL e 3MF</w:t>
      </w:r>
    </w:p>
  </w:comment>
  <w:comment w:id="8" w:author="Unknown Author" w:date="2026-07-03T13:45:05Z" w:initials="">
    <w:p>
      <w:pPr>
        <w:overflowPunct w:val="true"/>
        <w:bidi w:val="0"/>
        <w:rPr/>
      </w:pPr>
      <w:r>
        <w:annotationRef/>
      </w:r>
      <w:r>
        <w:rPr>
          <w:lang w:val="pt-PT"/>
        </w:rPr>
        <w:t>Estás a entrar em modo repetição outra vez.</w:t>
      </w:r>
    </w:p>
  </w:comment>
  <w:comment w:id="9"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0" w:author="Unknown Author" w:date="2026-07-04T13:27:11Z" w:initials="">
    <w:p>
      <w:pPr>
        <w:overflowPunct w:val="false"/>
        <w:rPr/>
      </w:pPr>
      <w:r>
        <w:annotationRef/>
      </w:r>
      <w:r>
        <w:rPr>
          <w:lang w:val="pt-PT"/>
        </w:rPr>
        <w:t>Meter aqui umas imagens!</w:t>
      </w:r>
    </w:p>
  </w:comment>
  <w:comment w:id="11" w:author="Unknown Author" w:date="2026-07-04T15:20:50Z" w:initials="">
    <w:p>
      <w:pPr>
        <w:overflowPunct w:val="false"/>
        <w:rPr/>
      </w:pPr>
      <w:r>
        <w:annotationRef/>
      </w:r>
      <w:r>
        <w:rPr>
          <w:lang w:val="pt-PT"/>
        </w:rPr>
        <w:t>Vamos meter aqui uma imagem</w:t>
      </w:r>
    </w:p>
  </w:comment>
  <w:comment w:id="12" w:author="Unknown Author" w:date="2026-07-04T18:35:39Z" w:initials="">
    <w:p>
      <w:pPr>
        <w:overflowPunct w:val="false"/>
        <w:rPr/>
      </w:pPr>
      <w:r>
        <w:annotationRef/>
      </w:r>
      <w:r>
        <w:rPr>
          <w:lang w:val="pt-PT"/>
        </w:rPr>
        <w:t>Não te esqueças de adicionar ao indice estas siglas.</w:t>
      </w:r>
    </w:p>
  </w:comment>
  <w:comment w:id="13" w:author="Unknown Author" w:date="2026-07-04T18:51:43Z" w:initials="">
    <w:p>
      <w:pPr>
        <w:overflowPunct w:val="false"/>
        <w:rPr/>
      </w:pPr>
      <w:r>
        <w:annotationRef/>
      </w:r>
      <w:r>
        <w:rPr>
          <w:lang w:val="pt-PT"/>
        </w:rPr>
        <w:t>Faz sentido integrar uma parte sobre a E-nable e os modelos deles.</w:t>
      </w:r>
    </w:p>
  </w:comment>
  <w:comment w:id="14" w:author="Unknown Author" w:date="2026-07-04T18:53:29Z" w:initials="">
    <w:p>
      <w:pPr>
        <w:overflowPunct w:val="false"/>
        <w:rPr/>
      </w:pPr>
      <w:r>
        <w:annotationRef/>
      </w:r>
      <w:r>
        <w:rPr>
          <w:lang w:val="pt-PT"/>
        </w:rPr>
        <w:t>Parametros de hardware</w:t>
      </w:r>
    </w:p>
  </w:comment>
  <w:comment w:id="15" w:author="Unknown Author" w:date="2026-07-04T21:37:44Z" w:initials="">
    <w:p>
      <w:pPr>
        <w:overflowPunct w:val="false"/>
        <w:rPr/>
      </w:pPr>
      <w:r>
        <w:annotationRef/>
      </w:r>
      <w:r>
        <w:rPr>
          <w:lang w:val="pt-PT"/>
        </w:rPr>
        <w:t>Isto está no indice? Vai lá ver</w:t>
      </w:r>
    </w:p>
  </w:comment>
  <w:comment w:id="16" w:author="Unknown Author" w:date="2026-07-05T12:22:53Z" w:initials="">
    <w:p>
      <w:pPr>
        <w:overflowPunct w:val="false"/>
        <w:rPr/>
      </w:pPr>
      <w:r>
        <w:annotationRef/>
      </w:r>
      <w:r>
        <w:rPr>
          <w:lang w:val="pt-PT"/>
        </w:rPr>
        <w:t>Não esquecer de meter no índice</w:t>
      </w:r>
    </w:p>
  </w:comment>
  <w:comment w:id="17" w:author="Unknown Author" w:date="2026-07-05T12:26:47Z" w:initials="">
    <w:p>
      <w:pPr>
        <w:overflowPunct w:val="false"/>
        <w:rPr/>
      </w:pPr>
      <w:r>
        <w:annotationRef/>
      </w:r>
      <w:r>
        <w:rPr>
          <w:lang w:val="pt-PT"/>
        </w:rPr>
        <w:t>Adicionar uma nota a explicar e adicionar no indice a sigla</w:t>
      </w:r>
    </w:p>
  </w:comment>
  <w:comment w:id="18" w:author="Unknown Author" w:date="2026-07-05T14:28:24Z" w:initials="">
    <w:p>
      <w:pPr>
        <w:overflowPunct w:val="true"/>
        <w:rPr/>
      </w:pPr>
      <w:r>
        <w:annotationRef/>
      </w:r>
      <w:r>
        <w:rPr>
          <w:lang w:val="pt-PT"/>
        </w:rPr>
        <w:t>Isto é uma repetição</w:t>
      </w:r>
    </w:p>
  </w:comment>
  <w:comment w:id="19" w:author="Unknown Author" w:date="2026-07-05T14:29:31Z" w:initials="">
    <w:p>
      <w:pPr>
        <w:overflowPunct w:val="true"/>
        <w:rPr/>
      </w:pPr>
      <w:r>
        <w:annotationRef/>
      </w:r>
      <w:r>
        <w:rPr>
          <w:lang w:val="pt-PT"/>
        </w:rPr>
        <w:t>Inserir notas de rodapé</w:t>
      </w:r>
    </w:p>
  </w:comment>
  <w:comment w:id="20" w:author="Unknown Author" w:date="2026-07-05T15:25:09Z" w:initials="">
    <w:p>
      <w:pPr>
        <w:overflowPunct w:val="true"/>
        <w:rPr/>
      </w:pPr>
      <w:r>
        <w:annotationRef/>
      </w:r>
      <w:r>
        <w:rPr>
          <w:lang w:val="pt-PT"/>
        </w:rPr>
        <w:t>Inserir um comentário</w:t>
      </w:r>
    </w:p>
  </w:comment>
  <w:comment w:id="21" w:author="Unknown Author" w:date="2026-07-05T16:14:55Z" w:initials="">
    <w:p>
      <w:pPr>
        <w:overflowPunct w:val="true"/>
        <w:rPr/>
      </w:pPr>
      <w:r>
        <w:annotationRef/>
      </w:r>
      <w:r>
        <w:rPr>
          <w:lang w:val="pt-PT"/>
        </w:rPr>
        <w:t>Se calhar introduzir uma tabela com os prompts</w:t>
      </w:r>
    </w:p>
  </w:comment>
  <w:comment w:id="22" w:author="Unknown Author" w:date="2026-07-05T17:43:41Z" w:initials="">
    <w:p>
      <w:pPr>
        <w:overflowPunct w:val="false"/>
        <w:rPr/>
      </w:pPr>
      <w:r>
        <w:annotationRef/>
      </w:r>
      <w:r>
        <w:rPr>
          <w:lang w:val="pt-PT"/>
        </w:rPr>
        <w:t>Introduzir aqui uma tabela com valores</w:t>
      </w:r>
    </w:p>
  </w:comment>
  <w:comment w:id="23" w:author="Unknown Author" w:date="2026-07-05T19:22:29Z" w:initials="">
    <w:p>
      <w:pPr>
        <w:overflowPunct w:val="false"/>
        <w:rPr/>
      </w:pPr>
      <w:r>
        <w:annotationRef/>
      </w:r>
      <w:r>
        <w:rPr>
          <w:lang w:val="pt-PT"/>
        </w:rPr>
        <w:t>indice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rStyle w:val="Emphasis"/>
        </w:rPr>
        <w:t xml:space="preserve"> </w:t>
      </w:r>
      <w:r>
        <w:rPr>
          <w:rStyle w:val="Emphasis"/>
        </w:rPr>
        <w:t>Virtual coaching</w:t>
      </w:r>
      <w:r>
        <w:rPr/>
        <w:t xml:space="preserve"> designa sistemas digitais de orientação e acompanhamento que fornecem instruções, recomendações ou feedback ao utilizador durante atividades de treino, reabilitação ou aprendizagem, apoiando a adaptação do programa ao seu desempenho e evolução.</w:t>
      </w:r>
    </w:p>
  </w:footnote>
  <w:footnote w:id="14">
    <w:p>
      <w:pPr>
        <w:pStyle w:val="FootnoteText"/>
        <w:rPr/>
      </w:pPr>
      <w:r>
        <w:rPr>
          <w:rStyle w:val="FootnoteCharacters"/>
        </w:rPr>
        <w:footnoteRef/>
      </w:r>
      <w:r>
        <w:rPr>
          <w:rStyle w:val="Emphasis"/>
        </w:rPr>
        <w:t xml:space="preserve"> </w:t>
      </w:r>
      <w:r>
        <w:rPr>
          <w:rStyle w:val="Emphasi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5">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6">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7">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4431</TotalTime>
  <Application>LibreOffice/26.2.4.2$Linux_X86_64 LibreOffice_project/3346a99e6b841765b75a9b29714a5b95c6761ce3</Application>
  <AppVersion>15.0000</AppVersion>
  <Pages>135</Pages>
  <Words>48848</Words>
  <Characters>308548</Characters>
  <CharactersWithSpaces>355864</CharactersWithSpaces>
  <Paragraphs>1665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cp:lastPrinted>2026-07-08T20:43:53Z</cp:lastPrinted>
  <dcterms:modified xsi:type="dcterms:W3CDTF">2026-07-08T21:06:14Z</dcterms:modified>
  <cp:revision>141</cp:revision>
  <dc:subject/>
  <dc:title>projecto-completo</dc:title>
</cp:coreProperties>
</file>

<file path=docProps/custom.xml><?xml version="1.0" encoding="utf-8"?>
<Properties xmlns="http://schemas.openxmlformats.org/officeDocument/2006/custom-properties" xmlns:vt="http://schemas.openxmlformats.org/officeDocument/2006/docPropsVTypes"/>
</file>