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30.xml" ContentType="application/vnd.openxmlformats-officedocument.wordprocessingml.header+xml"/>
  <Override PartName="/word/header29.xml" ContentType="application/vnd.openxmlformats-officedocument.wordprocessingml.header+xml"/>
  <Override PartName="/word/header28.xml" ContentType="application/vnd.openxmlformats-officedocument.wordprocessingml.header+xml"/>
  <Override PartName="/word/header27.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3.xml" ContentType="application/vnd.openxmlformats-officedocument.wordprocessingml.header+xml"/>
  <Override PartName="/word/header21.xml" ContentType="application/vnd.openxmlformats-officedocument.wordprocessingml.header+xml"/>
  <Override PartName="/word/footer16.xml" ContentType="application/vnd.openxmlformats-officedocument.wordprocessingml.footer+xml"/>
  <Override PartName="/word/header6.xml" ContentType="application/vnd.openxmlformats-officedocument.wordprocessingml.header+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32.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24.xml" ContentType="application/vnd.openxmlformats-officedocument.wordprocessingml.footer+xml"/>
  <Override PartName="/word/header13.xml" ContentType="application/vnd.openxmlformats-officedocument.wordprocessingml.header+xml"/>
  <Override PartName="/word/numbering.xml" ContentType="application/vnd.openxmlformats-officedocument.wordprocessingml.numbering+xml"/>
  <Override PartName="/word/footer20.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word/footer7.xml" ContentType="application/vnd.openxmlformats-officedocument.wordprocessingml.footer+xml"/>
  <Override PartName="/word/footer27.xml" ContentType="application/vnd.openxmlformats-officedocument.wordprocessingml.footer+xml"/>
  <Override PartName="/word/footer31.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6.xml" ContentType="application/vnd.openxmlformats-officedocument.wordprocessingml.footer+xml"/>
  <Override PartName="/word/footnotes.xml" ContentType="application/vnd.openxmlformats-officedocument.wordprocessingml.footnotes+xml"/>
  <Override PartName="/word/footer32.xml" ContentType="application/vnd.openxmlformats-officedocument.wordprocessingml.footer+xml"/>
  <Override PartName="/word/header19.xml" ContentType="application/vnd.openxmlformats-officedocument.wordprocessingml.header+xml"/>
  <Override PartName="/word/header2.xml" ContentType="application/vnd.openxmlformats-officedocument.wordprocessingml.header+xml"/>
  <Override PartName="/word/footer33.xml" ContentType="application/vnd.openxmlformats-officedocument.wordprocessingml.footer+xml"/>
  <Override PartName="/word/footer11.xml" ContentType="application/vnd.openxmlformats-officedocument.wordprocessingml.footer+xml"/>
  <Override PartName="/word/header34.xml" ContentType="application/vnd.openxmlformats-officedocument.wordprocessingml.header+xml"/>
  <Override PartName="/word/footer6.xml" ContentType="application/vnd.openxmlformats-officedocument.wordprocessingml.footer+xml"/>
  <Override PartName="/word/theme/theme1.xml" ContentType="application/vnd.openxmlformats-officedocument.theme+xml"/>
  <Override PartName="/word/header11.xml" ContentType="application/vnd.openxmlformats-officedocument.wordprocessingml.header+xml"/>
  <Override PartName="/word/footer13.xml" ContentType="application/vnd.openxmlformats-officedocument.wordprocessingml.footer+xml"/>
  <Override PartName="/word/header31.xml" ContentType="application/vnd.openxmlformats-officedocument.wordprocessingml.header+xml"/>
  <Override PartName="/word/header33.xml" ContentType="application/vnd.openxmlformats-officedocument.wordprocessingml.header+xml"/>
  <Override PartName="/word/header12.xml" ContentType="application/vnd.openxmlformats-officedocument.wordprocessingml.header+xml"/>
  <Override PartName="/word/footer23.xml" ContentType="application/vnd.openxmlformats-officedocument.wordprocessingml.footer+xml"/>
  <Override PartName="/word/footer3.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header3.xml" ContentType="application/vnd.openxmlformats-officedocument.wordprocessingml.header+xml"/>
  <Override PartName="/word/footer12.xml" ContentType="application/vnd.openxmlformats-officedocument.wordprocessingml.footer+xml"/>
  <Override PartName="/word/header4.xml" ContentType="application/vnd.openxmlformats-officedocument.wordprocessingml.header+xml"/>
  <Override PartName="/word/footer28.xml" ContentType="application/vnd.openxmlformats-officedocument.wordprocessingml.footer+xml"/>
  <Override PartName="/word/header9.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header35.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25.xml" ContentType="application/vnd.openxmlformats-officedocument.wordprocessingml.header+xml"/>
  <Override PartName="/word/header16.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oter30.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styles.xml" ContentType="application/vnd.openxmlformats-officedocument.wordprocessingml.styles+xml"/>
  <Override PartName="/word/footer19.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2.xml" ContentType="application/vnd.openxmlformats-officedocument.wordprocessingml.head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firstLine="340" w:start="1843"/>
        <w:rPr>
          <w:rFonts w:ascii="Lucida Sans Unicode" w:hAnsi="Lucida Sans Unicode" w:cs="Lucida Sans Unicode"/>
          <w:bCs/>
          <w:sz w:val="22"/>
          <w:szCs w:val="22"/>
        </w:rPr>
      </w:pPr>
      <w:sdt>
        <w:sdtPr>
          <w:alias w:val="Título do Tema"/>
          <w:tag w:val="Título do Tema"/>
          <w:id w:val="-1668389752"/>
          <w:placeholder>
            <w:docPart w:val="AD07A83A42D4C148AE0B9570A0A782CC"/>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sdt>
        <w:sdtPr>
          <w:alias w:val="nome do mestrando"/>
          <w:tag w:val="nome do mestrando"/>
          <w:id w:val="434406852"/>
          <w:placeholder>
            <w:docPart w:val="397CFD3FBF5AD342BBB2B0839E862268"/>
          </w:placeholder>
          <w:text/>
        </w:sdtPr>
        <w:sdtContent>
          <w:r>
            <w:rPr/>
          </w:r>
          <w:r>
            <w:rPr/>
            <w:t>Pedro Miguel Candeias da Silva</w:t>
          </w:r>
        </w:sdtContent>
      </w:sdt>
    </w:p>
    <w:p>
      <w:pPr>
        <w:pStyle w:val="Nomes-e-Data-na-Capa-e-Folha-de-Rosto-IPCA"/>
        <w:tabs>
          <w:tab w:val="clear" w:pos="3740"/>
        </w:tabs>
        <w:ind w:hanging="1843" w:start="3686"/>
        <w:jc w:val="start"/>
        <w:rPr>
          <w:i/>
        </w:rPr>
      </w:pPr>
      <w:sdt>
        <w:sdtPr>
          <w:id w:val="673392851"/>
          <w:lock w:val="contentLocked"/>
          <w:placeholder>
            <w:docPart w:val="5D177C66921F5B44A758D84CB5CDF240"/>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5D177C66921F5B44A758D84CB5CDF240"/>
          </w:placeholder>
          <w:text/>
        </w:sdtPr>
        <w:sdtContent>
          <w:r>
            <w:rPr>
              <w:rStyle w:val="Nomes-e-Data-na-Capa-e-Folha-de-Rosto-IPCACarter"/>
            </w:rPr>
          </w:r>
          <w:r>
            <w:rPr>
              <w:rStyle w:val="Nomes-e-Data-na-Capa-e-Folha-de-Rosto-IPCACarter"/>
            </w:rPr>
            <w:t>Doutor Demétrio Ferreira Matos</w:t>
          </w:r>
        </w:sdtContent>
      </w:sdt>
    </w:p>
    <w:p>
      <w:pPr>
        <w:pStyle w:val="Nomes-e-Data-na-Capa-e-Folha-de-Rosto-IPCA"/>
        <w:tabs>
          <w:tab w:val="clear" w:pos="3740"/>
          <w:tab w:val="left" w:pos="4111" w:leader="none"/>
        </w:tabs>
        <w:ind w:hanging="1843" w:start="3686"/>
        <w:rPr/>
      </w:pPr>
      <w:r>
        <w:rPr/>
      </w:r>
    </w:p>
    <w:p>
      <w:pPr>
        <w:pStyle w:val="Texto-normal-Capa-e-Folha-de-Rosto-IPCA"/>
        <w:ind w:hanging="0" w:start="1843"/>
        <w:rPr/>
      </w:pPr>
      <w:sdt>
        <w:sdtPr>
          <w:id w:val="-1822872975"/>
          <w:lock w:val="contentLocked"/>
          <w:placeholder>
            <w:docPart w:val="5D177C66921F5B44A758D84CB5CDF240"/>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sdt>
        <w:sdtPr>
          <w:alias w:val="nome do mestrado"/>
          <w:tag w:val="nome do mestrado"/>
          <w:id w:val="736360960"/>
          <w:placeholder>
            <w:docPart w:val="157D746FD4EC6C42B5ACEAE0BDC6B9C0"/>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Style w:val="Texto-normal-Capa-e-Folha-de-Rosto-IPCACarter"/>
            </w:rPr>
            <w:t>Design e Desenvolvimento de Produto</w:t>
          </w:r>
        </w:sdtContent>
      </w:sdt>
    </w:p>
    <w:p>
      <w:pPr>
        <w:pStyle w:val="Normal"/>
        <w:tabs>
          <w:tab w:val="clear" w:pos="708"/>
          <w:tab w:val="left" w:pos="3740" w:leader="none"/>
        </w:tabs>
        <w:ind w:firstLine="1843"/>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5D177C66921F5B44A758D84CB5CDF240"/>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1A2B23454CF2C1489A85C874D2C1B824"/>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Normal"/>
        <w:rPr/>
      </w:pPr>
      <w:r>
        <w:rPr/>
      </w:r>
    </w:p>
    <w:p>
      <w:pPr>
        <w:pStyle w:val="Normal"/>
        <w:spacing w:before="0" w:after="0"/>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09" w:top="5670" w:footer="709" w:bottom="1418"/>
          <w:pgNumType w:fmt="decimal"/>
          <w:formProt w:val="false"/>
          <w:titlePg/>
          <w:textDirection w:val="lrTb"/>
          <w:docGrid w:type="default" w:linePitch="360" w:charSpace="0"/>
        </w:sectPr>
      </w:pPr>
      <w:r>
        <w:rPr/>
      </w:r>
    </w:p>
    <w:p>
      <w:pPr>
        <w:pStyle w:val="Normal"/>
        <w:rPr/>
      </w:pPr>
      <w:r>
        <w:rPr/>
      </w:r>
    </w:p>
    <w:p>
      <w:pPr>
        <w:pStyle w:val="Normal"/>
        <w:spacing w:before="0" w:after="0"/>
        <w:rPr/>
        <w:sectPr>
          <w:headerReference w:type="even" r:id="rId8"/>
          <w:headerReference w:type="default" r:id="rId9"/>
          <w:headerReference w:type="first" r:id="rId10"/>
          <w:footerReference w:type="default" r:id="rId11"/>
          <w:footerReference w:type="first" r:id="rId12"/>
          <w:type w:val="nextPage"/>
          <w:pgSz w:w="11906" w:h="16838"/>
          <w:pgMar w:left="1701" w:right="1701" w:gutter="0" w:header="709" w:top="1701" w:footer="709" w:bottom="1418"/>
          <w:pgNumType w:start="1" w:fmt="lowerRoman"/>
          <w:formProt w:val="false"/>
          <w:textDirection w:val="lrTb"/>
          <w:docGrid w:type="default" w:linePitch="360" w:charSpace="0"/>
        </w:sectPr>
      </w:pPr>
      <w:r>
        <w:rPr/>
      </w:r>
    </w:p>
    <w:p>
      <w:pPr>
        <w:pStyle w:val="Normal"/>
        <w:tabs>
          <w:tab w:val="clear" w:pos="708"/>
          <w:tab w:val="left" w:pos="4140" w:leader="none"/>
        </w:tabs>
        <w:spacing w:lineRule="exact" w:line="360"/>
        <w:ind w:firstLine="340" w:start="1843"/>
        <w:rPr>
          <w:rFonts w:ascii="Lucida Sans Unicode" w:hAnsi="Lucida Sans Unicode" w:cs="Lucida Sans Unicode"/>
          <w:bCs/>
          <w:sz w:val="22"/>
          <w:szCs w:val="22"/>
        </w:rPr>
      </w:pPr>
      <w:sdt>
        <w:sdtPr>
          <w:alias w:val="Título do Tema"/>
          <w:tag w:val="Título do Tema"/>
          <w:id w:val="14817647"/>
          <w:placeholder>
            <w:docPart w:val="C8AFE9ECB29E7542B9AACE44C7222ED0"/>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sdt>
        <w:sdtPr>
          <w:alias w:val="nome do mestrando"/>
          <w:tag w:val="nome do mestrando"/>
          <w:id w:val="355093450"/>
          <w:placeholder>
            <w:docPart w:val="A63241E135B510489CEE83C13C0117C5"/>
          </w:placeholder>
          <w:text/>
        </w:sdtPr>
        <w:sdtContent>
          <w:r>
            <w:rPr/>
          </w:r>
          <w:r>
            <w:rPr/>
            <w:t>Pedro Miguel Candeias da Silva</w:t>
          </w:r>
        </w:sdtContent>
      </w:sdt>
    </w:p>
    <w:p>
      <w:pPr>
        <w:pStyle w:val="Nomes-e-Data-na-Capa-e-Folha-de-Rosto-IPCA"/>
        <w:tabs>
          <w:tab w:val="clear" w:pos="3740"/>
        </w:tabs>
        <w:ind w:hanging="1843" w:start="3686"/>
        <w:jc w:val="start"/>
        <w:rPr>
          <w:i/>
        </w:rPr>
      </w:pPr>
      <w:sdt>
        <w:sdtPr>
          <w:id w:val="-586305358"/>
          <w:lock w:val="contentLocked"/>
          <w:placeholder>
            <w:docPart w:val="3905910296F7AD4684605D0BA979D5B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328342649"/>
          <w:placeholder>
            <w:docPart w:val="3905910296F7AD4684605D0BA979D5BB"/>
          </w:placeholder>
          <w:text/>
        </w:sdtPr>
        <w:sdtContent>
          <w:r>
            <w:rPr>
              <w:rStyle w:val="Nomes-e-Data-na-Capa-e-Folha-de-Rosto-IPCACarter"/>
            </w:rPr>
          </w:r>
          <w:r>
            <w:rPr>
              <w:rStyle w:val="Nomes-e-Data-na-Capa-e-Folha-de-Rosto-IPCACarter"/>
            </w:rPr>
            <w:t>Doutor Demétrio Ferreira Matos</w:t>
          </w:r>
        </w:sdtContent>
      </w:sdt>
    </w:p>
    <w:p>
      <w:pPr>
        <w:pStyle w:val="Nomes-e-Data-na-Capa-e-Folha-de-Rosto-IPCA"/>
        <w:tabs>
          <w:tab w:val="clear" w:pos="3740"/>
          <w:tab w:val="left" w:pos="4111" w:leader="none"/>
        </w:tabs>
        <w:ind w:hanging="1843" w:start="3686"/>
        <w:rPr/>
      </w:pPr>
      <w:r>
        <w:rPr/>
      </w:r>
    </w:p>
    <w:p>
      <w:pPr>
        <w:pStyle w:val="Texto-normal-Capa-e-Folha-de-Rosto-IPCA"/>
        <w:ind w:hanging="0" w:start="1843"/>
        <w:rPr/>
      </w:pPr>
      <w:sdt>
        <w:sdtPr>
          <w:id w:val="1058436118"/>
          <w:lock w:val="contentLocked"/>
          <w:placeholder>
            <w:docPart w:val="3905910296F7AD4684605D0BA979D5B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sdt>
        <w:sdtPr>
          <w:alias w:val="nome do mestrado"/>
          <w:tag w:val="nome do mestrado"/>
          <w:id w:val="-663926190"/>
          <w:placeholder>
            <w:docPart w:val="25E5F8B3BE1C9D479B149C52FBBC0CE1"/>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Style w:val="Texto-normal-Capa-e-Folha-de-Rosto-IPCACarter"/>
            </w:rPr>
            <w:t>Design e Desenvolvimento de Produto</w:t>
          </w:r>
        </w:sdtContent>
      </w:sdt>
    </w:p>
    <w:p>
      <w:pPr>
        <w:pStyle w:val="Normal"/>
        <w:tabs>
          <w:tab w:val="clear" w:pos="708"/>
          <w:tab w:val="left" w:pos="3740" w:leader="none"/>
        </w:tabs>
        <w:ind w:firstLine="1843"/>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945531789"/>
          <w:lock w:val="contentLocked"/>
          <w:placeholder>
            <w:docPart w:val="3905910296F7AD4684605D0BA979D5B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1129308105"/>
          <w:placeholder>
            <w:docPart w:val="D9F927F1005A044AA50A5C9C4BE16E95"/>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Normal"/>
        <w:spacing w:before="0" w:after="0"/>
        <w:rPr/>
        <w:sectPr>
          <w:headerReference w:type="even" r:id="rId13"/>
          <w:headerReference w:type="default" r:id="rId14"/>
          <w:headerReference w:type="first" r:id="rId15"/>
          <w:footerReference w:type="default" r:id="rId16"/>
          <w:footerReference w:type="first" r:id="rId17"/>
          <w:type w:val="nextPage"/>
          <w:pgSz w:w="11906" w:h="16838"/>
          <w:pgMar w:left="1701" w:right="1701" w:gutter="0" w:header="709" w:top="5670" w:footer="709" w:bottom="1418"/>
          <w:pgNumType w:fmt="lowerRoman"/>
          <w:formProt w:val="false"/>
          <w:textDirection w:val="lrTb"/>
          <w:docGrid w:type="default" w:linePitch="360" w:charSpace="0"/>
        </w:sectPr>
      </w:pPr>
      <w:r>
        <w:rPr/>
      </w:r>
    </w:p>
    <w:p>
      <w:pPr>
        <w:pStyle w:val="Normal"/>
        <w:rPr/>
      </w:pPr>
      <w:r>
        <w:rPr/>
      </w:r>
    </w:p>
    <w:p>
      <w:pPr>
        <w:pStyle w:val="Normal"/>
        <w:spacing w:before="0" w:after="0"/>
        <w:rPr/>
        <w:sectPr>
          <w:headerReference w:type="even" r:id="rId18"/>
          <w:headerReference w:type="default" r:id="rId19"/>
          <w:headerReference w:type="first" r:id="rId20"/>
          <w:footerReference w:type="default" r:id="rId21"/>
          <w:footerReference w:type="first" r:id="rId22"/>
          <w:type w:val="nextPage"/>
          <w:pgSz w:w="11906" w:h="16838"/>
          <w:pgMar w:left="1701" w:right="1701" w:gutter="0" w:header="709" w:top="1701" w:footer="709" w:bottom="1418"/>
          <w:pgNumType w:fmt="lowerRoman"/>
          <w:formProt w:val="false"/>
          <w:textDirection w:val="lrTb"/>
          <w:docGrid w:type="default" w:linePitch="360" w:charSpace="0"/>
        </w:sectPr>
      </w:pPr>
      <w:r>
        <w:rPr/>
      </w:r>
    </w:p>
    <w:p>
      <w:pPr>
        <w:pStyle w:val="TtulodeCapaefolhaderosto-IPCA"/>
        <w:rPr/>
      </w:pPr>
      <w:sdt>
        <w:sdtPr>
          <w:id w:val="-171030983"/>
          <w:lock w:val="contentLocked"/>
          <w:placeholder>
            <w:docPart w:val="C218B68FB8ED2F47886FE332E05FDCDF"/>
          </w:placeholder>
          <w:text/>
        </w:sdtPr>
        <w:sdtContent>
          <w:r>
            <w:rPr/>
          </w:r>
          <w:r>
            <w:rPr/>
            <w:t>Declaração</w:t>
          </w:r>
        </w:sdtContent>
      </w:sdt>
    </w:p>
    <w:p>
      <w:pPr>
        <w:pStyle w:val="TextoNormal-IPCA"/>
        <w:rPr/>
      </w:pPr>
      <w:r>
        <w:rPr/>
      </w:r>
    </w:p>
    <w:p>
      <w:pPr>
        <w:pStyle w:val="TextoNormal-IPCA"/>
        <w:ind w:hanging="0"/>
        <w:rPr/>
      </w:pPr>
      <w:r>
        <w:rPr/>
        <w:t xml:space="preserve">Nome: </w:t>
      </w:r>
      <w:sdt>
        <w:sdtPr>
          <w:alias w:val="Nome"/>
          <w:tag w:val="Nome"/>
          <w:id w:val="-567648718"/>
          <w:placeholder>
            <w:docPart w:val="14AE31C8F78AAE4AB8CACFE6031CB5D1"/>
          </w:placeholder>
          <w:text/>
        </w:sdtPr>
        <w:sdtContent>
          <w:r>
            <w:rPr/>
          </w:r>
          <w:r>
            <w:rPr>
              <w:rStyle w:val="TextoNormal-IPCACarter"/>
              <w:color w:themeColor="text1" w:themeTint="80" w:val="7F7F7F"/>
            </w:rPr>
            <w:t>Pedro Miguel Candeias da Silva</w:t>
          </w:r>
        </w:sdtContent>
      </w:sdt>
    </w:p>
    <w:p>
      <w:pPr>
        <w:pStyle w:val="TextoNormal-IPCA"/>
        <w:ind w:hanging="0"/>
        <w:rPr/>
      </w:pPr>
      <w:r>
        <w:rPr/>
        <w:t>Endereço eletrónico:</w:t>
      </w:r>
      <w:r>
        <w:rPr/>
        <w:t xml:space="preserve"> </w:t>
      </w:r>
      <w:sdt>
        <w:sdtPr>
          <w:alias w:val="Endereço Eletrónico"/>
          <w:tag w:val="Endereço Eletrónico"/>
          <w:id w:val="62685314"/>
          <w:placeholder>
            <w:docPart w:val="9CBBA03CAC278E47AFE5F6129B1B0AFE"/>
          </w:placeholder>
          <w:text/>
        </w:sdtPr>
        <w:sdtContent>
          <w:r>
            <w:rPr/>
          </w:r>
          <w:r>
            <w:rPr/>
            <w:t>pedrocandeias+ipca@gmail.com</w:t>
          </w:r>
        </w:sdtContent>
      </w:sdt>
    </w:p>
    <w:p>
      <w:pPr>
        <w:pStyle w:val="TextoNormal-IPCA"/>
        <w:ind w:hanging="0"/>
        <w:rPr/>
      </w:pPr>
      <w:sdt>
        <w:sdtPr>
          <w:id w:val="575713978"/>
          <w:lock w:val="contentLocked"/>
          <w:placeholder>
            <w:docPart w:val="C218B68FB8ED2F47886FE332E05FDCDF"/>
          </w:placeholder>
          <w:text/>
        </w:sdtPr>
        <w:sdtContent>
          <w:r>
            <w:rPr/>
          </w:r>
          <w:r>
            <w:rPr/>
            <w:t xml:space="preserve">Título do Projeto: </w:t>
          </w:r>
        </w:sdtContent>
      </w:sdt>
      <w:sdt>
        <w:sdtPr>
          <w:alias w:val="Título do Tema"/>
          <w:tag w:val="Título do Tema"/>
          <w:id w:val="-1766060944"/>
          <w:placeholder>
            <w:docPart w:val="EB032F39C977754F8FA6424C49A2438A"/>
          </w:placeholder>
          <w:text/>
        </w:sdtPr>
        <w:sdtContent>
          <w:r>
            <w:rPr/>
          </w:r>
          <w:r>
            <w:rPr/>
            <w:t>INTEGRAÇÃO DO DESIGN E DA INTELIGÊNCIA ARTIFICIAL EM PROCESSOS PARAMÉTRICOS PARA O DESENVOLVIMENTO DE PRÓTESES DE MEMBROS SUPERIORES EM IMPRESSÃO 3D</w:t>
          </w:r>
        </w:sdtContent>
      </w:sdt>
    </w:p>
    <w:p>
      <w:pPr>
        <w:pStyle w:val="TextoNormal-IPCA"/>
        <w:ind w:hanging="0"/>
        <w:rPr/>
      </w:pPr>
      <w:r>
        <w:rPr/>
        <w:t>Orientador:</w:t>
      </w:r>
      <w:r>
        <w:rPr/>
        <w:t xml:space="preserve"> </w:t>
      </w:r>
      <w:sdt>
        <w:sdtPr>
          <w:alias w:val="Orientador"/>
          <w:tag w:val="Orientador"/>
          <w:id w:val="248702369"/>
          <w:lock w:val="contentLocked"/>
          <w:placeholder>
            <w:docPart w:val="D5D4978801436E49A82226A64AE29CEB"/>
          </w:placeholder>
          <w:text/>
        </w:sdtPr>
        <w:sdtContent>
          <w:r>
            <w:rPr/>
          </w:r>
          <w:r>
            <w:rPr>
              <w:rStyle w:val="TextoNormal-IPCACarter"/>
            </w:rPr>
            <w:t>Doutor Demétrio Matos</w:t>
          </w:r>
        </w:sdtContent>
      </w:sdt>
      <w:r>
        <w:rPr/>
        <w:t xml:space="preserve"> </w:t>
      </w:r>
    </w:p>
    <w:p>
      <w:pPr>
        <w:pStyle w:val="TextoNormal-IPCA"/>
        <w:ind w:hanging="0"/>
        <w:rPr/>
      </w:pPr>
      <w:sdt>
        <w:sdtPr>
          <w:id w:val="1615395948"/>
          <w:lock w:val="contentLocked"/>
          <w:placeholder>
            <w:docPart w:val="C218B68FB8ED2F47886FE332E05FDCDF"/>
          </w:placeholder>
          <w:text/>
        </w:sdtPr>
        <w:sdtContent>
          <w:r>
            <w:rPr/>
          </w:r>
          <w:r>
            <w:rPr/>
            <w:t xml:space="preserve">Ano de conclusão: </w:t>
          </w:r>
        </w:sdtContent>
      </w:sdt>
      <w:sdt>
        <w:sdtPr>
          <w:alias w:val="Data"/>
          <w:tag w:val="Data"/>
          <w:id w:val="1495687124"/>
          <w:placeholder>
            <w:docPart w:val="E75989939FF96B4FB5DEF7EAD07C5058"/>
          </w:placeholder>
          <w:date>
            <w:dateFormat w:val="MMMM, yyyy"/>
            <w:lid w:val="pt-PT"/>
          </w:date>
        </w:sdtPr>
        <w:sdtContent>
          <w:r>
            <w:rPr/>
          </w:r>
          <w:r>
            <w:rPr/>
            <w:t>2026</w:t>
          </w:r>
        </w:sdtContent>
      </w:sdt>
    </w:p>
    <w:p>
      <w:pPr>
        <w:pStyle w:val="TextoNormal-IPCA"/>
        <w:ind w:hanging="0"/>
        <w:rPr/>
      </w:pPr>
      <w:sdt>
        <w:sdtPr>
          <w:id w:val="-1301601127"/>
          <w:lock w:val="contentLocked"/>
          <w:placeholder>
            <w:docPart w:val="C218B68FB8ED2F47886FE332E05FDCDF"/>
          </w:placeholder>
          <w:text/>
        </w:sdtPr>
        <w:sdtContent>
          <w:r>
            <w:rPr/>
          </w:r>
          <w:r>
            <w:rPr/>
            <w:t>Designação do Curso de Mestrado:</w:t>
          </w:r>
          <w:r>
            <w:rPr/>
            <w:t xml:space="preserve"> Mestrado em </w:t>
          </w:r>
        </w:sdtContent>
      </w:sdt>
      <w:sdt>
        <w:sdtPr>
          <w:alias w:val="nome do mestrado"/>
          <w:tag w:val="nome do mestrado"/>
          <w:id w:val="496698934"/>
          <w:placeholder>
            <w:docPart w:val="A7FC8085A2749743B4F693B4B36C71E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Style w:val="TextoNormal-IPCACarter"/>
            </w:rPr>
            <w:t>Design e Desenvolvimento de Produto</w:t>
          </w:r>
        </w:sdtContent>
      </w:sdt>
      <w:r>
        <w:rPr/>
        <w:t xml:space="preserve"> </w:t>
      </w:r>
    </w:p>
    <w:p>
      <w:pPr>
        <w:pStyle w:val="TextoNormal-IPCA"/>
        <w:ind w:hanging="0"/>
        <w:rPr/>
      </w:pPr>
      <w:r>
        <w:rPr/>
      </w:r>
    </w:p>
    <w:p>
      <w:pPr>
        <w:pStyle w:val="TextoNormal-IPCA"/>
        <w:ind w:hanging="0"/>
        <w:rPr/>
      </w:pPr>
      <w:sdt>
        <w:sdtPr>
          <w:id w:val="-238719754"/>
          <w:lock w:val="contentLocked"/>
          <w:placeholder>
            <w:docPart w:val="C218B68FB8ED2F47886FE332E05FDCDF"/>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t xml:space="preserve"> É AUTORIZADA A REPRODUÇÃO INTEGRAL DESTA DISSERTAÇÃO/TRABALHO APENAS PARA EFEITOS DE INVESTIGAÇÃO, MEDIANTE DECLARAÇÃO ESCRITA DO INTERESSADO, QUE A TAL SE COMPROMETE;</w:t>
      </w:r>
    </w:p>
    <w:p>
      <w:pPr>
        <w:pStyle w:val="TextoNormal-IPCA"/>
        <w:jc w:val="start"/>
        <w:rPr/>
      </w:pPr>
      <w:r>
        <w:rPr/>
      </w:r>
    </w:p>
    <w:p>
      <w:pPr>
        <w:pStyle w:val="TextoNormal-IPCA"/>
        <w:ind w:hanging="0"/>
        <w:jc w:val="start"/>
        <w:rPr/>
      </w:pPr>
      <w:sdt>
        <w:sdtPr>
          <w:alias w:val="opção 2."/>
          <w:tag w:val="opção 2."/>
          <w:id w:val="-1873687612"/>
          <w:lock w:val="contentLocked"/>
          <w:placeholder>
            <w:docPart w:val="C218B68FB8ED2F47886FE332E05FDCDF"/>
          </w:placeholder>
          <w14:checkbox>
            <w14:checked w14:val="1"/>
            <w14:checkedState w14:val="2612"/>
            <w14:uncheckedState w14:val="2610"/>
          </w14:checkbox>
        </w:sdtPr>
        <w:sdtContent>
          <w:r>
            <w:rPr>
              <w:rFonts w:eastAsia="MS Gothic" w:hint="eastAsia" w:ascii="MS Gothic" w:hAnsi="MS Gothic"/>
            </w:rPr>
          </w:r>
          <w:r>
            <w:rPr>
              <w:rFonts w:eastAsia="MS Gothic" w:hint="eastAsia" w:ascii="MS Gothic" w:hAnsi="MS Gothic"/>
            </w:rPr>
            <w:t>☒</w:t>
          </w:r>
        </w:sdtContent>
      </w:sdt>
      <w:r>
        <w:rPr/>
        <w:tab/>
        <w:t xml:space="preserve"> </w:t>
      </w:r>
      <w:r>
        <w:rPr/>
        <w:t>É AUTORIZADA A REPRODUÇÃO PARCIAL DESTA DISSERTAÇÃO/TRABALHO</w:t>
      </w:r>
      <w:r>
        <w:rPr/>
        <w:t xml:space="preserve"> (indicar, caso tal seja necessário, nº máximo de páginas</w:t>
      </w:r>
      <w:r>
        <w:rPr/>
        <w:t>, ilustrações, gráficos, etc</w:t>
      </w:r>
      <w:sdt>
        <w:sdtPr>
          <w:id w:val="1396708363"/>
          <w:lock w:val="contentLocked"/>
          <w:placeholder>
            <w:docPart w:val="C218B68FB8ED2F47886FE332E05FDCDF"/>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C218B68FB8ED2F47886FE332E05FDCDF"/>
          </w:placeholder>
          <w:text/>
        </w:sdtPr>
        <w:sdtContent>
          <w:r>
            <w:rPr/>
          </w:r>
          <w:r>
            <w:rPr/>
            <w:t>Instituto Politécnico do Cávado e do Ave,</w:t>
          </w:r>
        </w:sdtContent>
      </w:sdt>
      <w:sdt>
        <w:sdtPr>
          <w:alias w:val="Data"/>
          <w:tag w:val="Data"/>
          <w:id w:val="-2102025058"/>
          <w:placeholder>
            <w:docPart w:val="AA69E897C6B58A4F9771B0B722E3FFD7"/>
          </w:placeholder>
          <w:date w:fullDate="2026-07-21T00:00:00Z">
            <w:dateFormat w:val="dd/MM/yyyy"/>
            <w:lid w:val="pt-PT"/>
          </w:date>
        </w:sdtPr>
        <w:sdtContent>
          <w:r>
            <w:rPr/>
          </w:r>
          <w:r>
            <w:rPr>
              <w:rStyle w:val="TextoNormal-IPCACarter"/>
            </w:rPr>
            <w:t>21/07/2026</w:t>
          </w:r>
        </w:sdtContent>
      </w:sdt>
    </w:p>
    <w:p>
      <w:pPr>
        <w:pStyle w:val="TextoNormal-IPCA"/>
        <w:ind w:hanging="0"/>
        <w:rPr/>
      </w:pPr>
      <w:r>
        <w:rPr/>
      </w:r>
    </w:p>
    <w:p>
      <w:pPr>
        <w:pStyle w:val="TextoNormal-IPCA"/>
        <w:ind w:hanging="0"/>
        <w:rPr/>
        <w:sectPr>
          <w:headerReference w:type="default" r:id="rId23"/>
          <w:headerReference w:type="first" r:id="rId24"/>
          <w:footerReference w:type="default" r:id="rId25"/>
          <w:footerReference w:type="first" r:id="rId26"/>
          <w:type w:val="nextPage"/>
          <w:pgSz w:w="11906" w:h="16838"/>
          <w:pgMar w:left="1701" w:right="1701" w:gutter="0" w:header="709" w:top="1701" w:footer="709" w:bottom="1418"/>
          <w:pgNumType w:fmt="lowerRoman"/>
          <w:formProt w:val="false"/>
          <w:textDirection w:val="lrTb"/>
          <w:docGrid w:type="default" w:linePitch="360" w:charSpace="0"/>
        </w:sectPr>
      </w:pPr>
      <w:r>
        <w:rPr/>
        <w:t>Assinatura: ________________________________________________</w:t>
      </w:r>
    </w:p>
    <w:p>
      <w:pPr>
        <w:pStyle w:val="TextoNormal-IPCA"/>
        <w:ind w:hanging="0"/>
        <w:rPr/>
        <w:sectPr>
          <w:headerReference w:type="default" r:id="rId27"/>
          <w:headerReference w:type="first" r:id="rId28"/>
          <w:footerReference w:type="default" r:id="rId29"/>
          <w:footerReference w:type="first" r:id="rId30"/>
          <w:type w:val="nextPage"/>
          <w:pgSz w:w="11906" w:h="16838"/>
          <w:pgMar w:left="1701" w:right="1701" w:gutter="0" w:header="709" w:top="1701" w:footer="709" w:bottom="1418"/>
          <w:pgNumType w:fmt="lowerRoman"/>
          <w:formProt w:val="false"/>
          <w:textDirection w:val="lrTb"/>
          <w:docGrid w:type="default" w:linePitch="360" w:charSpace="0"/>
        </w:sectPr>
      </w:pPr>
      <w:r>
        <w:rPr/>
      </w:r>
    </w:p>
    <w:p>
      <w:pPr>
        <w:pStyle w:val="TtulodeCapaefolhaderosto-IPCA"/>
        <w:rPr/>
      </w:pPr>
      <w:r>
        <w:rPr/>
        <w:t>INTEGRAÇÃO DO DESIGN E DA INTELIGÊNCIA ARTIFICIAL EM PROCESSOS PARAMÉTRICOS PARA O DESENVOLVIMENTO DE PRÓTESES DE MEMBROS SUPERIORES EM IMPRESSÃO 3D.</w:t>
      </w:r>
    </w:p>
    <w:p>
      <w:pPr>
        <w:pStyle w:val="TextoNormal-IPCA"/>
        <w:ind w:hanging="0"/>
        <w:rPr/>
      </w:pPr>
      <w:r>
        <w:rPr/>
      </w:r>
    </w:p>
    <w:p>
      <w:pPr>
        <w:pStyle w:val="TtulosPrembulo-IPCA"/>
        <w:rPr/>
      </w:pPr>
      <w:bookmarkStart w:id="0" w:name="_Toc521677099"/>
      <w:bookmarkStart w:id="1" w:name="_Toc235564907"/>
      <w:r>
        <w:rPr/>
        <w:t>RESUMO</w:t>
      </w:r>
      <w:bookmarkEnd w:id="0"/>
      <w:bookmarkEnd w:id="1"/>
    </w:p>
    <w:p>
      <w:pPr>
        <w:pStyle w:val="TextoNormal-IPCA"/>
        <w:rPr/>
      </w:pPr>
      <w:bookmarkStart w:id="2" w:name="docs-internal-guid-5a1f3565-7fff-23f9-30"/>
      <w:bookmarkEnd w:id="2"/>
      <w:r>
        <w:rPr>
          <w:rFonts w:ascii="Times New Roman" w:hAnsi="Times New Roman"/>
          <w:b w:val="false"/>
          <w:i w:val="false"/>
          <w:caps w:val="false"/>
          <w:smallCaps w:val="false"/>
          <w:strike w:val="false"/>
          <w:dstrike w:val="false"/>
          <w:color w:val="000000"/>
          <w:sz w:val="20"/>
          <w:u w:val="none"/>
          <w:effect w:val="none"/>
          <w:shd w:fill="auto" w:val="clear"/>
        </w:rPr>
        <w:t xml:space="preserve">A personalização de próteses de membros superiores continua condicionada por custos elevados, pela necessidade de competências técnicas especializadas e por dificuldades de tradução de dados antropométricos em geometrias configuráveis e fabricáveis. Este trabalho investiga de que modo o </w:t>
      </w:r>
      <w:r>
        <w:rPr>
          <w:rFonts w:ascii="Times New Roman" w:hAnsi="Times New Roman"/>
          <w:b w:val="false"/>
          <w:i/>
          <w:caps w:val="false"/>
          <w:smallCaps w:val="false"/>
          <w:strike w:val="false"/>
          <w:dstrike w:val="false"/>
          <w:color w:val="000000"/>
          <w:sz w:val="20"/>
          <w:u w:val="none"/>
          <w:effect w:val="none"/>
          <w:shd w:fill="auto" w:val="clear"/>
        </w:rPr>
        <w:t>design</w:t>
      </w:r>
      <w:r>
        <w:rPr>
          <w:rFonts w:ascii="Times New Roman" w:hAnsi="Times New Roman"/>
          <w:caps w:val="false"/>
          <w:smallCaps w:val="false"/>
          <w:strike w:val="false"/>
          <w:dstrike w:val="false"/>
          <w:color w:val="000000"/>
          <w:u w:val="none"/>
          <w:effect w:val="none"/>
          <w:shd w:fill="auto" w:val="clear"/>
        </w:rPr>
        <w:t xml:space="preserve"> </w:t>
      </w:r>
      <w:r>
        <w:rPr>
          <w:rFonts w:ascii="Times New Roman" w:hAnsi="Times New Roman"/>
          <w:b w:val="false"/>
          <w:i w:val="false"/>
          <w:caps w:val="false"/>
          <w:smallCaps w:val="false"/>
          <w:strike w:val="false"/>
          <w:dstrike w:val="false"/>
          <w:color w:val="000000"/>
          <w:sz w:val="20"/>
          <w:u w:val="none"/>
          <w:effect w:val="none"/>
          <w:shd w:fill="auto" w:val="clear"/>
        </w:rPr>
        <w:t xml:space="preserve">industrial, em articulação com a modelação paramétrica e a inteligência artificial, pode apoiar a configuração preliminar de modelos destinados à impressão 3D. A investigação adota uma abordagem de </w:t>
      </w:r>
      <w:r>
        <w:rPr>
          <w:rFonts w:ascii="Times New Roman" w:hAnsi="Times New Roman"/>
          <w:b w:val="false"/>
          <w:i/>
          <w:caps w:val="false"/>
          <w:smallCaps w:val="false"/>
          <w:strike w:val="false"/>
          <w:dstrike w:val="false"/>
          <w:color w:val="000000"/>
          <w:sz w:val="20"/>
          <w:u w:val="none"/>
          <w:effect w:val="none"/>
          <w:shd w:fill="auto" w:val="clear"/>
        </w:rPr>
        <w:t>Research Through Design</w:t>
      </w:r>
      <w:r>
        <w:rPr>
          <w:rFonts w:ascii="Times New Roman" w:hAnsi="Times New Roman"/>
          <w:b w:val="false"/>
          <w:i w:val="false"/>
          <w:caps w:val="false"/>
          <w:smallCaps w:val="false"/>
          <w:strike w:val="false"/>
          <w:dstrike w:val="false"/>
          <w:color w:val="000000"/>
          <w:sz w:val="20"/>
          <w:u w:val="none"/>
          <w:effect w:val="none"/>
          <w:shd w:fill="auto" w:val="clear"/>
        </w:rPr>
        <w:t xml:space="preserve">, que combina uma revisão crítica da literatura, uma análise de soluções </w:t>
      </w:r>
      <w:r>
        <w:rPr>
          <w:rFonts w:ascii="Times New Roman" w:hAnsi="Times New Roman"/>
          <w:b w:val="false"/>
          <w:i/>
          <w:caps w:val="false"/>
          <w:smallCaps w:val="false"/>
          <w:strike w:val="false"/>
          <w:dstrike w:val="false"/>
          <w:color w:val="000000"/>
          <w:sz w:val="20"/>
          <w:u w:val="none"/>
          <w:effect w:val="none"/>
          <w:shd w:fill="auto" w:val="clear"/>
        </w:rPr>
        <w:t>open source</w:t>
      </w:r>
      <w:r>
        <w:rPr>
          <w:rFonts w:ascii="Times New Roman" w:hAnsi="Times New Roman"/>
          <w:b w:val="false"/>
          <w:i w:val="false"/>
          <w:caps w:val="false"/>
          <w:smallCaps w:val="false"/>
          <w:strike w:val="false"/>
          <w:dstrike w:val="false"/>
          <w:color w:val="000000"/>
          <w:sz w:val="20"/>
          <w:u w:val="none"/>
          <w:effect w:val="none"/>
          <w:shd w:fill="auto" w:val="clear"/>
        </w:rPr>
        <w:t xml:space="preserve">, a estruturação de uma base local de dados antropométricos, o desenvolvimento de modelos em OpenSCAD, a integração numa plataforma </w:t>
      </w:r>
      <w:r>
        <w:rPr>
          <w:rFonts w:ascii="Times New Roman" w:hAnsi="Times New Roman"/>
          <w:b w:val="false"/>
          <w:i/>
          <w:caps w:val="false"/>
          <w:smallCaps w:val="false"/>
          <w:strike w:val="false"/>
          <w:dstrike w:val="false"/>
          <w:color w:val="000000"/>
          <w:sz w:val="20"/>
          <w:u w:val="none"/>
          <w:effect w:val="none"/>
          <w:shd w:fill="auto" w:val="clear"/>
        </w:rPr>
        <w:t>web</w:t>
      </w:r>
      <w:r>
        <w:rPr>
          <w:rFonts w:ascii="Times New Roman" w:hAnsi="Times New Roman"/>
          <w:b w:val="false"/>
          <w:i w:val="false"/>
          <w:caps w:val="false"/>
          <w:smallCaps w:val="false"/>
          <w:strike w:val="false"/>
          <w:dstrike w:val="false"/>
          <w:color w:val="000000"/>
          <w:sz w:val="20"/>
          <w:u w:val="none"/>
          <w:effect w:val="none"/>
          <w:shd w:fill="auto" w:val="clear"/>
        </w:rPr>
        <w:t xml:space="preserve">, a avaliação técnica, a exportação de geometrias e a prototipagem física. O protótipo de investigação converte descrições e medidas em sugestões paramétricas, permite visualizar a geometria no navegador e exporta ficheiros nos formatos </w:t>
      </w:r>
      <w:r>
        <w:rPr>
          <w:rFonts w:ascii="Times New Roman" w:hAnsi="Times New Roman"/>
          <w:b w:val="false"/>
          <w:i/>
          <w:caps w:val="false"/>
          <w:smallCaps w:val="false"/>
          <w:strike w:val="false"/>
          <w:dstrike w:val="false"/>
          <w:color w:val="000000"/>
          <w:sz w:val="20"/>
          <w:u w:val="none"/>
          <w:effect w:val="none"/>
          <w:shd w:fill="auto" w:val="clear"/>
        </w:rPr>
        <w:t>Stereolithography</w:t>
      </w:r>
      <w:r>
        <w:rPr>
          <w:rFonts w:ascii="Times New Roman" w:hAnsi="Times New Roman"/>
          <w:caps w:val="false"/>
          <w:smallCaps w:val="false"/>
          <w:strike w:val="false"/>
          <w:dstrike w:val="false"/>
          <w:color w:val="000000"/>
          <w:u w:val="none"/>
          <w:effect w:val="none"/>
          <w:shd w:fill="auto" w:val="clear"/>
        </w:rPr>
        <w:t xml:space="preserve"> </w:t>
      </w:r>
      <w:r>
        <w:rPr>
          <w:rFonts w:ascii="Times New Roman" w:hAnsi="Times New Roman"/>
          <w:b w:val="false"/>
          <w:i w:val="false"/>
          <w:caps w:val="false"/>
          <w:smallCaps w:val="false"/>
          <w:strike w:val="false"/>
          <w:dstrike w:val="false"/>
          <w:color w:val="000000"/>
          <w:sz w:val="20"/>
          <w:u w:val="none"/>
          <w:effect w:val="none"/>
          <w:shd w:fill="auto" w:val="clear"/>
        </w:rPr>
        <w:t xml:space="preserve">(STL) e </w:t>
      </w:r>
      <w:r>
        <w:rPr>
          <w:rFonts w:ascii="Times New Roman" w:hAnsi="Times New Roman"/>
          <w:b w:val="false"/>
          <w:i/>
          <w:caps w:val="false"/>
          <w:smallCaps w:val="false"/>
          <w:strike w:val="false"/>
          <w:dstrike w:val="false"/>
          <w:color w:val="000000"/>
          <w:sz w:val="20"/>
          <w:u w:val="none"/>
          <w:effect w:val="none"/>
          <w:shd w:fill="auto" w:val="clear"/>
        </w:rPr>
        <w:t>3D Manufacturing Format</w:t>
      </w:r>
      <w:r>
        <w:rPr>
          <w:rFonts w:ascii="Times New Roman" w:hAnsi="Times New Roman"/>
          <w:caps w:val="false"/>
          <w:smallCaps w:val="false"/>
          <w:strike w:val="false"/>
          <w:dstrike w:val="false"/>
          <w:color w:val="000000"/>
          <w:u w:val="none"/>
          <w:effect w:val="none"/>
          <w:shd w:fill="auto" w:val="clear"/>
        </w:rPr>
        <w:t xml:space="preserve"> </w:t>
      </w:r>
      <w:r>
        <w:rPr>
          <w:rFonts w:ascii="Times New Roman" w:hAnsi="Times New Roman"/>
          <w:b w:val="false"/>
          <w:i w:val="false"/>
          <w:caps w:val="false"/>
          <w:smallCaps w:val="false"/>
          <w:strike w:val="false"/>
          <w:dstrike w:val="false"/>
          <w:color w:val="000000"/>
          <w:sz w:val="20"/>
          <w:u w:val="none"/>
          <w:effect w:val="none"/>
          <w:shd w:fill="auto" w:val="clear"/>
        </w:rPr>
        <w:t>(3MF). A avaliação incidiu na conformidade das sugestões com o esquema de parâmetros, na propagação dos valores para a geometria, no funcionamento dos principais módulos da plataforma, na preparação dos ficheiros e na produção de peças físicas. Os ensaios permitiram detetar e corrigir problemas relativos à correspondência de perfis, à lateralidade e à escala em modelos específicos. Os resultados sustentam a coerência técnica do fluxo nas condições documentadas e evidenciam os limites próprios de cada modelo. O principal contributo da presente proposta consiste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ind w:hanging="0"/>
        <w:rPr>
          <w:rFonts w:ascii="Arial" w:hAnsi="Arial" w:eastAsia="" w:cs="Times New Roman (Cabeçalho CS)" w:eastAsiaTheme="majorEastAsia"/>
          <w:b/>
          <w:caps/>
          <w:szCs w:val="32"/>
        </w:rPr>
      </w:pPr>
      <w:r>
        <w:rPr>
          <w:b/>
        </w:rPr>
        <w:t>Palavras-chave:</w:t>
      </w:r>
      <w:r>
        <w:rPr/>
        <w:t xml:space="preserve"> </w:t>
      </w:r>
      <w:bookmarkStart w:id="3" w:name="_Hlk235518226"/>
      <w:r>
        <w:rPr>
          <w:i/>
          <w:iCs/>
        </w:rPr>
        <w:t>Design</w:t>
      </w:r>
      <w:r>
        <w:rPr/>
        <w:t xml:space="preserve"> industrial; Próteses de membro superior; Paramétrico; Inteligência artificial; impressão 3D;</w:t>
      </w:r>
      <w:bookmarkEnd w:id="3"/>
    </w:p>
    <w:p>
      <w:pPr>
        <w:pStyle w:val="TextoNormal-IPCA"/>
        <w:spacing w:before="0" w:after="0"/>
        <w:ind w:hanging="0"/>
        <w:rPr>
          <w:rFonts w:ascii="Arial" w:hAnsi="Arial" w:eastAsia="" w:cs="Times New Roman (Cabeçalho CS)" w:eastAsiaTheme="majorEastAsia"/>
          <w:b/>
          <w:caps/>
          <w:szCs w:val="32"/>
        </w:rPr>
        <w:sectPr>
          <w:headerReference w:type="default" r:id="rId31"/>
          <w:headerReference w:type="first" r:id="rId32"/>
          <w:footerReference w:type="default" r:id="rId33"/>
          <w:footerReference w:type="first" r:id="rId34"/>
          <w:type w:val="nextPage"/>
          <w:pgSz w:w="11906" w:h="16838"/>
          <w:pgMar w:left="1701" w:right="1701" w:gutter="0" w:header="709" w:top="1701" w:footer="709" w:bottom="1418"/>
          <w:pgNumType w:fmt="lowerRoman"/>
          <w:formProt w:val="false"/>
          <w:textDirection w:val="lrTb"/>
          <w:docGrid w:type="default" w:linePitch="360" w:charSpace="0"/>
        </w:sectPr>
      </w:pPr>
      <w:r>
        <w:rPr>
          <w:rFonts w:eastAsia="" w:cs="Times New Roman (Cabeçalho CS)" w:eastAsiaTheme="majorEastAsia" w:ascii="Arial" w:hAnsi="Arial"/>
          <w:b/>
          <w:caps/>
          <w:szCs w:val="32"/>
        </w:rPr>
      </w:r>
    </w:p>
    <w:p>
      <w:pPr>
        <w:pStyle w:val="TextoNormal-IPCA"/>
        <w:ind w:hanging="0"/>
        <w:rPr/>
      </w:pPr>
      <w:r>
        <w:rPr/>
      </w:r>
    </w:p>
    <w:p>
      <w:pPr>
        <w:pStyle w:val="TtulodeCapaefolhaderosto-IPCA"/>
        <w:rPr>
          <w:lang w:val="en-US"/>
        </w:rPr>
      </w:pPr>
      <w:bookmarkStart w:id="4" w:name="_Hlk235518243"/>
      <w:r>
        <w:rPr>
          <w:lang w:val="en-US"/>
        </w:rPr>
        <w:t>INTEGRATION OF DESIGN AND ARTIFICIAL INTELLIGENCE IN PARAMETRIC PROCESSES FOR THE DEVELOPMENT OF 3D-PRINTED UPPER-LIMB PROSTHESES</w:t>
      </w:r>
      <w:bookmarkEnd w:id="4"/>
    </w:p>
    <w:p>
      <w:pPr>
        <w:pStyle w:val="TextoNormal-IPCA"/>
        <w:rPr>
          <w:lang w:val="en-US"/>
        </w:rPr>
      </w:pPr>
      <w:r>
        <w:rPr>
          <w:lang w:val="en-US"/>
        </w:rPr>
      </w:r>
    </w:p>
    <w:p>
      <w:pPr>
        <w:pStyle w:val="TtulosPrembulo-IPCA"/>
        <w:rPr>
          <w:lang w:val="en-US"/>
        </w:rPr>
      </w:pPr>
      <w:bookmarkStart w:id="5" w:name="_Toc521677100"/>
      <w:bookmarkStart w:id="6" w:name="_Toc235564908"/>
      <w:r>
        <w:rPr>
          <w:lang w:val="en-US"/>
        </w:rPr>
        <w:t>ABSTRACT</w:t>
      </w:r>
      <w:bookmarkEnd w:id="5"/>
      <w:bookmarkEnd w:id="6"/>
    </w:p>
    <w:p>
      <w:pPr>
        <w:pStyle w:val="TextoNormal-IPCA"/>
        <w:rPr>
          <w:lang w:val="en-US"/>
        </w:rPr>
      </w:pPr>
      <w:bookmarkStart w:id="7" w:name="_Hlk235518310"/>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bookmarkEnd w:id="7"/>
    </w:p>
    <w:p>
      <w:pPr>
        <w:pStyle w:val="TextoNormal-IPCA"/>
        <w:rPr>
          <w:lang w:val="en-US"/>
        </w:rPr>
      </w:pPr>
      <w:r>
        <w:rPr>
          <w:lang w:val="en-US"/>
        </w:rPr>
      </w:r>
    </w:p>
    <w:p>
      <w:pPr>
        <w:pStyle w:val="TextoNormal-IPCA"/>
        <w:jc w:val="start"/>
        <w:rPr>
          <w:lang w:val="en-US"/>
        </w:rPr>
      </w:pPr>
      <w:r>
        <w:rPr>
          <w:b/>
          <w:lang w:val="en-US"/>
        </w:rPr>
        <w:t>Keywords:</w:t>
      </w:r>
      <w:r>
        <w:rPr>
          <w:lang w:val="en-US"/>
        </w:rPr>
        <w:t xml:space="preserve"> </w:t>
      </w:r>
      <w:bookmarkStart w:id="8" w:name="_Hlk235518336"/>
      <w:r>
        <w:rPr>
          <w:lang w:val="en-US"/>
        </w:rPr>
        <w:t xml:space="preserve">Industrial design; Upper-limb prostheses; Parametric; Artificial intelligence; 3D printing; </w:t>
      </w:r>
      <w:bookmarkEnd w:id="8"/>
      <w:r>
        <w:rPr>
          <w:lang w:val="en-US"/>
        </w:rPr>
        <w:br/>
      </w:r>
    </w:p>
    <w:p>
      <w:pPr>
        <w:pStyle w:val="TextoNormal-IPCA"/>
        <w:rPr>
          <w:rStyle w:val="TtulodeCapaefolhaderosto-IPCACarter"/>
          <w:rFonts w:ascii="Times New Roman" w:hAnsi="Times New Roman" w:cs="Times New Roman"/>
          <w:b w:val="false"/>
          <w:caps w:val="false"/>
          <w:smallCaps w:val="false"/>
          <w:sz w:val="24"/>
          <w:szCs w:val="24"/>
          <w:lang w:val="en-US"/>
        </w:rPr>
      </w:pPr>
      <w:r>
        <w:rPr>
          <w:rFonts w:cs="Times New Roman"/>
          <w:b w:val="false"/>
          <w:caps w:val="false"/>
          <w:smallCaps w:val="false"/>
          <w:sz w:val="24"/>
          <w:szCs w:val="24"/>
          <w:lang w:val="en-US"/>
        </w:rPr>
      </w:r>
    </w:p>
    <w:p>
      <w:pPr>
        <w:pStyle w:val="TextoNormal-IPCA"/>
        <w:rPr>
          <w:rStyle w:val="TtulodeCapaefolhaderosto-IPCACarter"/>
          <w:rFonts w:ascii="Times New Roman" w:hAnsi="Times New Roman" w:cs="Times New Roman"/>
          <w:b w:val="false"/>
          <w:caps w:val="false"/>
          <w:smallCaps w:val="false"/>
          <w:sz w:val="24"/>
          <w:szCs w:val="24"/>
          <w:lang w:val="en-US"/>
        </w:rPr>
      </w:pPr>
      <w:r>
        <w:rPr>
          <w:rFonts w:cs="Times New Roman"/>
          <w:b w:val="false"/>
          <w:caps w:val="false"/>
          <w:smallCaps w:val="false"/>
          <w:sz w:val="24"/>
          <w:szCs w:val="24"/>
          <w:lang w:val="en-US"/>
        </w:rPr>
      </w:r>
    </w:p>
    <w:p>
      <w:pPr>
        <w:pStyle w:val="TextoNormal-IPCA"/>
        <w:rPr>
          <w:rStyle w:val="TtulodeCapaefolhaderosto-IPCACarter"/>
          <w:rFonts w:ascii="Times New Roman" w:hAnsi="Times New Roman" w:cs="Times New Roman"/>
          <w:b w:val="false"/>
          <w:caps w:val="false"/>
          <w:smallCaps w:val="false"/>
          <w:sz w:val="24"/>
          <w:szCs w:val="24"/>
          <w:lang w:val="en-US"/>
        </w:rPr>
      </w:pPr>
      <w:r>
        <w:rPr>
          <w:rFonts w:cs="Times New Roman"/>
          <w:b w:val="false"/>
          <w:caps w:val="false"/>
          <w:smallCaps w:val="false"/>
          <w:sz w:val="24"/>
          <w:szCs w:val="24"/>
          <w:lang w:val="en-US"/>
        </w:rPr>
      </w:r>
    </w:p>
    <w:p>
      <w:pPr>
        <w:pStyle w:val="TextoNormal-IPCA"/>
        <w:spacing w:before="0" w:after="0"/>
        <w:rPr>
          <w:rStyle w:val="TtulodeCapaefolhaderosto-IPCACarter"/>
          <w:rFonts w:ascii="Times New Roman" w:hAnsi="Times New Roman" w:cs="Times New Roman"/>
          <w:b w:val="false"/>
          <w:caps w:val="false"/>
          <w:smallCaps w:val="false"/>
          <w:sz w:val="24"/>
          <w:szCs w:val="24"/>
          <w:lang w:val="en-US"/>
        </w:rPr>
        <w:sectPr>
          <w:headerReference w:type="default" r:id="rId35"/>
          <w:headerReference w:type="first" r:id="rId36"/>
          <w:footerReference w:type="default" r:id="rId37"/>
          <w:footerReference w:type="first" r:id="rId38"/>
          <w:type w:val="nextPage"/>
          <w:pgSz w:w="11906" w:h="16838"/>
          <w:pgMar w:left="1701" w:right="1701" w:gutter="0" w:header="709" w:top="1701" w:footer="709" w:bottom="1418"/>
          <w:pgNumType w:fmt="lowerRoman"/>
          <w:formProt w:val="false"/>
          <w:textDirection w:val="lrTb"/>
          <w:docGrid w:type="default" w:linePitch="360" w:charSpace="0"/>
        </w:sectPr>
      </w:pPr>
      <w:r>
        <w:rPr>
          <w:rFonts w:cs="Times New Roman"/>
          <w:b w:val="false"/>
          <w:caps w:val="false"/>
          <w:smallCaps w:val="false"/>
          <w:sz w:val="24"/>
          <w:szCs w:val="24"/>
          <w:lang w:val="en-US"/>
        </w:rPr>
      </w:r>
    </w:p>
    <w:p>
      <w:pPr>
        <w:pStyle w:val="TtulosPrembulo-IPCA"/>
        <w:rPr>
          <w:lang w:val="en-US"/>
        </w:rPr>
      </w:pPr>
      <w:r>
        <w:rPr>
          <w:lang w:val="en-US"/>
        </w:rPr>
      </w:r>
    </w:p>
    <w:p>
      <w:pPr>
        <w:pStyle w:val="TextoNormal-IPCA"/>
        <w:rPr/>
      </w:pPr>
      <w:r>
        <w:rPr/>
        <w:t>À Patrícia, pela coragem de abraçar os meus desafios.</w:t>
      </w:r>
    </w:p>
    <w:p>
      <w:pPr>
        <w:pStyle w:val="TextoNormal-IPCA"/>
        <w:rPr/>
      </w:pPr>
      <w:r>
        <w:rPr/>
        <w:t>À família e aos amigos, pelo apoio constante.</w:t>
      </w:r>
    </w:p>
    <w:p>
      <w:pPr>
        <w:pStyle w:val="TextoNormal-IPCA"/>
        <w:rPr/>
      </w:pPr>
      <w:r>
        <w:rPr/>
        <w:t>A ti, por estares a ler estas palavras.</w:t>
      </w:r>
    </w:p>
    <w:p>
      <w:pPr>
        <w:pStyle w:val="TextoNormal-IPCA"/>
        <w:spacing w:before="0" w:after="0"/>
        <w:rPr>
          <w:i/>
        </w:rPr>
        <w:sectPr>
          <w:headerReference w:type="default" r:id="rId39"/>
          <w:headerReference w:type="first" r:id="rId40"/>
          <w:footerReference w:type="default" r:id="rId41"/>
          <w:footerReference w:type="first" r:id="rId42"/>
          <w:type w:val="nextPage"/>
          <w:pgSz w:w="11906" w:h="16838"/>
          <w:pgMar w:left="1701" w:right="1701" w:gutter="0" w:header="709" w:top="1701" w:footer="709" w:bottom="1418"/>
          <w:pgNumType w:fmt="lowerRoman"/>
          <w:formProt w:val="false"/>
          <w:textDirection w:val="lrTb"/>
          <w:docGrid w:type="default" w:linePitch="360" w:charSpace="0"/>
        </w:sectPr>
      </w:pPr>
      <w:r>
        <w:rPr>
          <w:i/>
        </w:rPr>
      </w:r>
    </w:p>
    <w:p>
      <w:pPr>
        <w:pStyle w:val="TextoNormal-IPCA"/>
        <w:rPr>
          <w:i/>
        </w:rPr>
      </w:pPr>
      <w:r>
        <w:rPr>
          <w:i/>
        </w:rPr>
      </w:r>
    </w:p>
    <w:p>
      <w:pPr>
        <w:pStyle w:val="TtulosPrembulo-IPCA"/>
        <w:rPr/>
      </w:pPr>
      <w:bookmarkStart w:id="9" w:name="_Toc521677103"/>
      <w:bookmarkStart w:id="10" w:name="_Toc235564909"/>
      <w:r>
        <w:rPr/>
        <w:t>LISTA DE ABREVIATURAS E SIGLAS</w:t>
      </w:r>
      <w:bookmarkEnd w:id="9"/>
      <w:bookmarkEnd w:id="10"/>
    </w:p>
    <w:p>
      <w:pPr>
        <w:pStyle w:val="TextoNormal-IPCA"/>
        <w:rPr/>
      </w:pPr>
      <w:r>
        <w:rPr/>
      </w:r>
    </w:p>
    <w:p>
      <w:pPr>
        <w:pStyle w:val="TextoNormal-IPCA"/>
        <w:rPr/>
      </w:pPr>
      <w:bookmarkStart w:id="11" w:name="_Hlk235518418"/>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objeto.</w:t>
      </w:r>
    </w:p>
    <w:p>
      <w:pPr>
        <w:pStyle w:val="TextoNormal-IPCA"/>
        <w:rPr/>
      </w:pPr>
      <w:r>
        <w:rPr/>
        <w:t>EMG – Eletromiografia; registo da atividade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sectPr>
          <w:headerReference w:type="default" r:id="rId43"/>
          <w:headerReference w:type="first" r:id="rId44"/>
          <w:footerReference w:type="default" r:id="rId45"/>
          <w:footerReference w:type="first" r:id="rId46"/>
          <w:type w:val="nextPage"/>
          <w:pgSz w:w="11906" w:h="16838"/>
          <w:pgMar w:left="1701" w:right="1701" w:gutter="0" w:header="709" w:top="1701" w:footer="709" w:bottom="1418"/>
          <w:pgNumType w:fmt="lowerRoman"/>
          <w:formProt w:val="false"/>
          <w:textDirection w:val="lrTb"/>
          <w:docGrid w:type="default" w:linePitch="360" w:charSpace="0"/>
        </w:sectPr>
      </w:pPr>
      <w:r>
        <w:rPr/>
        <w:t xml:space="preserve">XAI – </w:t>
      </w:r>
      <w:r>
        <w:rPr>
          <w:i/>
          <w:iCs/>
        </w:rPr>
        <w:t>Explainable Artificial Intelligence</w:t>
      </w:r>
      <w:r>
        <w:rPr/>
        <w:t>; inteligência artificial explicável.</w:t>
      </w:r>
      <w:bookmarkEnd w:id="11"/>
    </w:p>
    <w:p>
      <w:pPr>
        <w:pStyle w:val="TextoNormal-IPCA"/>
        <w:rPr/>
      </w:pPr>
      <w:r>
        <w:rPr/>
      </w:r>
    </w:p>
    <w:p>
      <w:pPr>
        <w:sectPr>
          <w:headerReference w:type="default" r:id="rId47"/>
          <w:headerReference w:type="first" r:id="rId48"/>
          <w:footerReference w:type="default" r:id="rId49"/>
          <w:footerReference w:type="first" r:id="rId50"/>
          <w:type w:val="nextPage"/>
          <w:pgSz w:w="11906" w:h="16838"/>
          <w:pgMar w:left="1701" w:right="1701" w:gutter="0" w:header="709" w:top="1701" w:footer="709" w:bottom="1418"/>
          <w:pgNumType w:fmt="lowerRoman"/>
          <w:formProt w:val="false"/>
          <w:textDirection w:val="lrTb"/>
          <w:docGrid w:type="default" w:linePitch="360" w:charSpace="0"/>
        </w:sectPr>
      </w:pPr>
    </w:p>
    <w:sdt>
      <w:sdtPr>
        <w:docPartObj>
          <w:docPartGallery w:val="Table of Contents"/>
          <w:docPartUnique w:val="true"/>
        </w:docPartObj>
      </w:sdtPr>
      <w:sdtContent>
        <w:p>
          <w:pPr>
            <w:pStyle w:val="TOCHeading"/>
            <w:rPr>
              <w:rStyle w:val="TtulosPrembulo-IPCACarter"/>
              <w:b/>
              <w:bCs/>
              <w:sz w:val="24"/>
              <w:szCs w:val="30"/>
            </w:rPr>
          </w:pPr>
          <w:r>
            <w:rPr>
              <w:rStyle w:val="TtulosPrembulo-IPCACarter"/>
              <w:b/>
              <w:bCs/>
              <w:sz w:val="24"/>
              <w:szCs w:val="30"/>
            </w:rPr>
            <w:t>ÍNDICE</w:t>
          </w:r>
        </w:p>
        <w:p>
          <w:pPr>
            <w:pStyle w:val="TOC1"/>
            <w:tabs>
              <w:tab w:val="right" w:pos="8494" w:leader="none"/>
            </w:tabs>
            <w:rPr>
              <w:rFonts w:eastAsia="" w:eastAsiaTheme="minorEastAsia"/>
              <w:b w:val="false"/>
              <w:bCs w:val="false"/>
              <w:caps w:val="false"/>
              <w:smallCaps w:val="false"/>
              <w:sz w:val="24"/>
              <w:szCs w:val="24"/>
              <w:lang w:eastAsia="pt-PT"/>
            </w:rPr>
          </w:pPr>
          <w:r>
            <w:fldChar w:fldCharType="begin"/>
          </w:r>
          <w:r>
            <w:rPr>
              <w:rStyle w:val="IndexLink"/>
              <w:webHidden/>
            </w:rPr>
            <w:instrText xml:space="preserve"> TOC \z \o "1-3" \u \h</w:instrText>
          </w:r>
          <w:r>
            <w:rPr>
              <w:rStyle w:val="IndexLink"/>
              <w:webHidden/>
            </w:rPr>
            <w:fldChar w:fldCharType="separate"/>
          </w:r>
          <w:hyperlink w:anchor="_Toc235564907">
            <w:r>
              <w:rPr>
                <w:rStyle w:val="IndexLink"/>
                <w:webHidden/>
              </w:rPr>
              <w:t>RESUMO</w:t>
            </w:r>
            <w:r>
              <w:rPr>
                <w:webHidden/>
              </w:rPr>
              <w:fldChar w:fldCharType="begin"/>
            </w:r>
            <w:r>
              <w:rPr>
                <w:webHidden/>
              </w:rPr>
              <w:instrText xml:space="preserve">PAGEREF _Toc235564907 \h</w:instrText>
            </w:r>
            <w:r>
              <w:rPr>
                <w:webHidden/>
              </w:rPr>
              <w:fldChar w:fldCharType="separate"/>
            </w:r>
            <w:r>
              <w:rPr>
                <w:rStyle w:val="IndexLink"/>
                <w:vanish w:val="false"/>
              </w:rPr>
              <w:tab/>
              <w:t>vi</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4908">
            <w:r>
              <w:rPr>
                <w:rStyle w:val="IndexLink"/>
                <w:webHidden/>
                <w:lang w:val="en-US"/>
              </w:rPr>
              <w:t>ABSTRACT</w:t>
            </w:r>
            <w:r>
              <w:rPr>
                <w:webHidden/>
              </w:rPr>
              <w:fldChar w:fldCharType="begin"/>
            </w:r>
            <w:r>
              <w:rPr>
                <w:webHidden/>
              </w:rPr>
              <w:instrText xml:space="preserve">PAGEREF _Toc235564908 \h</w:instrText>
            </w:r>
            <w:r>
              <w:rPr>
                <w:webHidden/>
              </w:rPr>
              <w:fldChar w:fldCharType="separate"/>
            </w:r>
            <w:r>
              <w:rPr>
                <w:rStyle w:val="IndexLink"/>
                <w:vanish w:val="false"/>
              </w:rPr>
              <w:tab/>
              <w:t>vii</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4909">
            <w:r>
              <w:rPr>
                <w:rStyle w:val="IndexLink"/>
                <w:webHidden/>
              </w:rPr>
              <w:t>LISTA DE ABREVIATURAS E SIGLAS</w:t>
            </w:r>
            <w:r>
              <w:rPr>
                <w:webHidden/>
              </w:rPr>
              <w:fldChar w:fldCharType="begin"/>
            </w:r>
            <w:r>
              <w:rPr>
                <w:webHidden/>
              </w:rPr>
              <w:instrText xml:space="preserve">PAGEREF _Toc235564909 \h</w:instrText>
            </w:r>
            <w:r>
              <w:rPr>
                <w:webHidden/>
              </w:rPr>
              <w:fldChar w:fldCharType="separate"/>
            </w:r>
            <w:r>
              <w:rPr>
                <w:rStyle w:val="IndexLink"/>
                <w:vanish w:val="false"/>
              </w:rPr>
              <w:tab/>
              <w:t>xiii</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4910">
            <w:r>
              <w:rPr>
                <w:rStyle w:val="IndexLink"/>
                <w:webHidden/>
              </w:rPr>
              <w:t>ÍNDICE DE FIGURAS</w:t>
            </w:r>
            <w:r>
              <w:rPr>
                <w:webHidden/>
              </w:rPr>
              <w:fldChar w:fldCharType="begin"/>
            </w:r>
            <w:r>
              <w:rPr>
                <w:webHidden/>
              </w:rPr>
              <w:instrText xml:space="preserve">PAGEREF _Toc235564910 \h</w:instrText>
            </w:r>
            <w:r>
              <w:rPr>
                <w:webHidden/>
              </w:rPr>
              <w:fldChar w:fldCharType="separate"/>
            </w:r>
            <w:r>
              <w:rPr>
                <w:rStyle w:val="IndexLink"/>
                <w:vanish w:val="false"/>
              </w:rPr>
              <w:tab/>
              <w:t>xxii</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4911">
            <w:r>
              <w:rPr>
                <w:rStyle w:val="IndexLink"/>
                <w:webHidden/>
              </w:rPr>
              <w:t>ÍNDICE DE TABELAS</w:t>
            </w:r>
            <w:r>
              <w:rPr>
                <w:webHidden/>
              </w:rPr>
              <w:fldChar w:fldCharType="begin"/>
            </w:r>
            <w:r>
              <w:rPr>
                <w:webHidden/>
              </w:rPr>
              <w:instrText xml:space="preserve">PAGEREF _Toc235564911 \h</w:instrText>
            </w:r>
            <w:r>
              <w:rPr>
                <w:webHidden/>
              </w:rPr>
              <w:fldChar w:fldCharType="separate"/>
            </w:r>
            <w:r>
              <w:rPr>
                <w:rStyle w:val="IndexLink"/>
                <w:vanish w:val="false"/>
              </w:rPr>
              <w:tab/>
              <w:t>xxiv</w:t>
            </w:r>
            <w:r>
              <w:rPr>
                <w:webHidden/>
              </w:rPr>
              <w:fldChar w:fldCharType="end"/>
            </w:r>
          </w:hyperlink>
        </w:p>
        <w:p>
          <w:pPr>
            <w:pStyle w:val="TOC1"/>
            <w:tabs>
              <w:tab w:val="left" w:pos="480" w:leader="none"/>
              <w:tab w:val="right" w:pos="8494" w:leader="none"/>
            </w:tabs>
            <w:rPr>
              <w:rFonts w:eastAsia="" w:eastAsiaTheme="minorEastAsia"/>
              <w:b w:val="false"/>
              <w:bCs w:val="false"/>
              <w:caps w:val="false"/>
              <w:smallCaps w:val="false"/>
              <w:sz w:val="24"/>
              <w:szCs w:val="24"/>
              <w:lang w:eastAsia="pt-PT"/>
            </w:rPr>
          </w:pPr>
          <w:hyperlink w:anchor="_Toc235564912">
            <w:r>
              <w:rPr>
                <w:rStyle w:val="IndexLink"/>
                <w:webHidden/>
              </w:rPr>
              <w:t>1</w:t>
            </w:r>
            <w:r>
              <w:rPr>
                <w:rStyle w:val="IndexLink"/>
                <w:rFonts w:eastAsia="" w:eastAsiaTheme="minorEastAsia"/>
                <w:b w:val="false"/>
                <w:bCs w:val="false"/>
                <w:caps w:val="false"/>
                <w:smallCaps w:val="false"/>
                <w:sz w:val="24"/>
                <w:szCs w:val="24"/>
                <w:lang w:eastAsia="pt-PT"/>
              </w:rPr>
              <w:tab/>
            </w:r>
            <w:r>
              <w:rPr>
                <w:rStyle w:val="IndexLink"/>
              </w:rPr>
              <w:t>Introdução</w:t>
            </w:r>
            <w:r>
              <w:rPr>
                <w:webHidden/>
              </w:rPr>
              <w:fldChar w:fldCharType="begin"/>
            </w:r>
            <w:r>
              <w:rPr>
                <w:webHidden/>
              </w:rPr>
              <w:instrText xml:space="preserve">PAGEREF _Toc235564912 \h</w:instrText>
            </w:r>
            <w:r>
              <w:rPr>
                <w:webHidden/>
              </w:rPr>
              <w:fldChar w:fldCharType="separate"/>
            </w:r>
            <w:r>
              <w:rPr>
                <w:rStyle w:val="IndexLink"/>
                <w:vanish w:val="false"/>
              </w:rPr>
              <w:tab/>
              <w:t>1</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13">
            <w:r>
              <w:rPr>
                <w:rStyle w:val="IndexLink"/>
                <w:webHidden/>
              </w:rPr>
              <w:t>1.1 Enquadramento geral, contexto e motivação</w:t>
            </w:r>
            <w:r>
              <w:rPr>
                <w:webHidden/>
              </w:rPr>
              <w:fldChar w:fldCharType="begin"/>
            </w:r>
            <w:r>
              <w:rPr>
                <w:webHidden/>
              </w:rPr>
              <w:instrText xml:space="preserve">PAGEREF _Toc235564913 \h</w:instrText>
            </w:r>
            <w:r>
              <w:rPr>
                <w:webHidden/>
              </w:rPr>
              <w:fldChar w:fldCharType="separate"/>
            </w:r>
            <w:r>
              <w:rPr>
                <w:rStyle w:val="IndexLink"/>
                <w:vanish w:val="false"/>
              </w:rPr>
              <w:tab/>
              <w:t>1</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14">
            <w:r>
              <w:rPr>
                <w:rStyle w:val="IndexLink"/>
                <w:webHidden/>
              </w:rPr>
              <w:t>1.2 Problema de investigação</w:t>
            </w:r>
            <w:r>
              <w:rPr>
                <w:webHidden/>
              </w:rPr>
              <w:fldChar w:fldCharType="begin"/>
            </w:r>
            <w:r>
              <w:rPr>
                <w:webHidden/>
              </w:rPr>
              <w:instrText xml:space="preserve">PAGEREF _Toc235564914 \h</w:instrText>
            </w:r>
            <w:r>
              <w:rPr>
                <w:webHidden/>
              </w:rPr>
              <w:fldChar w:fldCharType="separate"/>
            </w:r>
            <w:r>
              <w:rPr>
                <w:rStyle w:val="IndexLink"/>
                <w:vanish w:val="false"/>
              </w:rPr>
              <w:tab/>
              <w:t>3</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15">
            <w:r>
              <w:rPr>
                <w:rStyle w:val="IndexLink"/>
                <w:webHidden/>
              </w:rPr>
              <w:t>1.3 Objetivos da investigação</w:t>
            </w:r>
            <w:r>
              <w:rPr>
                <w:webHidden/>
              </w:rPr>
              <w:fldChar w:fldCharType="begin"/>
            </w:r>
            <w:r>
              <w:rPr>
                <w:webHidden/>
              </w:rPr>
              <w:instrText xml:space="preserve">PAGEREF _Toc235564915 \h</w:instrText>
            </w:r>
            <w:r>
              <w:rPr>
                <w:webHidden/>
              </w:rPr>
              <w:fldChar w:fldCharType="separate"/>
            </w:r>
            <w:r>
              <w:rPr>
                <w:rStyle w:val="IndexLink"/>
                <w:vanish w:val="false"/>
              </w:rPr>
              <w:tab/>
              <w:t>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16">
            <w:r>
              <w:rPr>
                <w:rStyle w:val="IndexLink"/>
                <w:webHidden/>
              </w:rPr>
              <w:t>1.3.1 Objetivo geral</w:t>
            </w:r>
            <w:r>
              <w:rPr>
                <w:webHidden/>
              </w:rPr>
              <w:fldChar w:fldCharType="begin"/>
            </w:r>
            <w:r>
              <w:rPr>
                <w:webHidden/>
              </w:rPr>
              <w:instrText xml:space="preserve">PAGEREF _Toc235564916 \h</w:instrText>
            </w:r>
            <w:r>
              <w:rPr>
                <w:webHidden/>
              </w:rPr>
              <w:fldChar w:fldCharType="separate"/>
            </w:r>
            <w:r>
              <w:rPr>
                <w:rStyle w:val="IndexLink"/>
                <w:vanish w:val="false"/>
              </w:rPr>
              <w:tab/>
              <w:t>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17">
            <w:r>
              <w:rPr>
                <w:rStyle w:val="IndexLink"/>
                <w:webHidden/>
              </w:rPr>
              <w:t>1.3.2 Objetivos específicos</w:t>
            </w:r>
            <w:r>
              <w:rPr>
                <w:webHidden/>
              </w:rPr>
              <w:fldChar w:fldCharType="begin"/>
            </w:r>
            <w:r>
              <w:rPr>
                <w:webHidden/>
              </w:rPr>
              <w:instrText xml:space="preserve">PAGEREF _Toc235564917 \h</w:instrText>
            </w:r>
            <w:r>
              <w:rPr>
                <w:webHidden/>
              </w:rPr>
              <w:fldChar w:fldCharType="separate"/>
            </w:r>
            <w:r>
              <w:rPr>
                <w:rStyle w:val="IndexLink"/>
                <w:vanish w:val="false"/>
              </w:rPr>
              <w:tab/>
              <w:t>3</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18">
            <w:r>
              <w:rPr>
                <w:rStyle w:val="IndexLink"/>
                <w:webHidden/>
              </w:rPr>
              <w:t>1.4 Abordagem metodológica geral</w:t>
            </w:r>
            <w:r>
              <w:rPr>
                <w:webHidden/>
              </w:rPr>
              <w:fldChar w:fldCharType="begin"/>
            </w:r>
            <w:r>
              <w:rPr>
                <w:webHidden/>
              </w:rPr>
              <w:instrText xml:space="preserve">PAGEREF _Toc235564918 \h</w:instrText>
            </w:r>
            <w:r>
              <w:rPr>
                <w:webHidden/>
              </w:rPr>
              <w:fldChar w:fldCharType="separate"/>
            </w:r>
            <w:r>
              <w:rPr>
                <w:rStyle w:val="IndexLink"/>
                <w:vanish w:val="false"/>
              </w:rPr>
              <w:tab/>
              <w:t>4</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19">
            <w:r>
              <w:rPr>
                <w:rStyle w:val="IndexLink"/>
                <w:webHidden/>
              </w:rPr>
              <w:t>1.5 Estrutura da investigação</w:t>
            </w:r>
            <w:r>
              <w:rPr>
                <w:webHidden/>
              </w:rPr>
              <w:fldChar w:fldCharType="begin"/>
            </w:r>
            <w:r>
              <w:rPr>
                <w:webHidden/>
              </w:rPr>
              <w:instrText xml:space="preserve">PAGEREF _Toc235564919 \h</w:instrText>
            </w:r>
            <w:r>
              <w:rPr>
                <w:webHidden/>
              </w:rPr>
              <w:fldChar w:fldCharType="separate"/>
            </w:r>
            <w:r>
              <w:rPr>
                <w:rStyle w:val="IndexLink"/>
                <w:vanish w:val="false"/>
              </w:rPr>
              <w:tab/>
              <w:t>5</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4920">
            <w:r>
              <w:rPr>
                <w:rStyle w:val="IndexLink"/>
                <w:webHidden/>
              </w:rPr>
              <w:t>Capítulo 2 — Enquadramento Teórico e Estado da Arte</w:t>
            </w:r>
            <w:r>
              <w:rPr>
                <w:webHidden/>
              </w:rPr>
              <w:fldChar w:fldCharType="begin"/>
            </w:r>
            <w:r>
              <w:rPr>
                <w:webHidden/>
              </w:rPr>
              <w:instrText xml:space="preserve">PAGEREF _Toc235564920 \h</w:instrText>
            </w:r>
            <w:r>
              <w:rPr>
                <w:webHidden/>
              </w:rPr>
              <w:fldChar w:fldCharType="separate"/>
            </w:r>
            <w:r>
              <w:rPr>
                <w:rStyle w:val="IndexLink"/>
                <w:vanish w:val="false"/>
              </w:rPr>
              <w:tab/>
              <w:t>6</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21">
            <w:r>
              <w:rPr>
                <w:rStyle w:val="IndexLink"/>
                <w:webHidden/>
              </w:rPr>
              <w:t>2.1 Prótese de membro superior e dispositivos médicos</w:t>
            </w:r>
            <w:r>
              <w:rPr>
                <w:webHidden/>
              </w:rPr>
              <w:fldChar w:fldCharType="begin"/>
            </w:r>
            <w:r>
              <w:rPr>
                <w:webHidden/>
              </w:rPr>
              <w:instrText xml:space="preserve">PAGEREF _Toc235564921 \h</w:instrText>
            </w:r>
            <w:r>
              <w:rPr>
                <w:webHidden/>
              </w:rPr>
              <w:fldChar w:fldCharType="separate"/>
            </w:r>
            <w:r>
              <w:rPr>
                <w:rStyle w:val="IndexLink"/>
                <w:vanish w:val="false"/>
              </w:rPr>
              <w:tab/>
              <w:t>6</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22">
            <w:r>
              <w:rPr>
                <w:rStyle w:val="IndexLink"/>
                <w:webHidden/>
              </w:rPr>
              <w:t>Tipologias de próteses de membro superior</w:t>
            </w:r>
            <w:r>
              <w:rPr>
                <w:webHidden/>
              </w:rPr>
              <w:fldChar w:fldCharType="begin"/>
            </w:r>
            <w:r>
              <w:rPr>
                <w:webHidden/>
              </w:rPr>
              <w:instrText xml:space="preserve">PAGEREF _Toc235564922 \h</w:instrText>
            </w:r>
            <w:r>
              <w:rPr>
                <w:webHidden/>
              </w:rPr>
              <w:fldChar w:fldCharType="separate"/>
            </w:r>
            <w:r>
              <w:rPr>
                <w:rStyle w:val="IndexLink"/>
                <w:vanish w:val="false"/>
              </w:rPr>
              <w:tab/>
              <w:t>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23">
            <w:r>
              <w:rPr>
                <w:rStyle w:val="IndexLink"/>
                <w:webHidden/>
              </w:rPr>
              <w:t>Próteses mecânicas acionadas pelo corpo (body-powered)</w:t>
            </w:r>
            <w:r>
              <w:rPr>
                <w:webHidden/>
              </w:rPr>
              <w:fldChar w:fldCharType="begin"/>
            </w:r>
            <w:r>
              <w:rPr>
                <w:webHidden/>
              </w:rPr>
              <w:instrText xml:space="preserve">PAGEREF _Toc235564923 \h</w:instrText>
            </w:r>
            <w:r>
              <w:rPr>
                <w:webHidden/>
              </w:rPr>
              <w:fldChar w:fldCharType="separate"/>
            </w:r>
            <w:r>
              <w:rPr>
                <w:rStyle w:val="IndexLink"/>
                <w:vanish w:val="false"/>
              </w:rPr>
              <w:tab/>
              <w:t>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24">
            <w:r>
              <w:rPr>
                <w:rStyle w:val="IndexLink"/>
                <w:webHidden/>
              </w:rPr>
              <w:t>Próteses mioeléctricas</w:t>
            </w:r>
            <w:r>
              <w:rPr>
                <w:webHidden/>
              </w:rPr>
              <w:fldChar w:fldCharType="begin"/>
            </w:r>
            <w:r>
              <w:rPr>
                <w:webHidden/>
              </w:rPr>
              <w:instrText xml:space="preserve">PAGEREF _Toc235564924 \h</w:instrText>
            </w:r>
            <w:r>
              <w:rPr>
                <w:webHidden/>
              </w:rPr>
              <w:fldChar w:fldCharType="separate"/>
            </w:r>
            <w:r>
              <w:rPr>
                <w:rStyle w:val="IndexLink"/>
                <w:vanish w:val="false"/>
              </w:rPr>
              <w:tab/>
              <w:t>8</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25">
            <w:r>
              <w:rPr>
                <w:rStyle w:val="IndexLink"/>
                <w:webHidden/>
              </w:rPr>
              <w:t>Sistemas híbridos</w:t>
            </w:r>
            <w:r>
              <w:rPr>
                <w:webHidden/>
              </w:rPr>
              <w:fldChar w:fldCharType="begin"/>
            </w:r>
            <w:r>
              <w:rPr>
                <w:webHidden/>
              </w:rPr>
              <w:instrText xml:space="preserve">PAGEREF _Toc235564925 \h</w:instrText>
            </w:r>
            <w:r>
              <w:rPr>
                <w:webHidden/>
              </w:rPr>
              <w:fldChar w:fldCharType="separate"/>
            </w:r>
            <w:r>
              <w:rPr>
                <w:rStyle w:val="IndexLink"/>
                <w:vanish w:val="false"/>
              </w:rPr>
              <w:tab/>
              <w:t>8</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26">
            <w:r>
              <w:rPr>
                <w:rStyle w:val="IndexLink"/>
                <w:webHidden/>
              </w:rPr>
              <w:t>Considerações clínicas e funcionais</w:t>
            </w:r>
            <w:r>
              <w:rPr>
                <w:webHidden/>
              </w:rPr>
              <w:fldChar w:fldCharType="begin"/>
            </w:r>
            <w:r>
              <w:rPr>
                <w:webHidden/>
              </w:rPr>
              <w:instrText xml:space="preserve">PAGEREF _Toc235564926 \h</w:instrText>
            </w:r>
            <w:r>
              <w:rPr>
                <w:webHidden/>
              </w:rPr>
              <w:fldChar w:fldCharType="separate"/>
            </w:r>
            <w:r>
              <w:rPr>
                <w:rStyle w:val="IndexLink"/>
                <w:vanish w:val="false"/>
              </w:rPr>
              <w:tab/>
              <w:t>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27">
            <w:r>
              <w:rPr>
                <w:rStyle w:val="IndexLink"/>
                <w:webHidden/>
              </w:rPr>
              <w:t>Medição de resultados e abandono protésico</w:t>
            </w:r>
            <w:r>
              <w:rPr>
                <w:webHidden/>
              </w:rPr>
              <w:fldChar w:fldCharType="begin"/>
            </w:r>
            <w:r>
              <w:rPr>
                <w:webHidden/>
              </w:rPr>
              <w:instrText xml:space="preserve">PAGEREF _Toc235564927 \h</w:instrText>
            </w:r>
            <w:r>
              <w:rPr>
                <w:webHidden/>
              </w:rPr>
              <w:fldChar w:fldCharType="separate"/>
            </w:r>
            <w:r>
              <w:rPr>
                <w:rStyle w:val="IndexLink"/>
                <w:vanish w:val="false"/>
              </w:rPr>
              <w:tab/>
              <w:t>10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28">
            <w:r>
              <w:rPr>
                <w:rStyle w:val="IndexLink"/>
                <w:webHidden/>
              </w:rPr>
              <w:t>Enquadramento regulatório enquanto dispositivo médico</w:t>
            </w:r>
            <w:r>
              <w:rPr>
                <w:webHidden/>
              </w:rPr>
              <w:fldChar w:fldCharType="begin"/>
            </w:r>
            <w:r>
              <w:rPr>
                <w:webHidden/>
              </w:rPr>
              <w:instrText xml:space="preserve">PAGEREF _Toc235564928 \h</w:instrText>
            </w:r>
            <w:r>
              <w:rPr>
                <w:webHidden/>
              </w:rPr>
              <w:fldChar w:fldCharType="separate"/>
            </w:r>
            <w:r>
              <w:rPr>
                <w:rStyle w:val="IndexLink"/>
                <w:vanish w:val="false"/>
              </w:rPr>
              <w:tab/>
              <w:t>12</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29">
            <w:r>
              <w:rPr>
                <w:rStyle w:val="IndexLink"/>
                <w:webHidden/>
              </w:rPr>
              <w:t xml:space="preserve">2.2 </w:t>
            </w:r>
            <w:r>
              <w:rPr>
                <w:rStyle w:val="IndexLink"/>
                <w:i/>
                <w:iCs/>
              </w:rPr>
              <w:t>Design</w:t>
            </w:r>
            <w:r>
              <w:rPr>
                <w:rStyle w:val="IndexLink"/>
              </w:rPr>
              <w:t xml:space="preserve"> industrial, </w:t>
            </w:r>
            <w:r>
              <w:rPr>
                <w:rStyle w:val="IndexLink"/>
                <w:i/>
                <w:iCs/>
              </w:rPr>
              <w:t>design</w:t>
            </w:r>
            <w:r>
              <w:rPr>
                <w:rStyle w:val="IndexLink"/>
              </w:rPr>
              <w:t xml:space="preserve"> inclusivo e </w:t>
            </w:r>
            <w:r>
              <w:rPr>
                <w:rStyle w:val="IndexLink"/>
                <w:i/>
                <w:iCs/>
              </w:rPr>
              <w:t>design</w:t>
            </w:r>
            <w:r>
              <w:rPr>
                <w:rStyle w:val="IndexLink"/>
              </w:rPr>
              <w:t xml:space="preserve"> centrado no utilizador</w:t>
            </w:r>
            <w:r>
              <w:rPr>
                <w:webHidden/>
              </w:rPr>
              <w:fldChar w:fldCharType="begin"/>
            </w:r>
            <w:r>
              <w:rPr>
                <w:webHidden/>
              </w:rPr>
              <w:instrText xml:space="preserve">PAGEREF _Toc235564929 \h</w:instrText>
            </w:r>
            <w:r>
              <w:rPr>
                <w:webHidden/>
              </w:rPr>
              <w:fldChar w:fldCharType="separate"/>
            </w:r>
            <w:r>
              <w:rPr>
                <w:rStyle w:val="IndexLink"/>
                <w:vanish w:val="false"/>
              </w:rPr>
              <w:tab/>
              <w:t>13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30">
            <w:r>
              <w:rPr>
                <w:rStyle w:val="IndexLink"/>
                <w:webHidden/>
              </w:rPr>
              <w:t>Design industrial em dispositivos médicos</w:t>
            </w:r>
            <w:r>
              <w:rPr>
                <w:webHidden/>
              </w:rPr>
              <w:fldChar w:fldCharType="begin"/>
            </w:r>
            <w:r>
              <w:rPr>
                <w:webHidden/>
              </w:rPr>
              <w:instrText xml:space="preserve">PAGEREF _Toc235564930 \h</w:instrText>
            </w:r>
            <w:r>
              <w:rPr>
                <w:webHidden/>
              </w:rPr>
              <w:fldChar w:fldCharType="separate"/>
            </w:r>
            <w:r>
              <w:rPr>
                <w:rStyle w:val="IndexLink"/>
                <w:vanish w:val="false"/>
              </w:rPr>
              <w:tab/>
              <w:t>14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31">
            <w:r>
              <w:rPr>
                <w:rStyle w:val="IndexLink"/>
                <w:webHidden/>
              </w:rPr>
              <w:t>Design inclusivo e design universal</w:t>
            </w:r>
            <w:r>
              <w:rPr>
                <w:webHidden/>
              </w:rPr>
              <w:fldChar w:fldCharType="begin"/>
            </w:r>
            <w:r>
              <w:rPr>
                <w:webHidden/>
              </w:rPr>
              <w:instrText xml:space="preserve">PAGEREF _Toc235564931 \h</w:instrText>
            </w:r>
            <w:r>
              <w:rPr>
                <w:webHidden/>
              </w:rPr>
              <w:fldChar w:fldCharType="separate"/>
            </w:r>
            <w:r>
              <w:rPr>
                <w:rStyle w:val="IndexLink"/>
                <w:vanish w:val="false"/>
              </w:rPr>
              <w:tab/>
              <w:t>15</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32">
            <w:r>
              <w:rPr>
                <w:rStyle w:val="IndexLink"/>
                <w:webHidden/>
              </w:rPr>
              <w:t>Design centrado no utilizador e design centrado no humano</w:t>
            </w:r>
            <w:r>
              <w:rPr>
                <w:webHidden/>
              </w:rPr>
              <w:fldChar w:fldCharType="begin"/>
            </w:r>
            <w:r>
              <w:rPr>
                <w:webHidden/>
              </w:rPr>
              <w:instrText xml:space="preserve">PAGEREF _Toc235564932 \h</w:instrText>
            </w:r>
            <w:r>
              <w:rPr>
                <w:webHidden/>
              </w:rPr>
              <w:fldChar w:fldCharType="separate"/>
            </w:r>
            <w:r>
              <w:rPr>
                <w:rStyle w:val="IndexLink"/>
                <w:vanish w:val="false"/>
              </w:rPr>
              <w:tab/>
              <w:t>16</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33">
            <w:r>
              <w:rPr>
                <w:rStyle w:val="IndexLink"/>
                <w:webHidden/>
              </w:rPr>
              <w:t>Design Participativo e Co-design</w:t>
            </w:r>
            <w:r>
              <w:rPr>
                <w:webHidden/>
              </w:rPr>
              <w:fldChar w:fldCharType="begin"/>
            </w:r>
            <w:r>
              <w:rPr>
                <w:webHidden/>
              </w:rPr>
              <w:instrText xml:space="preserve">PAGEREF _Toc235564933 \h</w:instrText>
            </w:r>
            <w:r>
              <w:rPr>
                <w:webHidden/>
              </w:rPr>
              <w:fldChar w:fldCharType="separate"/>
            </w:r>
            <w:r>
              <w:rPr>
                <w:rStyle w:val="IndexLink"/>
                <w:vanish w:val="false"/>
              </w:rPr>
              <w:tab/>
              <w:t>17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34">
            <w:r>
              <w:rPr>
                <w:rStyle w:val="IndexLink"/>
                <w:webHidden/>
              </w:rPr>
              <w:t>Metodologias, instrumentos e avaliação</w:t>
            </w:r>
            <w:r>
              <w:rPr>
                <w:webHidden/>
              </w:rPr>
              <w:fldChar w:fldCharType="begin"/>
            </w:r>
            <w:r>
              <w:rPr>
                <w:webHidden/>
              </w:rPr>
              <w:instrText xml:space="preserve">PAGEREF _Toc235564934 \h</w:instrText>
            </w:r>
            <w:r>
              <w:rPr>
                <w:webHidden/>
              </w:rPr>
              <w:fldChar w:fldCharType="separate"/>
            </w:r>
            <w:r>
              <w:rPr>
                <w:rStyle w:val="IndexLink"/>
                <w:vanish w:val="false"/>
              </w:rPr>
              <w:tab/>
              <w:t>17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35">
            <w:r>
              <w:rPr>
                <w:rStyle w:val="IndexLink"/>
                <w:webHidden/>
              </w:rPr>
              <w:t>Desafios e lacunas</w:t>
            </w:r>
            <w:r>
              <w:rPr>
                <w:webHidden/>
              </w:rPr>
              <w:fldChar w:fldCharType="begin"/>
            </w:r>
            <w:r>
              <w:rPr>
                <w:webHidden/>
              </w:rPr>
              <w:instrText xml:space="preserve">PAGEREF _Toc235564935 \h</w:instrText>
            </w:r>
            <w:r>
              <w:rPr>
                <w:webHidden/>
              </w:rPr>
              <w:fldChar w:fldCharType="separate"/>
            </w:r>
            <w:r>
              <w:rPr>
                <w:rStyle w:val="IndexLink"/>
                <w:vanish w:val="false"/>
              </w:rPr>
              <w:tab/>
              <w:t>18</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36">
            <w:r>
              <w:rPr>
                <w:rStyle w:val="IndexLink"/>
                <w:webHidden/>
              </w:rPr>
              <w:t xml:space="preserve">2.3 Fabrico Aditivo e parametrização no </w:t>
            </w:r>
            <w:r>
              <w:rPr>
                <w:rStyle w:val="IndexLink"/>
                <w:i/>
                <w:iCs/>
              </w:rPr>
              <w:t>design</w:t>
            </w:r>
            <w:r>
              <w:rPr>
                <w:rStyle w:val="IndexLink"/>
              </w:rPr>
              <w:t xml:space="preserve"> de produto</w:t>
            </w:r>
            <w:r>
              <w:rPr>
                <w:webHidden/>
              </w:rPr>
              <w:fldChar w:fldCharType="begin"/>
            </w:r>
            <w:r>
              <w:rPr>
                <w:webHidden/>
              </w:rPr>
              <w:instrText xml:space="preserve">PAGEREF _Toc235564936 \h</w:instrText>
            </w:r>
            <w:r>
              <w:rPr>
                <w:webHidden/>
              </w:rPr>
              <w:fldChar w:fldCharType="separate"/>
            </w:r>
            <w:r>
              <w:rPr>
                <w:rStyle w:val="IndexLink"/>
                <w:vanish w:val="false"/>
              </w:rPr>
              <w:tab/>
              <w:t>19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37">
            <w:r>
              <w:rPr>
                <w:rStyle w:val="IndexLink"/>
                <w:webHidden/>
              </w:rPr>
              <w:t>Modelação Paramétrica e Espaços de Variação</w:t>
            </w:r>
            <w:r>
              <w:rPr>
                <w:webHidden/>
              </w:rPr>
              <w:fldChar w:fldCharType="begin"/>
            </w:r>
            <w:r>
              <w:rPr>
                <w:webHidden/>
              </w:rPr>
              <w:instrText xml:space="preserve">PAGEREF _Toc235564937 \h</w:instrText>
            </w:r>
            <w:r>
              <w:rPr>
                <w:webHidden/>
              </w:rPr>
              <w:fldChar w:fldCharType="separate"/>
            </w:r>
            <w:r>
              <w:rPr>
                <w:rStyle w:val="IndexLink"/>
                <w:vanish w:val="false"/>
              </w:rPr>
              <w:tab/>
              <w:t>20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38">
            <w:r>
              <w:rPr>
                <w:rStyle w:val="IndexLink"/>
                <w:webHidden/>
              </w:rPr>
              <w:t>Integração com Fabrico Aditivo e Design for Additive Manufacturing</w:t>
            </w:r>
            <w:r>
              <w:rPr>
                <w:webHidden/>
              </w:rPr>
              <w:fldChar w:fldCharType="begin"/>
            </w:r>
            <w:r>
              <w:rPr>
                <w:webHidden/>
              </w:rPr>
              <w:instrText xml:space="preserve">PAGEREF _Toc235564938 \h</w:instrText>
            </w:r>
            <w:r>
              <w:rPr>
                <w:webHidden/>
              </w:rPr>
              <w:fldChar w:fldCharType="separate"/>
            </w:r>
            <w:r>
              <w:rPr>
                <w:rStyle w:val="IndexLink"/>
                <w:vanish w:val="false"/>
              </w:rPr>
              <w:tab/>
              <w:t>21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39">
            <w:r>
              <w:rPr>
                <w:rStyle w:val="IndexLink"/>
                <w:webHidden/>
              </w:rPr>
              <w:t>Configuradores e Cocriação Digital</w:t>
            </w:r>
            <w:r>
              <w:rPr>
                <w:webHidden/>
              </w:rPr>
              <w:fldChar w:fldCharType="begin"/>
            </w:r>
            <w:r>
              <w:rPr>
                <w:webHidden/>
              </w:rPr>
              <w:instrText xml:space="preserve">PAGEREF _Toc235564939 \h</w:instrText>
            </w:r>
            <w:r>
              <w:rPr>
                <w:webHidden/>
              </w:rPr>
              <w:fldChar w:fldCharType="separate"/>
            </w:r>
            <w:r>
              <w:rPr>
                <w:rStyle w:val="IndexLink"/>
                <w:vanish w:val="false"/>
              </w:rPr>
              <w:tab/>
              <w:t>22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40">
            <w:r>
              <w:rPr>
                <w:rStyle w:val="IndexLink"/>
                <w:webHidden/>
              </w:rPr>
              <w:t>Optimização, Geração e Avaliação de Desempenho</w:t>
            </w:r>
            <w:r>
              <w:rPr>
                <w:webHidden/>
              </w:rPr>
              <w:fldChar w:fldCharType="begin"/>
            </w:r>
            <w:r>
              <w:rPr>
                <w:webHidden/>
              </w:rPr>
              <w:instrText xml:space="preserve">PAGEREF _Toc235564940 \h</w:instrText>
            </w:r>
            <w:r>
              <w:rPr>
                <w:webHidden/>
              </w:rPr>
              <w:fldChar w:fldCharType="separate"/>
            </w:r>
            <w:r>
              <w:rPr>
                <w:rStyle w:val="IndexLink"/>
                <w:vanish w:val="false"/>
              </w:rPr>
              <w:tab/>
              <w:t>24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41">
            <w:r>
              <w:rPr>
                <w:rStyle w:val="IndexLink"/>
                <w:webHidden/>
              </w:rPr>
              <w:t>Implicações para o design industrial</w:t>
            </w:r>
            <w:r>
              <w:rPr>
                <w:webHidden/>
              </w:rPr>
              <w:fldChar w:fldCharType="begin"/>
            </w:r>
            <w:r>
              <w:rPr>
                <w:webHidden/>
              </w:rPr>
              <w:instrText xml:space="preserve">PAGEREF _Toc235564941 \h</w:instrText>
            </w:r>
            <w:r>
              <w:rPr>
                <w:webHidden/>
              </w:rPr>
              <w:fldChar w:fldCharType="separate"/>
            </w:r>
            <w:r>
              <w:rPr>
                <w:rStyle w:val="IndexLink"/>
                <w:vanish w:val="false"/>
              </w:rPr>
              <w:tab/>
              <w:t>24</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42">
            <w:r>
              <w:rPr>
                <w:rStyle w:val="IndexLink"/>
                <w:webHidden/>
              </w:rPr>
              <w:t xml:space="preserve">2.4 Próteses </w:t>
            </w:r>
            <w:r>
              <w:rPr>
                <w:rStyle w:val="IndexLink"/>
                <w:i/>
                <w:iCs/>
              </w:rPr>
              <w:t>open source</w:t>
            </w:r>
            <w:r>
              <w:rPr>
                <w:rStyle w:val="IndexLink"/>
              </w:rPr>
              <w:t xml:space="preserve"> de membro superior passíveis de impressão 3D</w:t>
            </w:r>
            <w:r>
              <w:rPr>
                <w:webHidden/>
              </w:rPr>
              <w:fldChar w:fldCharType="begin"/>
            </w:r>
            <w:r>
              <w:rPr>
                <w:webHidden/>
              </w:rPr>
              <w:instrText xml:space="preserve">PAGEREF _Toc235564942 \h</w:instrText>
            </w:r>
            <w:r>
              <w:rPr>
                <w:webHidden/>
              </w:rPr>
              <w:fldChar w:fldCharType="separate"/>
            </w:r>
            <w:r>
              <w:rPr>
                <w:rStyle w:val="IndexLink"/>
                <w:vanish w:val="false"/>
              </w:rPr>
              <w:tab/>
              <w:t>25</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43">
            <w:r>
              <w:rPr>
                <w:rStyle w:val="IndexLink"/>
                <w:webHidden/>
              </w:rPr>
              <w:t xml:space="preserve">2.5 Antropometria aplicada ao </w:t>
            </w:r>
            <w:r>
              <w:rPr>
                <w:rStyle w:val="IndexLink"/>
                <w:i/>
                <w:iCs/>
              </w:rPr>
              <w:t>design</w:t>
            </w:r>
            <w:r>
              <w:rPr>
                <w:rStyle w:val="IndexLink"/>
              </w:rPr>
              <w:t xml:space="preserve"> protésico</w:t>
            </w:r>
            <w:r>
              <w:rPr>
                <w:webHidden/>
              </w:rPr>
              <w:fldChar w:fldCharType="begin"/>
            </w:r>
            <w:r>
              <w:rPr>
                <w:webHidden/>
              </w:rPr>
              <w:instrText xml:space="preserve">PAGEREF _Toc235564943 \h</w:instrText>
            </w:r>
            <w:r>
              <w:rPr>
                <w:webHidden/>
              </w:rPr>
              <w:fldChar w:fldCharType="separate"/>
            </w:r>
            <w:r>
              <w:rPr>
                <w:rStyle w:val="IndexLink"/>
                <w:vanish w:val="false"/>
              </w:rPr>
              <w:tab/>
              <w:t>28</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44">
            <w:r>
              <w:rPr>
                <w:rStyle w:val="IndexLink"/>
                <w:webHidden/>
              </w:rPr>
              <w:t>Da dimensão linear à “forma” como dado de projeto</w:t>
            </w:r>
            <w:r>
              <w:rPr>
                <w:webHidden/>
              </w:rPr>
              <w:fldChar w:fldCharType="begin"/>
            </w:r>
            <w:r>
              <w:rPr>
                <w:webHidden/>
              </w:rPr>
              <w:instrText xml:space="preserve">PAGEREF _Toc235564944 \h</w:instrText>
            </w:r>
            <w:r>
              <w:rPr>
                <w:webHidden/>
              </w:rPr>
              <w:fldChar w:fldCharType="separate"/>
            </w:r>
            <w:r>
              <w:rPr>
                <w:rStyle w:val="IndexLink"/>
                <w:vanish w:val="false"/>
              </w:rPr>
              <w:tab/>
              <w:t>28</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45">
            <w:r>
              <w:rPr>
                <w:rStyle w:val="IndexLink"/>
                <w:webHidden/>
              </w:rPr>
              <w:t>Métodos de recolha antropométrica em próteses e tecnologias de apoio</w:t>
            </w:r>
            <w:r>
              <w:rPr>
                <w:webHidden/>
              </w:rPr>
              <w:fldChar w:fldCharType="begin"/>
            </w:r>
            <w:r>
              <w:rPr>
                <w:webHidden/>
              </w:rPr>
              <w:instrText xml:space="preserve">PAGEREF _Toc235564945 \h</w:instrText>
            </w:r>
            <w:r>
              <w:rPr>
                <w:webHidden/>
              </w:rPr>
              <w:fldChar w:fldCharType="separate"/>
            </w:r>
            <w:r>
              <w:rPr>
                <w:rStyle w:val="IndexLink"/>
                <w:vanish w:val="false"/>
              </w:rPr>
              <w:tab/>
              <w:t>30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46">
            <w:r>
              <w:rPr>
                <w:rStyle w:val="IndexLink"/>
                <w:webHidden/>
              </w:rPr>
              <w:t>Interpretação e aplicação de dados antropométricos no projeto</w:t>
            </w:r>
            <w:r>
              <w:rPr>
                <w:webHidden/>
              </w:rPr>
              <w:fldChar w:fldCharType="begin"/>
            </w:r>
            <w:r>
              <w:rPr>
                <w:webHidden/>
              </w:rPr>
              <w:instrText xml:space="preserve">PAGEREF _Toc235564946 \h</w:instrText>
            </w:r>
            <w:r>
              <w:rPr>
                <w:webHidden/>
              </w:rPr>
              <w:fldChar w:fldCharType="separate"/>
            </w:r>
            <w:r>
              <w:rPr>
                <w:rStyle w:val="IndexLink"/>
                <w:vanish w:val="false"/>
              </w:rPr>
              <w:tab/>
              <w:t>31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47">
            <w:r>
              <w:rPr>
                <w:rStyle w:val="IndexLink"/>
                <w:webHidden/>
              </w:rPr>
              <w:t>Evidência por tipo de dispositivo</w:t>
            </w:r>
            <w:r>
              <w:rPr>
                <w:webHidden/>
              </w:rPr>
              <w:fldChar w:fldCharType="begin"/>
            </w:r>
            <w:r>
              <w:rPr>
                <w:webHidden/>
              </w:rPr>
              <w:instrText xml:space="preserve">PAGEREF _Toc235564947 \h</w:instrText>
            </w:r>
            <w:r>
              <w:rPr>
                <w:webHidden/>
              </w:rPr>
              <w:fldChar w:fldCharType="separate"/>
            </w:r>
            <w:r>
              <w:rPr>
                <w:rStyle w:val="IndexLink"/>
                <w:vanish w:val="false"/>
              </w:rPr>
              <w:tab/>
              <w:t>32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48">
            <w:r>
              <w:rPr>
                <w:rStyle w:val="IndexLink"/>
                <w:webHidden/>
              </w:rPr>
              <w:t>Limitações, lacunas e recomendações</w:t>
            </w:r>
            <w:r>
              <w:rPr>
                <w:webHidden/>
              </w:rPr>
              <w:fldChar w:fldCharType="begin"/>
            </w:r>
            <w:r>
              <w:rPr>
                <w:webHidden/>
              </w:rPr>
              <w:instrText xml:space="preserve">PAGEREF _Toc235564948 \h</w:instrText>
            </w:r>
            <w:r>
              <w:rPr>
                <w:webHidden/>
              </w:rPr>
              <w:fldChar w:fldCharType="separate"/>
            </w:r>
            <w:r>
              <w:rPr>
                <w:rStyle w:val="IndexLink"/>
                <w:vanish w:val="false"/>
              </w:rPr>
              <w:tab/>
              <w:t>33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49">
            <w:r>
              <w:rPr>
                <w:rStyle w:val="IndexLink"/>
                <w:webHidden/>
              </w:rPr>
              <w:t>Estruturação de dados</w:t>
            </w:r>
            <w:r>
              <w:rPr>
                <w:webHidden/>
              </w:rPr>
              <w:fldChar w:fldCharType="begin"/>
            </w:r>
            <w:r>
              <w:rPr>
                <w:webHidden/>
              </w:rPr>
              <w:instrText xml:space="preserve">PAGEREF _Toc235564949 \h</w:instrText>
            </w:r>
            <w:r>
              <w:rPr>
                <w:webHidden/>
              </w:rPr>
              <w:fldChar w:fldCharType="separate"/>
            </w:r>
            <w:r>
              <w:rPr>
                <w:rStyle w:val="IndexLink"/>
                <w:vanish w:val="false"/>
              </w:rPr>
              <w:tab/>
              <w:t>33</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50">
            <w:r>
              <w:rPr>
                <w:rStyle w:val="IndexLink"/>
                <w:webHidden/>
              </w:rPr>
              <w:t xml:space="preserve">2.6 Inteligência Artificial no processo de </w:t>
            </w:r>
            <w:r>
              <w:rPr>
                <w:rStyle w:val="IndexLink"/>
                <w:i/>
                <w:iCs/>
              </w:rPr>
              <w:t>design</w:t>
            </w:r>
            <w:r>
              <w:rPr>
                <w:webHidden/>
              </w:rPr>
              <w:fldChar w:fldCharType="begin"/>
            </w:r>
            <w:r>
              <w:rPr>
                <w:webHidden/>
              </w:rPr>
              <w:instrText xml:space="preserve">PAGEREF _Toc235564950 \h</w:instrText>
            </w:r>
            <w:r>
              <w:rPr>
                <w:webHidden/>
              </w:rPr>
              <w:fldChar w:fldCharType="separate"/>
            </w:r>
            <w:r>
              <w:rPr>
                <w:rStyle w:val="IndexLink"/>
                <w:vanish w:val="false"/>
              </w:rPr>
              <w:tab/>
              <w:t>34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51">
            <w:r>
              <w:rPr>
                <w:rStyle w:val="IndexLink"/>
                <w:webHidden/>
              </w:rPr>
              <w:t>O que é a Inteligência Artificial</w:t>
            </w:r>
            <w:r>
              <w:rPr>
                <w:webHidden/>
              </w:rPr>
              <w:fldChar w:fldCharType="begin"/>
            </w:r>
            <w:r>
              <w:rPr>
                <w:webHidden/>
              </w:rPr>
              <w:instrText xml:space="preserve">PAGEREF _Toc235564951 \h</w:instrText>
            </w:r>
            <w:r>
              <w:rPr>
                <w:webHidden/>
              </w:rPr>
              <w:fldChar w:fldCharType="separate"/>
            </w:r>
            <w:r>
              <w:rPr>
                <w:rStyle w:val="IndexLink"/>
                <w:vanish w:val="false"/>
              </w:rPr>
              <w:tab/>
              <w:t>35</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52">
            <w:r>
              <w:rPr>
                <w:rStyle w:val="IndexLink"/>
                <w:webHidden/>
              </w:rPr>
              <w:t>Como funciona: dados, treino, inferência e geração</w:t>
            </w:r>
            <w:r>
              <w:rPr>
                <w:webHidden/>
              </w:rPr>
              <w:fldChar w:fldCharType="begin"/>
            </w:r>
            <w:r>
              <w:rPr>
                <w:webHidden/>
              </w:rPr>
              <w:instrText xml:space="preserve">PAGEREF _Toc235564952 \h</w:instrText>
            </w:r>
            <w:r>
              <w:rPr>
                <w:webHidden/>
              </w:rPr>
              <w:fldChar w:fldCharType="separate"/>
            </w:r>
            <w:r>
              <w:rPr>
                <w:rStyle w:val="IndexLink"/>
                <w:vanish w:val="false"/>
              </w:rPr>
              <w:tab/>
              <w:t>36</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53">
            <w:r>
              <w:rPr>
                <w:rStyle w:val="IndexLink"/>
                <w:webHidden/>
              </w:rPr>
              <w:t>Formas de IA mais relevantes para o design</w:t>
            </w:r>
            <w:r>
              <w:rPr>
                <w:webHidden/>
              </w:rPr>
              <w:fldChar w:fldCharType="begin"/>
            </w:r>
            <w:r>
              <w:rPr>
                <w:webHidden/>
              </w:rPr>
              <w:instrText xml:space="preserve">PAGEREF _Toc235564953 \h</w:instrText>
            </w:r>
            <w:r>
              <w:rPr>
                <w:webHidden/>
              </w:rPr>
              <w:fldChar w:fldCharType="separate"/>
            </w:r>
            <w:r>
              <w:rPr>
                <w:rStyle w:val="IndexLink"/>
                <w:vanish w:val="false"/>
              </w:rPr>
              <w:tab/>
              <w:t>37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54">
            <w:r>
              <w:rPr>
                <w:rStyle w:val="IndexLink"/>
                <w:webHidden/>
              </w:rPr>
              <w:t>IA ao longo do processo de design</w:t>
            </w:r>
            <w:r>
              <w:rPr>
                <w:webHidden/>
              </w:rPr>
              <w:fldChar w:fldCharType="begin"/>
            </w:r>
            <w:r>
              <w:rPr>
                <w:webHidden/>
              </w:rPr>
              <w:instrText xml:space="preserve">PAGEREF _Toc235564954 \h</w:instrText>
            </w:r>
            <w:r>
              <w:rPr>
                <w:webHidden/>
              </w:rPr>
              <w:fldChar w:fldCharType="separate"/>
            </w:r>
            <w:r>
              <w:rPr>
                <w:rStyle w:val="IndexLink"/>
                <w:vanish w:val="false"/>
              </w:rPr>
              <w:tab/>
              <w:t>38</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55">
            <w:r>
              <w:rPr>
                <w:rStyle w:val="IndexLink"/>
                <w:webHidden/>
              </w:rPr>
              <w:t>Papel do designer, riscos e necessidade de supervisão humana</w:t>
            </w:r>
            <w:r>
              <w:rPr>
                <w:webHidden/>
              </w:rPr>
              <w:fldChar w:fldCharType="begin"/>
            </w:r>
            <w:r>
              <w:rPr>
                <w:webHidden/>
              </w:rPr>
              <w:instrText xml:space="preserve">PAGEREF _Toc235564955 \h</w:instrText>
            </w:r>
            <w:r>
              <w:rPr>
                <w:webHidden/>
              </w:rPr>
              <w:fldChar w:fldCharType="separate"/>
            </w:r>
            <w:r>
              <w:rPr>
                <w:rStyle w:val="IndexLink"/>
                <w:vanish w:val="false"/>
              </w:rPr>
              <w:tab/>
              <w:t>39</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56">
            <w:r>
              <w:rPr>
                <w:rStyle w:val="IndexLink"/>
                <w:webHidden/>
              </w:rPr>
              <w:t>2.7 Plataformas digitais e sistemas configuráveis</w:t>
            </w:r>
            <w:r>
              <w:rPr>
                <w:webHidden/>
              </w:rPr>
              <w:fldChar w:fldCharType="begin"/>
            </w:r>
            <w:r>
              <w:rPr>
                <w:webHidden/>
              </w:rPr>
              <w:instrText xml:space="preserve">PAGEREF _Toc235564956 \h</w:instrText>
            </w:r>
            <w:r>
              <w:rPr>
                <w:webHidden/>
              </w:rPr>
              <w:fldChar w:fldCharType="separate"/>
            </w:r>
            <w:r>
              <w:rPr>
                <w:rStyle w:val="IndexLink"/>
                <w:vanish w:val="false"/>
              </w:rPr>
              <w:tab/>
              <w:t>40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57">
            <w:r>
              <w:rPr>
                <w:rStyle w:val="IndexLink"/>
                <w:webHidden/>
              </w:rPr>
              <w:t>Fundamentos conceptuais: toolkits, meta-design e end-user development.</w:t>
            </w:r>
            <w:r>
              <w:rPr>
                <w:webHidden/>
              </w:rPr>
              <w:fldChar w:fldCharType="begin"/>
            </w:r>
            <w:r>
              <w:rPr>
                <w:webHidden/>
              </w:rPr>
              <w:instrText xml:space="preserve">PAGEREF _Toc235564957 \h</w:instrText>
            </w:r>
            <w:r>
              <w:rPr>
                <w:webHidden/>
              </w:rPr>
              <w:fldChar w:fldCharType="separate"/>
            </w:r>
            <w:r>
              <w:rPr>
                <w:rStyle w:val="IndexLink"/>
                <w:vanish w:val="false"/>
              </w:rPr>
              <w:tab/>
              <w:t>41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58">
            <w:r>
              <w:rPr>
                <w:rStyle w:val="IndexLink"/>
                <w:webHidden/>
              </w:rPr>
              <w:t>Mecanismos de personalização: modularidade, parametrização e adaptação individualizada</w:t>
            </w:r>
            <w:r>
              <w:rPr>
                <w:webHidden/>
              </w:rPr>
              <w:fldChar w:fldCharType="begin"/>
            </w:r>
            <w:r>
              <w:rPr>
                <w:webHidden/>
              </w:rPr>
              <w:instrText xml:space="preserve">PAGEREF _Toc235564958 \h</w:instrText>
            </w:r>
            <w:r>
              <w:rPr>
                <w:webHidden/>
              </w:rPr>
              <w:fldChar w:fldCharType="separate"/>
            </w:r>
            <w:r>
              <w:rPr>
                <w:rStyle w:val="IndexLink"/>
                <w:vanish w:val="false"/>
              </w:rPr>
              <w:tab/>
              <w:t>43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59">
            <w:r>
              <w:rPr>
                <w:rStyle w:val="IndexLink"/>
                <w:webHidden/>
              </w:rPr>
              <w:t>Fluxos participativos e infra-estruturas remotas</w:t>
            </w:r>
            <w:r>
              <w:rPr>
                <w:webHidden/>
              </w:rPr>
              <w:fldChar w:fldCharType="begin"/>
            </w:r>
            <w:r>
              <w:rPr>
                <w:webHidden/>
              </w:rPr>
              <w:instrText xml:space="preserve">PAGEREF _Toc235564959 \h</w:instrText>
            </w:r>
            <w:r>
              <w:rPr>
                <w:webHidden/>
              </w:rPr>
              <w:fldChar w:fldCharType="separate"/>
            </w:r>
            <w:r>
              <w:rPr>
                <w:rStyle w:val="IndexLink"/>
                <w:vanish w:val="false"/>
              </w:rPr>
              <w:tab/>
              <w:t>44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60">
            <w:r>
              <w:rPr>
                <w:rStyle w:val="IndexLink"/>
                <w:webHidden/>
              </w:rPr>
              <w:t>Aplicações em saúde, reabilitação e próteses</w:t>
            </w:r>
            <w:r>
              <w:rPr>
                <w:webHidden/>
              </w:rPr>
              <w:fldChar w:fldCharType="begin"/>
            </w:r>
            <w:r>
              <w:rPr>
                <w:webHidden/>
              </w:rPr>
              <w:instrText xml:space="preserve">PAGEREF _Toc235564960 \h</w:instrText>
            </w:r>
            <w:r>
              <w:rPr>
                <w:webHidden/>
              </w:rPr>
              <w:fldChar w:fldCharType="separate"/>
            </w:r>
            <w:r>
              <w:rPr>
                <w:rStyle w:val="IndexLink"/>
                <w:vanish w:val="false"/>
              </w:rPr>
              <w:tab/>
              <w:t>45</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61">
            <w:r>
              <w:rPr>
                <w:rStyle w:val="IndexLink"/>
                <w:webHidden/>
              </w:rPr>
              <w:t>Limitações e lacunas: sustentabilidade, adopção e equilíbrio entre normalização e improviso</w:t>
            </w:r>
            <w:r>
              <w:rPr>
                <w:webHidden/>
              </w:rPr>
              <w:fldChar w:fldCharType="begin"/>
            </w:r>
            <w:r>
              <w:rPr>
                <w:webHidden/>
              </w:rPr>
              <w:instrText xml:space="preserve">PAGEREF _Toc235564961 \h</w:instrText>
            </w:r>
            <w:r>
              <w:rPr>
                <w:webHidden/>
              </w:rPr>
              <w:fldChar w:fldCharType="separate"/>
            </w:r>
            <w:r>
              <w:rPr>
                <w:rStyle w:val="IndexLink"/>
                <w:vanish w:val="false"/>
              </w:rPr>
              <w:tab/>
              <w:t>46</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62">
            <w:r>
              <w:rPr>
                <w:rStyle w:val="IndexLink"/>
                <w:webHidden/>
              </w:rPr>
              <w:t>2.8 Análise crítica do estado da arte e lacunas identificadas</w:t>
            </w:r>
            <w:r>
              <w:rPr>
                <w:webHidden/>
              </w:rPr>
              <w:fldChar w:fldCharType="begin"/>
            </w:r>
            <w:r>
              <w:rPr>
                <w:webHidden/>
              </w:rPr>
              <w:instrText xml:space="preserve">PAGEREF _Toc235564962 \h</w:instrText>
            </w:r>
            <w:r>
              <w:rPr>
                <w:webHidden/>
              </w:rPr>
              <w:fldChar w:fldCharType="separate"/>
            </w:r>
            <w:r>
              <w:rPr>
                <w:rStyle w:val="IndexLink"/>
                <w:vanish w:val="false"/>
              </w:rPr>
              <w:tab/>
              <w:t>47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63">
            <w:r>
              <w:rPr>
                <w:rStyle w:val="IndexLink"/>
                <w:webHidden/>
              </w:rPr>
              <w:t>Lacuna 1 — Validação empírica limitada e fraca transposição para contextos reais de utilização</w:t>
            </w:r>
            <w:r>
              <w:rPr>
                <w:webHidden/>
              </w:rPr>
              <w:fldChar w:fldCharType="begin"/>
            </w:r>
            <w:r>
              <w:rPr>
                <w:webHidden/>
              </w:rPr>
              <w:instrText xml:space="preserve">PAGEREF _Toc235564963 \h</w:instrText>
            </w:r>
            <w:r>
              <w:rPr>
                <w:webHidden/>
              </w:rPr>
              <w:fldChar w:fldCharType="separate"/>
            </w:r>
            <w:r>
              <w:rPr>
                <w:rStyle w:val="IndexLink"/>
                <w:vanish w:val="false"/>
              </w:rPr>
              <w:tab/>
              <w:t>48</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64">
            <w:r>
              <w:rPr>
                <w:rStyle w:val="IndexLink"/>
                <w:webHidden/>
              </w:rPr>
              <w:t>Lacuna 2 — Desalinhamento entre necessidades identificadas, métricas objetivas, e qualidade de vida</w:t>
            </w:r>
            <w:r>
              <w:rPr>
                <w:webHidden/>
              </w:rPr>
              <w:fldChar w:fldCharType="begin"/>
            </w:r>
            <w:r>
              <w:rPr>
                <w:webHidden/>
              </w:rPr>
              <w:instrText xml:space="preserve">PAGEREF _Toc235564964 \h</w:instrText>
            </w:r>
            <w:r>
              <w:rPr>
                <w:webHidden/>
              </w:rPr>
              <w:fldChar w:fldCharType="separate"/>
            </w:r>
            <w:r>
              <w:rPr>
                <w:rStyle w:val="IndexLink"/>
                <w:vanish w:val="false"/>
              </w:rPr>
              <w:tab/>
              <w:t>49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65">
            <w:r>
              <w:rPr>
                <w:rStyle w:val="IndexLink"/>
                <w:webHidden/>
              </w:rPr>
              <w:t>Lacuna 3 — Persistência de problemas na interface corpo–prótese e no ajuste individualizado</w:t>
            </w:r>
            <w:r>
              <w:rPr>
                <w:webHidden/>
              </w:rPr>
              <w:fldChar w:fldCharType="begin"/>
            </w:r>
            <w:r>
              <w:rPr>
                <w:webHidden/>
              </w:rPr>
              <w:instrText xml:space="preserve">PAGEREF _Toc235564965 \h</w:instrText>
            </w:r>
            <w:r>
              <w:rPr>
                <w:webHidden/>
              </w:rPr>
              <w:fldChar w:fldCharType="separate"/>
            </w:r>
            <w:r>
              <w:rPr>
                <w:rStyle w:val="IndexLink"/>
                <w:vanish w:val="false"/>
              </w:rPr>
              <w:tab/>
              <w:t>49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66">
            <w:r>
              <w:rPr>
                <w:rStyle w:val="IndexLink"/>
                <w:webHidden/>
              </w:rPr>
              <w:t>Lacuna 4 — Evolução limitada das estratégias de controlo e da interacção utilizador–prótese</w:t>
            </w:r>
            <w:r>
              <w:rPr>
                <w:webHidden/>
              </w:rPr>
              <w:fldChar w:fldCharType="begin"/>
            </w:r>
            <w:r>
              <w:rPr>
                <w:webHidden/>
              </w:rPr>
              <w:instrText xml:space="preserve">PAGEREF _Toc235564966 \h</w:instrText>
            </w:r>
            <w:r>
              <w:rPr>
                <w:webHidden/>
              </w:rPr>
              <w:fldChar w:fldCharType="separate"/>
            </w:r>
            <w:r>
              <w:rPr>
                <w:rStyle w:val="IndexLink"/>
                <w:vanish w:val="false"/>
              </w:rPr>
              <w:tab/>
              <w:t>50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67">
            <w:r>
              <w:rPr>
                <w:rStyle w:val="IndexLink"/>
                <w:webHidden/>
              </w:rPr>
              <w:t>Lacuna 5 — Acesso, custo, manutenção e ASSIMETRIAS sistémicas</w:t>
            </w:r>
            <w:r>
              <w:rPr>
                <w:webHidden/>
              </w:rPr>
              <w:fldChar w:fldCharType="begin"/>
            </w:r>
            <w:r>
              <w:rPr>
                <w:webHidden/>
              </w:rPr>
              <w:instrText xml:space="preserve">PAGEREF _Toc235564967 \h</w:instrText>
            </w:r>
            <w:r>
              <w:rPr>
                <w:webHidden/>
              </w:rPr>
              <w:fldChar w:fldCharType="separate"/>
            </w:r>
            <w:r>
              <w:rPr>
                <w:rStyle w:val="IndexLink"/>
                <w:vanish w:val="false"/>
              </w:rPr>
              <w:tab/>
              <w:t>51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68">
            <w:r>
              <w:rPr>
                <w:rStyle w:val="IndexLink"/>
                <w:webHidden/>
              </w:rPr>
              <w:t>Lacuna 6 — Envolvimento do utilizador e registo metodológico insuficiente</w:t>
            </w:r>
            <w:r>
              <w:rPr>
                <w:webHidden/>
              </w:rPr>
              <w:fldChar w:fldCharType="begin"/>
            </w:r>
            <w:r>
              <w:rPr>
                <w:webHidden/>
              </w:rPr>
              <w:instrText xml:space="preserve">PAGEREF _Toc235564968 \h</w:instrText>
            </w:r>
            <w:r>
              <w:rPr>
                <w:webHidden/>
              </w:rPr>
              <w:fldChar w:fldCharType="separate"/>
            </w:r>
            <w:r>
              <w:rPr>
                <w:rStyle w:val="IndexLink"/>
                <w:vanish w:val="false"/>
              </w:rPr>
              <w:tab/>
              <w:t>51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69">
            <w:r>
              <w:rPr>
                <w:rStyle w:val="IndexLink"/>
                <w:webHidden/>
              </w:rPr>
              <w:t>Implicações para esta investigação</w:t>
            </w:r>
            <w:r>
              <w:rPr>
                <w:webHidden/>
              </w:rPr>
              <w:fldChar w:fldCharType="begin"/>
            </w:r>
            <w:r>
              <w:rPr>
                <w:webHidden/>
              </w:rPr>
              <w:instrText xml:space="preserve">PAGEREF _Toc235564969 \h</w:instrText>
            </w:r>
            <w:r>
              <w:rPr>
                <w:webHidden/>
              </w:rPr>
              <w:fldChar w:fldCharType="separate"/>
            </w:r>
            <w:r>
              <w:rPr>
                <w:rStyle w:val="IndexLink"/>
                <w:vanish w:val="false"/>
              </w:rPr>
              <w:tab/>
              <w:t>52</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4970">
            <w:r>
              <w:rPr>
                <w:rStyle w:val="IndexLink"/>
                <w:webHidden/>
              </w:rPr>
              <w:t>Capítulo 3 — Metodologia de Investigação</w:t>
            </w:r>
            <w:r>
              <w:rPr>
                <w:webHidden/>
              </w:rPr>
              <w:fldChar w:fldCharType="begin"/>
            </w:r>
            <w:r>
              <w:rPr>
                <w:webHidden/>
              </w:rPr>
              <w:instrText xml:space="preserve">PAGEREF _Toc235564970 \h</w:instrText>
            </w:r>
            <w:r>
              <w:rPr>
                <w:webHidden/>
              </w:rPr>
              <w:fldChar w:fldCharType="separate"/>
            </w:r>
            <w:r>
              <w:rPr>
                <w:rStyle w:val="IndexLink"/>
                <w:vanish w:val="false"/>
              </w:rPr>
              <w:tab/>
              <w:t>55</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71">
            <w:r>
              <w:rPr>
                <w:rStyle w:val="IndexLink"/>
                <w:webHidden/>
              </w:rPr>
              <w:t xml:space="preserve">3.1 Enquadramento metodológico e abordagem </w:t>
            </w:r>
            <w:r>
              <w:rPr>
                <w:rStyle w:val="IndexLink"/>
                <w:i/>
                <w:iCs/>
              </w:rPr>
              <w:t>Research Through Design</w:t>
            </w:r>
            <w:r>
              <w:rPr>
                <w:webHidden/>
              </w:rPr>
              <w:fldChar w:fldCharType="begin"/>
            </w:r>
            <w:r>
              <w:rPr>
                <w:webHidden/>
              </w:rPr>
              <w:instrText xml:space="preserve">PAGEREF _Toc235564971 \h</w:instrText>
            </w:r>
            <w:r>
              <w:rPr>
                <w:webHidden/>
              </w:rPr>
              <w:fldChar w:fldCharType="separate"/>
            </w:r>
            <w:r>
              <w:rPr>
                <w:rStyle w:val="IndexLink"/>
                <w:vanish w:val="false"/>
              </w:rPr>
              <w:tab/>
              <w:t>55</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72">
            <w:r>
              <w:rPr>
                <w:rStyle w:val="IndexLink"/>
                <w:webHidden/>
              </w:rPr>
              <w:t>3.2 O design industrial como prática de investigação</w:t>
            </w:r>
            <w:r>
              <w:rPr>
                <w:webHidden/>
              </w:rPr>
              <w:fldChar w:fldCharType="begin"/>
            </w:r>
            <w:r>
              <w:rPr>
                <w:webHidden/>
              </w:rPr>
              <w:instrText xml:space="preserve">PAGEREF _Toc235564972 \h</w:instrText>
            </w:r>
            <w:r>
              <w:rPr>
                <w:webHidden/>
              </w:rPr>
              <w:fldChar w:fldCharType="separate"/>
            </w:r>
            <w:r>
              <w:rPr>
                <w:rStyle w:val="IndexLink"/>
                <w:vanish w:val="false"/>
              </w:rPr>
              <w:tab/>
              <w:t>57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73">
            <w:r>
              <w:rPr>
                <w:rStyle w:val="IndexLink"/>
                <w:webHidden/>
              </w:rPr>
              <w:t>3.3 Estrutura metodológica do projeto</w:t>
            </w:r>
            <w:r>
              <w:rPr>
                <w:webHidden/>
              </w:rPr>
              <w:fldChar w:fldCharType="begin"/>
            </w:r>
            <w:r>
              <w:rPr>
                <w:webHidden/>
              </w:rPr>
              <w:instrText xml:space="preserve">PAGEREF _Toc235564973 \h</w:instrText>
            </w:r>
            <w:r>
              <w:rPr>
                <w:webHidden/>
              </w:rPr>
              <w:fldChar w:fldCharType="separate"/>
            </w:r>
            <w:r>
              <w:rPr>
                <w:rStyle w:val="IndexLink"/>
                <w:vanish w:val="false"/>
              </w:rPr>
              <w:tab/>
              <w:t>58</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74">
            <w:r>
              <w:rPr>
                <w:rStyle w:val="IndexLink"/>
                <w:webHidden/>
              </w:rPr>
              <w:t>3.4 Métodos de recolha e análise de dados</w:t>
            </w:r>
            <w:r>
              <w:rPr>
                <w:webHidden/>
              </w:rPr>
              <w:fldChar w:fldCharType="begin"/>
            </w:r>
            <w:r>
              <w:rPr>
                <w:webHidden/>
              </w:rPr>
              <w:instrText xml:space="preserve">PAGEREF _Toc235564974 \h</w:instrText>
            </w:r>
            <w:r>
              <w:rPr>
                <w:webHidden/>
              </w:rPr>
              <w:fldChar w:fldCharType="separate"/>
            </w:r>
            <w:r>
              <w:rPr>
                <w:rStyle w:val="IndexLink"/>
                <w:vanish w:val="false"/>
              </w:rPr>
              <w:tab/>
              <w:t>62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75">
            <w:r>
              <w:rPr>
                <w:rStyle w:val="IndexLink"/>
                <w:webHidden/>
              </w:rPr>
              <w:t>3.5 Critérios de avaliação e limitações metodológicas</w:t>
            </w:r>
            <w:r>
              <w:rPr>
                <w:webHidden/>
              </w:rPr>
              <w:fldChar w:fldCharType="begin"/>
            </w:r>
            <w:r>
              <w:rPr>
                <w:webHidden/>
              </w:rPr>
              <w:instrText xml:space="preserve">PAGEREF _Toc235564975 \h</w:instrText>
            </w:r>
            <w:r>
              <w:rPr>
                <w:webHidden/>
              </w:rPr>
              <w:fldChar w:fldCharType="separate"/>
            </w:r>
            <w:r>
              <w:rPr>
                <w:rStyle w:val="IndexLink"/>
                <w:vanish w:val="false"/>
              </w:rPr>
              <w:tab/>
              <w:t>64</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4976">
            <w:r>
              <w:rPr>
                <w:rStyle w:val="IndexLink"/>
                <w:webHidden/>
              </w:rPr>
              <w:t>Capítulo 4 — Desenvolvimento do Modelo Paramétrico</w:t>
            </w:r>
            <w:r>
              <w:rPr>
                <w:webHidden/>
              </w:rPr>
              <w:fldChar w:fldCharType="begin"/>
            </w:r>
            <w:r>
              <w:rPr>
                <w:webHidden/>
              </w:rPr>
              <w:instrText xml:space="preserve">PAGEREF _Toc235564976 \h</w:instrText>
            </w:r>
            <w:r>
              <w:rPr>
                <w:webHidden/>
              </w:rPr>
              <w:fldChar w:fldCharType="separate"/>
            </w:r>
            <w:r>
              <w:rPr>
                <w:rStyle w:val="IndexLink"/>
                <w:vanish w:val="false"/>
              </w:rPr>
              <w:tab/>
              <w:t>66</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77">
            <w:r>
              <w:rPr>
                <w:rStyle w:val="IndexLink"/>
                <w:webHidden/>
              </w:rPr>
              <w:t xml:space="preserve">4.1 Definição do problema de </w:t>
            </w:r>
            <w:r>
              <w:rPr>
                <w:rStyle w:val="IndexLink"/>
                <w:i/>
                <w:iCs/>
              </w:rPr>
              <w:t>design</w:t>
            </w:r>
            <w:r>
              <w:rPr>
                <w:rStyle w:val="IndexLink"/>
              </w:rPr>
              <w:t xml:space="preserve"> e requisitos</w:t>
            </w:r>
            <w:r>
              <w:rPr>
                <w:webHidden/>
              </w:rPr>
              <w:fldChar w:fldCharType="begin"/>
            </w:r>
            <w:r>
              <w:rPr>
                <w:webHidden/>
              </w:rPr>
              <w:instrText xml:space="preserve">PAGEREF _Toc235564977 \h</w:instrText>
            </w:r>
            <w:r>
              <w:rPr>
                <w:webHidden/>
              </w:rPr>
              <w:fldChar w:fldCharType="separate"/>
            </w:r>
            <w:r>
              <w:rPr>
                <w:rStyle w:val="IndexLink"/>
                <w:vanish w:val="false"/>
              </w:rPr>
              <w:tab/>
              <w:t>66</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78">
            <w:r>
              <w:rPr>
                <w:rStyle w:val="IndexLink"/>
                <w:webHidden/>
              </w:rPr>
              <w:t>4.2 Parâmetros antropométricos e estrutura do modelo</w:t>
            </w:r>
            <w:r>
              <w:rPr>
                <w:webHidden/>
              </w:rPr>
              <w:fldChar w:fldCharType="begin"/>
            </w:r>
            <w:r>
              <w:rPr>
                <w:webHidden/>
              </w:rPr>
              <w:instrText xml:space="preserve">PAGEREF _Toc235564978 \h</w:instrText>
            </w:r>
            <w:r>
              <w:rPr>
                <w:webHidden/>
              </w:rPr>
              <w:fldChar w:fldCharType="separate"/>
            </w:r>
            <w:r>
              <w:rPr>
                <w:rStyle w:val="IndexLink"/>
                <w:vanish w:val="false"/>
              </w:rPr>
              <w:tab/>
              <w:t>67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79">
            <w:r>
              <w:rPr>
                <w:rStyle w:val="IndexLink"/>
                <w:webHidden/>
              </w:rPr>
              <w:t>Conjuntos mínimos de parâmetros por nível de amputação</w:t>
            </w:r>
            <w:r>
              <w:rPr>
                <w:webHidden/>
              </w:rPr>
              <w:fldChar w:fldCharType="begin"/>
            </w:r>
            <w:r>
              <w:rPr>
                <w:webHidden/>
              </w:rPr>
              <w:instrText xml:space="preserve">PAGEREF _Toc235564979 \h</w:instrText>
            </w:r>
            <w:r>
              <w:rPr>
                <w:webHidden/>
              </w:rPr>
              <w:fldChar w:fldCharType="separate"/>
            </w:r>
            <w:r>
              <w:rPr>
                <w:rStyle w:val="IndexLink"/>
                <w:vanish w:val="false"/>
              </w:rPr>
              <w:tab/>
              <w:t>69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80">
            <w:r>
              <w:rPr>
                <w:rStyle w:val="IndexLink"/>
                <w:webHidden/>
              </w:rPr>
              <w:t>Limitações do redimensionamento proporcional</w:t>
            </w:r>
            <w:r>
              <w:rPr>
                <w:webHidden/>
              </w:rPr>
              <w:fldChar w:fldCharType="begin"/>
            </w:r>
            <w:r>
              <w:rPr>
                <w:webHidden/>
              </w:rPr>
              <w:instrText xml:space="preserve">PAGEREF _Toc235564980 \h</w:instrText>
            </w:r>
            <w:r>
              <w:rPr>
                <w:webHidden/>
              </w:rPr>
              <w:fldChar w:fldCharType="separate"/>
            </w:r>
            <w:r>
              <w:rPr>
                <w:rStyle w:val="IndexLink"/>
                <w:vanish w:val="false"/>
              </w:rPr>
              <w:tab/>
              <w:t>70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81">
            <w:r>
              <w:rPr>
                <w:rStyle w:val="IndexLink"/>
                <w:webHidden/>
              </w:rPr>
              <w:t>Métodos de recolha de dados antropométricos</w:t>
            </w:r>
            <w:r>
              <w:rPr>
                <w:webHidden/>
              </w:rPr>
              <w:fldChar w:fldCharType="begin"/>
            </w:r>
            <w:r>
              <w:rPr>
                <w:webHidden/>
              </w:rPr>
              <w:instrText xml:space="preserve">PAGEREF _Toc235564981 \h</w:instrText>
            </w:r>
            <w:r>
              <w:rPr>
                <w:webHidden/>
              </w:rPr>
              <w:fldChar w:fldCharType="separate"/>
            </w:r>
            <w:r>
              <w:rPr>
                <w:rStyle w:val="IndexLink"/>
                <w:vanish w:val="false"/>
              </w:rPr>
              <w:tab/>
              <w:t>71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82">
            <w:r>
              <w:rPr>
                <w:rStyle w:val="IndexLink"/>
                <w:webHidden/>
              </w:rPr>
              <w:t>Bases de dados antropométricas, extracção e normalização</w:t>
            </w:r>
            <w:r>
              <w:rPr>
                <w:webHidden/>
              </w:rPr>
              <w:fldChar w:fldCharType="begin"/>
            </w:r>
            <w:r>
              <w:rPr>
                <w:webHidden/>
              </w:rPr>
              <w:instrText xml:space="preserve">PAGEREF _Toc235564982 \h</w:instrText>
            </w:r>
            <w:r>
              <w:rPr>
                <w:webHidden/>
              </w:rPr>
              <w:fldChar w:fldCharType="separate"/>
            </w:r>
            <w:r>
              <w:rPr>
                <w:rStyle w:val="IndexLink"/>
                <w:vanish w:val="false"/>
              </w:rPr>
              <w:tab/>
              <w:t>72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83">
            <w:r>
              <w:rPr>
                <w:rStyle w:val="IndexLink"/>
                <w:webHidden/>
              </w:rPr>
              <w:t>Correspondência entre perfil populacional e parâmetros do modelo</w:t>
            </w:r>
            <w:r>
              <w:rPr>
                <w:webHidden/>
              </w:rPr>
              <w:fldChar w:fldCharType="begin"/>
            </w:r>
            <w:r>
              <w:rPr>
                <w:webHidden/>
              </w:rPr>
              <w:instrText xml:space="preserve">PAGEREF _Toc235564983 \h</w:instrText>
            </w:r>
            <w:r>
              <w:rPr>
                <w:webHidden/>
              </w:rPr>
              <w:fldChar w:fldCharType="separate"/>
            </w:r>
            <w:r>
              <w:rPr>
                <w:rStyle w:val="IndexLink"/>
                <w:vanish w:val="false"/>
              </w:rPr>
              <w:tab/>
              <w:t>73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84">
            <w:r>
              <w:rPr>
                <w:rStyle w:val="IndexLink"/>
                <w:webHidden/>
              </w:rPr>
              <w:t>Estrutura paramétrica e mapeamento de parâmetros</w:t>
            </w:r>
            <w:r>
              <w:rPr>
                <w:webHidden/>
              </w:rPr>
              <w:fldChar w:fldCharType="begin"/>
            </w:r>
            <w:r>
              <w:rPr>
                <w:webHidden/>
              </w:rPr>
              <w:instrText xml:space="preserve">PAGEREF _Toc235564984 \h</w:instrText>
            </w:r>
            <w:r>
              <w:rPr>
                <w:webHidden/>
              </w:rPr>
              <w:fldChar w:fldCharType="separate"/>
            </w:r>
            <w:r>
              <w:rPr>
                <w:rStyle w:val="IndexLink"/>
                <w:vanish w:val="false"/>
              </w:rPr>
              <w:tab/>
              <w:t>74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85">
            <w:r>
              <w:rPr>
                <w:rStyle w:val="IndexLink"/>
                <w:webHidden/>
              </w:rPr>
              <w:t>OpenSCAD: enquadramento e justificação da escolha</w:t>
            </w:r>
            <w:r>
              <w:rPr>
                <w:webHidden/>
              </w:rPr>
              <w:fldChar w:fldCharType="begin"/>
            </w:r>
            <w:r>
              <w:rPr>
                <w:webHidden/>
              </w:rPr>
              <w:instrText xml:space="preserve">PAGEREF _Toc235564985 \h</w:instrText>
            </w:r>
            <w:r>
              <w:rPr>
                <w:webHidden/>
              </w:rPr>
              <w:fldChar w:fldCharType="separate"/>
            </w:r>
            <w:r>
              <w:rPr>
                <w:rStyle w:val="IndexLink"/>
                <w:vanish w:val="false"/>
              </w:rPr>
              <w:tab/>
              <w:t>75</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86">
            <w:r>
              <w:rPr>
                <w:rStyle w:val="IndexLink"/>
                <w:webHidden/>
              </w:rPr>
              <w:t>4.3 Modelação paramétrica em OpenSCAD</w:t>
            </w:r>
            <w:r>
              <w:rPr>
                <w:webHidden/>
              </w:rPr>
              <w:fldChar w:fldCharType="begin"/>
            </w:r>
            <w:r>
              <w:rPr>
                <w:webHidden/>
              </w:rPr>
              <w:instrText xml:space="preserve">PAGEREF _Toc235564986 \h</w:instrText>
            </w:r>
            <w:r>
              <w:rPr>
                <w:webHidden/>
              </w:rPr>
              <w:fldChar w:fldCharType="separate"/>
            </w:r>
            <w:r>
              <w:rPr>
                <w:rStyle w:val="IndexLink"/>
                <w:vanish w:val="false"/>
              </w:rPr>
              <w:tab/>
              <w:t>78</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87">
            <w:r>
              <w:rPr>
                <w:rStyle w:val="IndexLink"/>
                <w:webHidden/>
              </w:rPr>
              <w:t>4.3.1 Estrutura técnica, parâmetros e restrições</w:t>
            </w:r>
            <w:r>
              <w:rPr>
                <w:webHidden/>
              </w:rPr>
              <w:fldChar w:fldCharType="begin"/>
            </w:r>
            <w:r>
              <w:rPr>
                <w:webHidden/>
              </w:rPr>
              <w:instrText xml:space="preserve">PAGEREF _Toc235564987 \h</w:instrText>
            </w:r>
            <w:r>
              <w:rPr>
                <w:webHidden/>
              </w:rPr>
              <w:fldChar w:fldCharType="separate"/>
            </w:r>
            <w:r>
              <w:rPr>
                <w:rStyle w:val="IndexLink"/>
                <w:vanish w:val="false"/>
              </w:rPr>
              <w:tab/>
              <w:t>79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88">
            <w:r>
              <w:rPr>
                <w:rStyle w:val="IndexLink"/>
                <w:webHidden/>
              </w:rPr>
              <w:t>4.3.2 Análise crítica da abordagem</w:t>
            </w:r>
            <w:r>
              <w:rPr>
                <w:webHidden/>
              </w:rPr>
              <w:fldChar w:fldCharType="begin"/>
            </w:r>
            <w:r>
              <w:rPr>
                <w:webHidden/>
              </w:rPr>
              <w:instrText xml:space="preserve">PAGEREF _Toc235564988 \h</w:instrText>
            </w:r>
            <w:r>
              <w:rPr>
                <w:webHidden/>
              </w:rPr>
              <w:fldChar w:fldCharType="separate"/>
            </w:r>
            <w:r>
              <w:rPr>
                <w:rStyle w:val="IndexLink"/>
                <w:vanish w:val="false"/>
              </w:rPr>
              <w:tab/>
              <w:t>81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89">
            <w:r>
              <w:rPr>
                <w:rStyle w:val="IndexLink"/>
                <w:webHidden/>
              </w:rPr>
              <w:t>4.3.3 Relações implementadas nos modelos avaliados</w:t>
            </w:r>
            <w:r>
              <w:rPr>
                <w:webHidden/>
              </w:rPr>
              <w:fldChar w:fldCharType="begin"/>
            </w:r>
            <w:r>
              <w:rPr>
                <w:webHidden/>
              </w:rPr>
              <w:instrText xml:space="preserve">PAGEREF _Toc235564989 \h</w:instrText>
            </w:r>
            <w:r>
              <w:rPr>
                <w:webHidden/>
              </w:rPr>
              <w:fldChar w:fldCharType="separate"/>
            </w:r>
            <w:r>
              <w:rPr>
                <w:rStyle w:val="IndexLink"/>
                <w:vanish w:val="false"/>
              </w:rPr>
              <w:tab/>
              <w:t>83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90">
            <w:r>
              <w:rPr>
                <w:rStyle w:val="IndexLink"/>
                <w:webHidden/>
              </w:rPr>
              <w:t>4.3.4 Dicionário operacional de parâmetros</w:t>
            </w:r>
            <w:r>
              <w:rPr>
                <w:webHidden/>
              </w:rPr>
              <w:fldChar w:fldCharType="begin"/>
            </w:r>
            <w:r>
              <w:rPr>
                <w:webHidden/>
              </w:rPr>
              <w:instrText xml:space="preserve">PAGEREF _Toc235564990 \h</w:instrText>
            </w:r>
            <w:r>
              <w:rPr>
                <w:webHidden/>
              </w:rPr>
              <w:fldChar w:fldCharType="separate"/>
            </w:r>
            <w:r>
              <w:rPr>
                <w:rStyle w:val="IndexLink"/>
                <w:vanish w:val="false"/>
              </w:rPr>
              <w:tab/>
              <w:t>84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4991">
            <w:r>
              <w:rPr>
                <w:rStyle w:val="IndexLink"/>
                <w:webHidden/>
              </w:rPr>
              <w:t>4.3.5 Exemplo numérico completo: perfil infantil no Flexy Beast</w:t>
            </w:r>
            <w:r>
              <w:rPr>
                <w:webHidden/>
              </w:rPr>
              <w:fldChar w:fldCharType="begin"/>
            </w:r>
            <w:r>
              <w:rPr>
                <w:webHidden/>
              </w:rPr>
              <w:instrText xml:space="preserve">PAGEREF _Toc235564991 \h</w:instrText>
            </w:r>
            <w:r>
              <w:rPr>
                <w:webHidden/>
              </w:rPr>
              <w:fldChar w:fldCharType="separate"/>
            </w:r>
            <w:r>
              <w:rPr>
                <w:rStyle w:val="IndexLink"/>
                <w:vanish w:val="false"/>
              </w:rPr>
              <w:tab/>
              <w:t>88</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92">
            <w:r>
              <w:rPr>
                <w:rStyle w:val="IndexLink"/>
                <w:webHidden/>
              </w:rPr>
              <w:t>4.4 Iterações e decisões de projeto</w:t>
            </w:r>
            <w:r>
              <w:rPr>
                <w:webHidden/>
              </w:rPr>
              <w:fldChar w:fldCharType="begin"/>
            </w:r>
            <w:r>
              <w:rPr>
                <w:webHidden/>
              </w:rPr>
              <w:instrText xml:space="preserve">PAGEREF _Toc235564992 \h</w:instrText>
            </w:r>
            <w:r>
              <w:rPr>
                <w:webHidden/>
              </w:rPr>
              <w:fldChar w:fldCharType="separate"/>
            </w:r>
            <w:r>
              <w:rPr>
                <w:rStyle w:val="IndexLink"/>
                <w:vanish w:val="false"/>
              </w:rPr>
              <w:tab/>
              <w:t>90</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4993">
            <w:r>
              <w:rPr>
                <w:rStyle w:val="IndexLink"/>
                <w:webHidden/>
              </w:rPr>
              <w:t xml:space="preserve">Capítulo 5 — Plataforma </w:t>
            </w:r>
            <w:r>
              <w:rPr>
                <w:rStyle w:val="IndexLink"/>
                <w:i/>
                <w:iCs/>
              </w:rPr>
              <w:t>Web</w:t>
            </w:r>
            <w:r>
              <w:rPr>
                <w:rStyle w:val="IndexLink"/>
              </w:rPr>
              <w:t xml:space="preserve"> e Integração Digital</w:t>
            </w:r>
            <w:r>
              <w:rPr>
                <w:webHidden/>
              </w:rPr>
              <w:fldChar w:fldCharType="begin"/>
            </w:r>
            <w:r>
              <w:rPr>
                <w:webHidden/>
              </w:rPr>
              <w:instrText xml:space="preserve">PAGEREF _Toc235564993 \h</w:instrText>
            </w:r>
            <w:r>
              <w:rPr>
                <w:webHidden/>
              </w:rPr>
              <w:fldChar w:fldCharType="separate"/>
            </w:r>
            <w:r>
              <w:rPr>
                <w:rStyle w:val="IndexLink"/>
                <w:vanish w:val="false"/>
              </w:rPr>
              <w:tab/>
              <w:t>93</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94">
            <w:r>
              <w:rPr>
                <w:rStyle w:val="IndexLink"/>
                <w:webHidden/>
              </w:rPr>
              <w:t>5.1 Enquadramento conceptual e perfis de utilizador</w:t>
            </w:r>
            <w:r>
              <w:rPr>
                <w:webHidden/>
              </w:rPr>
              <w:fldChar w:fldCharType="begin"/>
            </w:r>
            <w:r>
              <w:rPr>
                <w:webHidden/>
              </w:rPr>
              <w:instrText xml:space="preserve">PAGEREF _Toc235564994 \h</w:instrText>
            </w:r>
            <w:r>
              <w:rPr>
                <w:webHidden/>
              </w:rPr>
              <w:fldChar w:fldCharType="separate"/>
            </w:r>
            <w:r>
              <w:rPr>
                <w:rStyle w:val="IndexLink"/>
                <w:vanish w:val="false"/>
              </w:rPr>
              <w:tab/>
              <w:t>93</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95">
            <w:r>
              <w:rPr>
                <w:rStyle w:val="IndexLink"/>
                <w:webHidden/>
              </w:rPr>
              <w:t>5.2 Arquitectura geral do sistema</w:t>
            </w:r>
            <w:r>
              <w:rPr>
                <w:webHidden/>
              </w:rPr>
              <w:fldChar w:fldCharType="begin"/>
            </w:r>
            <w:r>
              <w:rPr>
                <w:webHidden/>
              </w:rPr>
              <w:instrText xml:space="preserve">PAGEREF _Toc235564995 \h</w:instrText>
            </w:r>
            <w:r>
              <w:rPr>
                <w:webHidden/>
              </w:rPr>
              <w:fldChar w:fldCharType="separate"/>
            </w:r>
            <w:r>
              <w:rPr>
                <w:rStyle w:val="IndexLink"/>
                <w:vanish w:val="false"/>
              </w:rPr>
              <w:tab/>
              <w:t>96</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96">
            <w:r>
              <w:rPr>
                <w:rStyle w:val="IndexLink"/>
                <w:webHidden/>
              </w:rPr>
              <w:t xml:space="preserve">5.3 Integração OpenSCAD via </w:t>
            </w:r>
            <w:r>
              <w:rPr>
                <w:rStyle w:val="IndexLink"/>
                <w:i/>
                <w:iCs/>
              </w:rPr>
              <w:t>WebAssembly</w:t>
            </w:r>
            <w:r>
              <w:rPr>
                <w:rStyle w:val="IndexLink"/>
              </w:rPr>
              <w:t xml:space="preserve"> (WASM)</w:t>
            </w:r>
            <w:r>
              <w:rPr>
                <w:webHidden/>
              </w:rPr>
              <w:fldChar w:fldCharType="begin"/>
            </w:r>
            <w:r>
              <w:rPr>
                <w:webHidden/>
              </w:rPr>
              <w:instrText xml:space="preserve">PAGEREF _Toc235564996 \h</w:instrText>
            </w:r>
            <w:r>
              <w:rPr>
                <w:webHidden/>
              </w:rPr>
              <w:fldChar w:fldCharType="separate"/>
            </w:r>
            <w:r>
              <w:rPr>
                <w:rStyle w:val="IndexLink"/>
                <w:vanish w:val="false"/>
              </w:rPr>
              <w:tab/>
              <w:t>104</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97">
            <w:r>
              <w:rPr>
                <w:rStyle w:val="IndexLink"/>
                <w:webHidden/>
              </w:rPr>
              <w:t>5.4 Estrutura funcional da plataforma</w:t>
            </w:r>
            <w:r>
              <w:rPr>
                <w:webHidden/>
              </w:rPr>
              <w:fldChar w:fldCharType="begin"/>
            </w:r>
            <w:r>
              <w:rPr>
                <w:webHidden/>
              </w:rPr>
              <w:instrText xml:space="preserve">PAGEREF _Toc235564997 \h</w:instrText>
            </w:r>
            <w:r>
              <w:rPr>
                <w:webHidden/>
              </w:rPr>
              <w:fldChar w:fldCharType="separate"/>
            </w:r>
            <w:r>
              <w:rPr>
                <w:rStyle w:val="IndexLink"/>
                <w:vanish w:val="false"/>
              </w:rPr>
              <w:tab/>
              <w:t>106</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4998">
            <w:r>
              <w:rPr>
                <w:rStyle w:val="IndexLink"/>
                <w:webHidden/>
              </w:rPr>
              <w:t>5.5 Gestão de parâmetros, versões e expansão</w:t>
            </w:r>
            <w:r>
              <w:rPr>
                <w:webHidden/>
              </w:rPr>
              <w:fldChar w:fldCharType="begin"/>
            </w:r>
            <w:r>
              <w:rPr>
                <w:webHidden/>
              </w:rPr>
              <w:instrText xml:space="preserve">PAGEREF _Toc235564998 \h</w:instrText>
            </w:r>
            <w:r>
              <w:rPr>
                <w:webHidden/>
              </w:rPr>
              <w:fldChar w:fldCharType="separate"/>
            </w:r>
            <w:r>
              <w:rPr>
                <w:rStyle w:val="IndexLink"/>
                <w:vanish w:val="false"/>
              </w:rPr>
              <w:tab/>
              <w:t>114</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4999">
            <w:r>
              <w:rPr>
                <w:rStyle w:val="IndexLink"/>
                <w:webHidden/>
              </w:rPr>
              <w:t>Capítulo 6 — Integração da Inteligência Artificial</w:t>
            </w:r>
            <w:r>
              <w:rPr>
                <w:webHidden/>
              </w:rPr>
              <w:fldChar w:fldCharType="begin"/>
            </w:r>
            <w:r>
              <w:rPr>
                <w:webHidden/>
              </w:rPr>
              <w:instrText xml:space="preserve">PAGEREF _Toc235564999 \h</w:instrText>
            </w:r>
            <w:r>
              <w:rPr>
                <w:webHidden/>
              </w:rPr>
              <w:fldChar w:fldCharType="separate"/>
            </w:r>
            <w:r>
              <w:rPr>
                <w:rStyle w:val="IndexLink"/>
                <w:vanish w:val="false"/>
              </w:rPr>
              <w:tab/>
              <w:t>117</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00">
            <w:r>
              <w:rPr>
                <w:rStyle w:val="IndexLink"/>
                <w:webHidden/>
              </w:rPr>
              <w:t>6.1 Papel da IA no sistema proposto</w:t>
            </w:r>
            <w:r>
              <w:rPr>
                <w:webHidden/>
              </w:rPr>
              <w:fldChar w:fldCharType="begin"/>
            </w:r>
            <w:r>
              <w:rPr>
                <w:webHidden/>
              </w:rPr>
              <w:instrText xml:space="preserve">PAGEREF _Toc235565000 \h</w:instrText>
            </w:r>
            <w:r>
              <w:rPr>
                <w:webHidden/>
              </w:rPr>
              <w:fldChar w:fldCharType="separate"/>
            </w:r>
            <w:r>
              <w:rPr>
                <w:rStyle w:val="IndexLink"/>
                <w:vanish w:val="false"/>
              </w:rPr>
              <w:tab/>
              <w:t>117</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01">
            <w:r>
              <w:rPr>
                <w:rStyle w:val="IndexLink"/>
                <w:webHidden/>
              </w:rPr>
              <w:t>6.2 IA na parametrização, personalização e apoio à decisão</w:t>
            </w:r>
            <w:r>
              <w:rPr>
                <w:webHidden/>
              </w:rPr>
              <w:fldChar w:fldCharType="begin"/>
            </w:r>
            <w:r>
              <w:rPr>
                <w:webHidden/>
              </w:rPr>
              <w:instrText xml:space="preserve">PAGEREF _Toc235565001 \h</w:instrText>
            </w:r>
            <w:r>
              <w:rPr>
                <w:webHidden/>
              </w:rPr>
              <w:fldChar w:fldCharType="separate"/>
            </w:r>
            <w:r>
              <w:rPr>
                <w:rStyle w:val="IndexLink"/>
                <w:vanish w:val="false"/>
              </w:rPr>
              <w:tab/>
              <w:t>118</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02">
            <w:r>
              <w:rPr>
                <w:rStyle w:val="IndexLink"/>
                <w:webHidden/>
              </w:rPr>
              <w:t>6.3 Avaliação das sugestões paramétricas apoiadas por IA</w:t>
            </w:r>
            <w:r>
              <w:rPr>
                <w:webHidden/>
              </w:rPr>
              <w:fldChar w:fldCharType="begin"/>
            </w:r>
            <w:r>
              <w:rPr>
                <w:webHidden/>
              </w:rPr>
              <w:instrText xml:space="preserve">PAGEREF _Toc235565002 \h</w:instrText>
            </w:r>
            <w:r>
              <w:rPr>
                <w:webHidden/>
              </w:rPr>
              <w:fldChar w:fldCharType="separate"/>
            </w:r>
            <w:r>
              <w:rPr>
                <w:rStyle w:val="IndexLink"/>
                <w:vanish w:val="false"/>
              </w:rPr>
              <w:tab/>
              <w:t>120</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03">
            <w:r>
              <w:rPr>
                <w:rStyle w:val="IndexLink"/>
                <w:webHidden/>
              </w:rPr>
              <w:t>6.4 Ajuste, verificação e limitações éticas e técnicas</w:t>
            </w:r>
            <w:r>
              <w:rPr>
                <w:webHidden/>
              </w:rPr>
              <w:fldChar w:fldCharType="begin"/>
            </w:r>
            <w:r>
              <w:rPr>
                <w:webHidden/>
              </w:rPr>
              <w:instrText xml:space="preserve">PAGEREF _Toc235565003 \h</w:instrText>
            </w:r>
            <w:r>
              <w:rPr>
                <w:webHidden/>
              </w:rPr>
              <w:fldChar w:fldCharType="separate"/>
            </w:r>
            <w:r>
              <w:rPr>
                <w:rStyle w:val="IndexLink"/>
                <w:vanish w:val="false"/>
              </w:rPr>
              <w:tab/>
              <w:t>122</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5004">
            <w:r>
              <w:rPr>
                <w:rStyle w:val="IndexLink"/>
                <w:webHidden/>
              </w:rPr>
              <w:t>Capítulo 7 — Princípios de Interface e Decisões de Interacção</w:t>
            </w:r>
            <w:r>
              <w:rPr>
                <w:webHidden/>
              </w:rPr>
              <w:fldChar w:fldCharType="begin"/>
            </w:r>
            <w:r>
              <w:rPr>
                <w:webHidden/>
              </w:rPr>
              <w:instrText xml:space="preserve">PAGEREF _Toc235565004 \h</w:instrText>
            </w:r>
            <w:r>
              <w:rPr>
                <w:webHidden/>
              </w:rPr>
              <w:fldChar w:fldCharType="separate"/>
            </w:r>
            <w:r>
              <w:rPr>
                <w:rStyle w:val="IndexLink"/>
                <w:vanish w:val="false"/>
              </w:rPr>
              <w:tab/>
              <w:t>125</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05">
            <w:r>
              <w:rPr>
                <w:rStyle w:val="IndexLink"/>
                <w:webHidden/>
              </w:rPr>
              <w:t>7.1 Estratégia de interacção e decisões de UI/UX</w:t>
            </w:r>
            <w:r>
              <w:rPr>
                <w:webHidden/>
              </w:rPr>
              <w:fldChar w:fldCharType="begin"/>
            </w:r>
            <w:r>
              <w:rPr>
                <w:webHidden/>
              </w:rPr>
              <w:instrText xml:space="preserve">PAGEREF _Toc235565005 \h</w:instrText>
            </w:r>
            <w:r>
              <w:rPr>
                <w:webHidden/>
              </w:rPr>
              <w:fldChar w:fldCharType="separate"/>
            </w:r>
            <w:r>
              <w:rPr>
                <w:rStyle w:val="IndexLink"/>
                <w:vanish w:val="false"/>
              </w:rPr>
              <w:tab/>
              <w:t>125</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06">
            <w:r>
              <w:rPr>
                <w:rStyle w:val="IndexLink"/>
                <w:webHidden/>
              </w:rPr>
              <w:t>7.2 Papéis previstos e distribuição de decisões</w:t>
            </w:r>
            <w:r>
              <w:rPr>
                <w:webHidden/>
              </w:rPr>
              <w:fldChar w:fldCharType="begin"/>
            </w:r>
            <w:r>
              <w:rPr>
                <w:webHidden/>
              </w:rPr>
              <w:instrText xml:space="preserve">PAGEREF _Toc235565006 \h</w:instrText>
            </w:r>
            <w:r>
              <w:rPr>
                <w:webHidden/>
              </w:rPr>
              <w:fldChar w:fldCharType="separate"/>
            </w:r>
            <w:r>
              <w:rPr>
                <w:rStyle w:val="IndexLink"/>
                <w:vanish w:val="false"/>
              </w:rPr>
              <w:tab/>
              <w:t>126</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07">
            <w:r>
              <w:rPr>
                <w:rStyle w:val="IndexLink"/>
                <w:webHidden/>
              </w:rPr>
              <w:t xml:space="preserve">7.3 Mediação do processo de </w:t>
            </w:r>
            <w:r>
              <w:rPr>
                <w:rStyle w:val="IndexLink"/>
                <w:i/>
                <w:iCs/>
              </w:rPr>
              <w:t>design</w:t>
            </w:r>
            <w:r>
              <w:rPr>
                <w:rStyle w:val="IndexLink"/>
              </w:rPr>
              <w:t xml:space="preserve"> e reflexão crítica</w:t>
            </w:r>
            <w:r>
              <w:rPr>
                <w:webHidden/>
              </w:rPr>
              <w:fldChar w:fldCharType="begin"/>
            </w:r>
            <w:r>
              <w:rPr>
                <w:webHidden/>
              </w:rPr>
              <w:instrText xml:space="preserve">PAGEREF _Toc235565007 \h</w:instrText>
            </w:r>
            <w:r>
              <w:rPr>
                <w:webHidden/>
              </w:rPr>
              <w:fldChar w:fldCharType="separate"/>
            </w:r>
            <w:r>
              <w:rPr>
                <w:rStyle w:val="IndexLink"/>
                <w:vanish w:val="false"/>
              </w:rPr>
              <w:tab/>
              <w:t>128</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5008">
            <w:r>
              <w:rPr>
                <w:rStyle w:val="IndexLink"/>
                <w:webHidden/>
              </w:rPr>
              <w:t>Capítulo 8 — Avaliação e Discussão</w:t>
            </w:r>
            <w:r>
              <w:rPr>
                <w:webHidden/>
              </w:rPr>
              <w:fldChar w:fldCharType="begin"/>
            </w:r>
            <w:r>
              <w:rPr>
                <w:webHidden/>
              </w:rPr>
              <w:instrText xml:space="preserve">PAGEREF _Toc235565008 \h</w:instrText>
            </w:r>
            <w:r>
              <w:rPr>
                <w:webHidden/>
              </w:rPr>
              <w:fldChar w:fldCharType="separate"/>
            </w:r>
            <w:r>
              <w:rPr>
                <w:rStyle w:val="IndexLink"/>
                <w:vanish w:val="false"/>
              </w:rPr>
              <w:tab/>
              <w:t>130</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09">
            <w:r>
              <w:rPr>
                <w:rStyle w:val="IndexLink"/>
                <w:webHidden/>
              </w:rPr>
              <w:t>8.1 Estratégia e critérios de avaliação</w:t>
            </w:r>
            <w:r>
              <w:rPr>
                <w:webHidden/>
              </w:rPr>
              <w:fldChar w:fldCharType="begin"/>
            </w:r>
            <w:r>
              <w:rPr>
                <w:webHidden/>
              </w:rPr>
              <w:instrText xml:space="preserve">PAGEREF _Toc235565009 \h</w:instrText>
            </w:r>
            <w:r>
              <w:rPr>
                <w:webHidden/>
              </w:rPr>
              <w:fldChar w:fldCharType="separate"/>
            </w:r>
            <w:r>
              <w:rPr>
                <w:rStyle w:val="IndexLink"/>
                <w:vanish w:val="false"/>
              </w:rPr>
              <w:tab/>
              <w:t>130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10">
            <w:r>
              <w:rPr>
                <w:rStyle w:val="IndexLink"/>
                <w:webHidden/>
              </w:rPr>
              <w:t>8.1.1 Verificação técnica da plataforma</w:t>
            </w:r>
            <w:r>
              <w:rPr>
                <w:webHidden/>
              </w:rPr>
              <w:fldChar w:fldCharType="begin"/>
            </w:r>
            <w:r>
              <w:rPr>
                <w:webHidden/>
              </w:rPr>
              <w:instrText xml:space="preserve">PAGEREF _Toc235565010 \h</w:instrText>
            </w:r>
            <w:r>
              <w:rPr>
                <w:webHidden/>
              </w:rPr>
              <w:fldChar w:fldCharType="separate"/>
            </w:r>
            <w:r>
              <w:rPr>
                <w:rStyle w:val="IndexLink"/>
                <w:vanish w:val="false"/>
              </w:rPr>
              <w:tab/>
              <w:t>130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11">
            <w:r>
              <w:rPr>
                <w:rStyle w:val="IndexLink"/>
                <w:webHidden/>
              </w:rPr>
              <w:t>8.1.2 Avaliação complementar da consistência da geração, recuperação e acessibilidade</w:t>
            </w:r>
            <w:r>
              <w:rPr>
                <w:webHidden/>
              </w:rPr>
              <w:fldChar w:fldCharType="begin"/>
            </w:r>
            <w:r>
              <w:rPr>
                <w:webHidden/>
              </w:rPr>
              <w:instrText xml:space="preserve">PAGEREF _Toc235565011 \h</w:instrText>
            </w:r>
            <w:r>
              <w:rPr>
                <w:webHidden/>
              </w:rPr>
              <w:fldChar w:fldCharType="separate"/>
            </w:r>
            <w:r>
              <w:rPr>
                <w:rStyle w:val="IndexLink"/>
                <w:vanish w:val="false"/>
              </w:rPr>
              <w:tab/>
              <w:t>132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12">
            <w:r>
              <w:rPr>
                <w:rStyle w:val="IndexLink"/>
                <w:webHidden/>
              </w:rPr>
              <w:t>8.1.3 Preparação para impressão e protótipos físicos</w:t>
            </w:r>
            <w:r>
              <w:rPr>
                <w:webHidden/>
              </w:rPr>
              <w:fldChar w:fldCharType="begin"/>
            </w:r>
            <w:r>
              <w:rPr>
                <w:webHidden/>
              </w:rPr>
              <w:instrText xml:space="preserve">PAGEREF _Toc235565012 \h</w:instrText>
            </w:r>
            <w:r>
              <w:rPr>
                <w:webHidden/>
              </w:rPr>
              <w:fldChar w:fldCharType="separate"/>
            </w:r>
            <w:r>
              <w:rPr>
                <w:rStyle w:val="IndexLink"/>
                <w:vanish w:val="false"/>
              </w:rPr>
              <w:tab/>
              <w:t>134</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13">
            <w:r>
              <w:rPr>
                <w:rStyle w:val="IndexLink"/>
                <w:webHidden/>
              </w:rPr>
              <w:t>8.2 Avaliação da coerência das sugestões de IA</w:t>
            </w:r>
            <w:r>
              <w:rPr>
                <w:webHidden/>
              </w:rPr>
              <w:fldChar w:fldCharType="begin"/>
            </w:r>
            <w:r>
              <w:rPr>
                <w:webHidden/>
              </w:rPr>
              <w:instrText xml:space="preserve">PAGEREF _Toc235565013 \h</w:instrText>
            </w:r>
            <w:r>
              <w:rPr>
                <w:webHidden/>
              </w:rPr>
              <w:fldChar w:fldCharType="separate"/>
            </w:r>
            <w:r>
              <w:rPr>
                <w:rStyle w:val="IndexLink"/>
                <w:vanish w:val="false"/>
              </w:rPr>
              <w:tab/>
              <w:t>140</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14">
            <w:r>
              <w:rPr>
                <w:rStyle w:val="IndexLink"/>
                <w:webHidden/>
              </w:rPr>
              <w:t>8.3 Verificação geométrica entre modelos</w:t>
            </w:r>
            <w:r>
              <w:rPr>
                <w:webHidden/>
              </w:rPr>
              <w:fldChar w:fldCharType="begin"/>
            </w:r>
            <w:r>
              <w:rPr>
                <w:webHidden/>
              </w:rPr>
              <w:instrText xml:space="preserve">PAGEREF _Toc235565014 \h</w:instrText>
            </w:r>
            <w:r>
              <w:rPr>
                <w:webHidden/>
              </w:rPr>
              <w:fldChar w:fldCharType="separate"/>
            </w:r>
            <w:r>
              <w:rPr>
                <w:rStyle w:val="IndexLink"/>
                <w:vanish w:val="false"/>
              </w:rPr>
              <w:tab/>
              <w:t>144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15">
            <w:r>
              <w:rPr>
                <w:rStyle w:val="IndexLink"/>
                <w:webHidden/>
              </w:rPr>
              <w:t>8.4 Discussão dos resultados face aos objetivos</w:t>
            </w:r>
            <w:r>
              <w:rPr>
                <w:webHidden/>
              </w:rPr>
              <w:fldChar w:fldCharType="begin"/>
            </w:r>
            <w:r>
              <w:rPr>
                <w:webHidden/>
              </w:rPr>
              <w:instrText xml:space="preserve">PAGEREF _Toc235565015 \h</w:instrText>
            </w:r>
            <w:r>
              <w:rPr>
                <w:webHidden/>
              </w:rPr>
              <w:fldChar w:fldCharType="separate"/>
            </w:r>
            <w:r>
              <w:rPr>
                <w:rStyle w:val="IndexLink"/>
                <w:vanish w:val="false"/>
              </w:rPr>
              <w:tab/>
              <w:t>146</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16">
            <w:r>
              <w:rPr>
                <w:rStyle w:val="IndexLink"/>
                <w:webHidden/>
              </w:rPr>
              <w:t>Capítulo 9 — Conclusões e Trabalhos Futuros</w:t>
            </w:r>
            <w:r>
              <w:rPr>
                <w:webHidden/>
              </w:rPr>
              <w:fldChar w:fldCharType="begin"/>
            </w:r>
            <w:r>
              <w:rPr>
                <w:webHidden/>
              </w:rPr>
              <w:instrText xml:space="preserve">PAGEREF _Toc235565016 \h</w:instrText>
            </w:r>
            <w:r>
              <w:rPr>
                <w:webHidden/>
              </w:rPr>
              <w:fldChar w:fldCharType="separate"/>
            </w:r>
            <w:r>
              <w:rPr>
                <w:rStyle w:val="IndexLink"/>
                <w:vanish w:val="false"/>
              </w:rPr>
              <w:tab/>
              <w:t>150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17">
            <w:r>
              <w:rPr>
                <w:rStyle w:val="IndexLink"/>
                <w:webHidden/>
              </w:rPr>
              <w:t>9.1 Resposta ao problema e às perguntas de investigação</w:t>
            </w:r>
            <w:r>
              <w:rPr>
                <w:webHidden/>
              </w:rPr>
              <w:fldChar w:fldCharType="begin"/>
            </w:r>
            <w:r>
              <w:rPr>
                <w:webHidden/>
              </w:rPr>
              <w:instrText xml:space="preserve">PAGEREF _Toc235565017 \h</w:instrText>
            </w:r>
            <w:r>
              <w:rPr>
                <w:webHidden/>
              </w:rPr>
              <w:fldChar w:fldCharType="separate"/>
            </w:r>
            <w:r>
              <w:rPr>
                <w:rStyle w:val="IndexLink"/>
                <w:vanish w:val="false"/>
              </w:rPr>
              <w:tab/>
              <w:t>150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18">
            <w:r>
              <w:rPr>
                <w:rStyle w:val="IndexLink"/>
                <w:webHidden/>
              </w:rPr>
              <w:t>9.2 Contributos da investigação</w:t>
            </w:r>
            <w:r>
              <w:rPr>
                <w:webHidden/>
              </w:rPr>
              <w:fldChar w:fldCharType="begin"/>
            </w:r>
            <w:r>
              <w:rPr>
                <w:webHidden/>
              </w:rPr>
              <w:instrText xml:space="preserve">PAGEREF _Toc235565018 \h</w:instrText>
            </w:r>
            <w:r>
              <w:rPr>
                <w:webHidden/>
              </w:rPr>
              <w:fldChar w:fldCharType="separate"/>
            </w:r>
            <w:r>
              <w:rPr>
                <w:rStyle w:val="IndexLink"/>
                <w:vanish w:val="false"/>
              </w:rPr>
              <w:tab/>
              <w:t>152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19">
            <w:r>
              <w:rPr>
                <w:rStyle w:val="IndexLink"/>
                <w:webHidden/>
              </w:rPr>
              <w:t>9.3 Limitações</w:t>
            </w:r>
            <w:r>
              <w:rPr>
                <w:webHidden/>
              </w:rPr>
              <w:fldChar w:fldCharType="begin"/>
            </w:r>
            <w:r>
              <w:rPr>
                <w:webHidden/>
              </w:rPr>
              <w:instrText xml:space="preserve">PAGEREF _Toc235565019 \h</w:instrText>
            </w:r>
            <w:r>
              <w:rPr>
                <w:webHidden/>
              </w:rPr>
              <w:fldChar w:fldCharType="separate"/>
            </w:r>
            <w:r>
              <w:rPr>
                <w:rStyle w:val="IndexLink"/>
                <w:vanish w:val="false"/>
              </w:rPr>
              <w:tab/>
              <w:t>153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20">
            <w:r>
              <w:rPr>
                <w:rStyle w:val="IndexLink"/>
                <w:webHidden/>
              </w:rPr>
              <w:t>9.4 Trabalho futuro</w:t>
            </w:r>
            <w:r>
              <w:rPr>
                <w:webHidden/>
              </w:rPr>
              <w:fldChar w:fldCharType="begin"/>
            </w:r>
            <w:r>
              <w:rPr>
                <w:webHidden/>
              </w:rPr>
              <w:instrText xml:space="preserve">PAGEREF _Toc235565020 \h</w:instrText>
            </w:r>
            <w:r>
              <w:rPr>
                <w:webHidden/>
              </w:rPr>
              <w:fldChar w:fldCharType="separate"/>
            </w:r>
            <w:r>
              <w:rPr>
                <w:rStyle w:val="IndexLink"/>
                <w:vanish w:val="false"/>
              </w:rPr>
              <w:tab/>
              <w:t>154</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5021">
            <w:r>
              <w:rPr>
                <w:rStyle w:val="IndexLink"/>
                <w:webHidden/>
              </w:rPr>
              <w:t>Referências Bibliográficas</w:t>
            </w:r>
            <w:r>
              <w:rPr>
                <w:webHidden/>
              </w:rPr>
              <w:fldChar w:fldCharType="begin"/>
            </w:r>
            <w:r>
              <w:rPr>
                <w:webHidden/>
              </w:rPr>
              <w:instrText xml:space="preserve">PAGEREF _Toc235565021 \h</w:instrText>
            </w:r>
            <w:r>
              <w:rPr>
                <w:webHidden/>
              </w:rPr>
              <w:fldChar w:fldCharType="separate"/>
            </w:r>
            <w:r>
              <w:rPr>
                <w:rStyle w:val="IndexLink"/>
                <w:vanish w:val="false"/>
              </w:rPr>
              <w:tab/>
              <w:t>156</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5022">
            <w:r>
              <w:rPr>
                <w:rStyle w:val="IndexLink"/>
                <w:webHidden/>
              </w:rPr>
              <w:t>Anexo A — Metodologia de extração e codificação de dados antropométricos</w:t>
            </w:r>
            <w:r>
              <w:rPr>
                <w:webHidden/>
              </w:rPr>
              <w:fldChar w:fldCharType="begin"/>
            </w:r>
            <w:r>
              <w:rPr>
                <w:webHidden/>
              </w:rPr>
              <w:instrText xml:space="preserve">PAGEREF _Toc235565022 \h</w:instrText>
            </w:r>
            <w:r>
              <w:rPr>
                <w:webHidden/>
              </w:rPr>
              <w:fldChar w:fldCharType="separate"/>
            </w:r>
            <w:r>
              <w:rPr>
                <w:rStyle w:val="IndexLink"/>
                <w:vanish w:val="false"/>
              </w:rPr>
              <w:tab/>
              <w:t>170</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5023">
            <w:r>
              <w:rPr>
                <w:rStyle w:val="IndexLink"/>
                <w:webHidden/>
              </w:rPr>
              <w:t>Índice do Anexo A</w:t>
            </w:r>
            <w:r>
              <w:rPr>
                <w:webHidden/>
              </w:rPr>
              <w:fldChar w:fldCharType="begin"/>
            </w:r>
            <w:r>
              <w:rPr>
                <w:webHidden/>
              </w:rPr>
              <w:instrText xml:space="preserve">PAGEREF _Toc235565023 \h</w:instrText>
            </w:r>
            <w:r>
              <w:rPr>
                <w:webHidden/>
              </w:rPr>
              <w:fldChar w:fldCharType="separate"/>
            </w:r>
            <w:r>
              <w:rPr>
                <w:rStyle w:val="IndexLink"/>
                <w:vanish w:val="false"/>
              </w:rPr>
              <w:tab/>
              <w:t>170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24">
            <w:r>
              <w:rPr>
                <w:rStyle w:val="IndexLink"/>
                <w:webHidden/>
              </w:rPr>
              <w:t>A.1 Contexto e Objectivo</w:t>
            </w:r>
            <w:r>
              <w:rPr>
                <w:webHidden/>
              </w:rPr>
              <w:fldChar w:fldCharType="begin"/>
            </w:r>
            <w:r>
              <w:rPr>
                <w:webHidden/>
              </w:rPr>
              <w:instrText xml:space="preserve">PAGEREF _Toc235565024 \h</w:instrText>
            </w:r>
            <w:r>
              <w:rPr>
                <w:webHidden/>
              </w:rPr>
              <w:fldChar w:fldCharType="separate"/>
            </w:r>
            <w:r>
              <w:rPr>
                <w:rStyle w:val="IndexLink"/>
                <w:vanish w:val="false"/>
              </w:rPr>
              <w:tab/>
              <w:t>171</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25">
            <w:r>
              <w:rPr>
                <w:rStyle w:val="IndexLink"/>
                <w:webHidden/>
              </w:rPr>
              <w:t>A.2 Estratégia de Pesquisa Bibliográfica</w:t>
            </w:r>
            <w:r>
              <w:rPr>
                <w:webHidden/>
              </w:rPr>
              <w:fldChar w:fldCharType="begin"/>
            </w:r>
            <w:r>
              <w:rPr>
                <w:webHidden/>
              </w:rPr>
              <w:instrText xml:space="preserve">PAGEREF _Toc235565025 \h</w:instrText>
            </w:r>
            <w:r>
              <w:rPr>
                <w:webHidden/>
              </w:rPr>
              <w:fldChar w:fldCharType="separate"/>
            </w:r>
            <w:r>
              <w:rPr>
                <w:rStyle w:val="IndexLink"/>
                <w:vanish w:val="false"/>
              </w:rPr>
              <w:tab/>
              <w:t>171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26">
            <w:r>
              <w:rPr>
                <w:rStyle w:val="IndexLink"/>
                <w:webHidden/>
              </w:rPr>
              <w:t>A.2.1 Pesquisa bibliográfica orientada</w:t>
            </w:r>
            <w:r>
              <w:rPr>
                <w:webHidden/>
              </w:rPr>
              <w:fldChar w:fldCharType="begin"/>
            </w:r>
            <w:r>
              <w:rPr>
                <w:webHidden/>
              </w:rPr>
              <w:instrText xml:space="preserve">PAGEREF _Toc235565026 \h</w:instrText>
            </w:r>
            <w:r>
              <w:rPr>
                <w:webHidden/>
              </w:rPr>
              <w:fldChar w:fldCharType="separate"/>
            </w:r>
            <w:r>
              <w:rPr>
                <w:rStyle w:val="IndexLink"/>
                <w:vanish w:val="false"/>
              </w:rPr>
              <w:tab/>
              <w:t>171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27">
            <w:r>
              <w:rPr>
                <w:rStyle w:val="IndexLink"/>
                <w:webHidden/>
              </w:rPr>
              <w:t>A.2.2 Base ANSUR 1988</w:t>
            </w:r>
            <w:r>
              <w:rPr>
                <w:webHidden/>
              </w:rPr>
              <w:fldChar w:fldCharType="begin"/>
            </w:r>
            <w:r>
              <w:rPr>
                <w:webHidden/>
              </w:rPr>
              <w:instrText xml:space="preserve">PAGEREF _Toc235565027 \h</w:instrText>
            </w:r>
            <w:r>
              <w:rPr>
                <w:webHidden/>
              </w:rPr>
              <w:fldChar w:fldCharType="separate"/>
            </w:r>
            <w:r>
              <w:rPr>
                <w:rStyle w:val="IndexLink"/>
                <w:vanish w:val="false"/>
              </w:rPr>
              <w:tab/>
              <w:t>172</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28">
            <w:r>
              <w:rPr>
                <w:rStyle w:val="IndexLink"/>
                <w:webHidden/>
              </w:rPr>
              <w:t>A.3 Critérios de Inclusão e Exclusão de Estudos</w:t>
            </w:r>
            <w:r>
              <w:rPr>
                <w:webHidden/>
              </w:rPr>
              <w:fldChar w:fldCharType="begin"/>
            </w:r>
            <w:r>
              <w:rPr>
                <w:webHidden/>
              </w:rPr>
              <w:instrText xml:space="preserve">PAGEREF _Toc235565028 \h</w:instrText>
            </w:r>
            <w:r>
              <w:rPr>
                <w:webHidden/>
              </w:rPr>
              <w:fldChar w:fldCharType="separate"/>
            </w:r>
            <w:r>
              <w:rPr>
                <w:rStyle w:val="IndexLink"/>
                <w:vanish w:val="false"/>
              </w:rPr>
              <w:tab/>
              <w:t>172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29">
            <w:r>
              <w:rPr>
                <w:rStyle w:val="IndexLink"/>
                <w:webHidden/>
              </w:rPr>
              <w:t>A.3.1 Critérios de inclusão</w:t>
            </w:r>
            <w:r>
              <w:rPr>
                <w:webHidden/>
              </w:rPr>
              <w:fldChar w:fldCharType="begin"/>
            </w:r>
            <w:r>
              <w:rPr>
                <w:webHidden/>
              </w:rPr>
              <w:instrText xml:space="preserve">PAGEREF _Toc235565029 \h</w:instrText>
            </w:r>
            <w:r>
              <w:rPr>
                <w:webHidden/>
              </w:rPr>
              <w:fldChar w:fldCharType="separate"/>
            </w:r>
            <w:r>
              <w:rPr>
                <w:rStyle w:val="IndexLink"/>
                <w:vanish w:val="false"/>
              </w:rPr>
              <w:tab/>
              <w:t>172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30">
            <w:r>
              <w:rPr>
                <w:rStyle w:val="IndexLink"/>
                <w:webHidden/>
              </w:rPr>
              <w:t>A.3.2 Critérios de exclusão</w:t>
            </w:r>
            <w:r>
              <w:rPr>
                <w:webHidden/>
              </w:rPr>
              <w:fldChar w:fldCharType="begin"/>
            </w:r>
            <w:r>
              <w:rPr>
                <w:webHidden/>
              </w:rPr>
              <w:instrText xml:space="preserve">PAGEREF _Toc235565030 \h</w:instrText>
            </w:r>
            <w:r>
              <w:rPr>
                <w:webHidden/>
              </w:rPr>
              <w:fldChar w:fldCharType="separate"/>
            </w:r>
            <w:r>
              <w:rPr>
                <w:rStyle w:val="IndexLink"/>
                <w:vanish w:val="false"/>
              </w:rPr>
              <w:tab/>
              <w:t>173</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31">
            <w:r>
              <w:rPr>
                <w:rStyle w:val="IndexLink"/>
                <w:webHidden/>
              </w:rPr>
              <w:t>A.4 Processo de Extracção de Dados</w:t>
            </w:r>
            <w:r>
              <w:rPr>
                <w:webHidden/>
              </w:rPr>
              <w:fldChar w:fldCharType="begin"/>
            </w:r>
            <w:r>
              <w:rPr>
                <w:webHidden/>
              </w:rPr>
              <w:instrText xml:space="preserve">PAGEREF _Toc235565031 \h</w:instrText>
            </w:r>
            <w:r>
              <w:rPr>
                <w:webHidden/>
              </w:rPr>
              <w:fldChar w:fldCharType="separate"/>
            </w:r>
            <w:r>
              <w:rPr>
                <w:rStyle w:val="IndexLink"/>
                <w:vanish w:val="false"/>
              </w:rPr>
              <w:tab/>
              <w:t>173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32">
            <w:r>
              <w:rPr>
                <w:rStyle w:val="IndexLink"/>
                <w:webHidden/>
              </w:rPr>
              <w:t>A.4.1 Leitura dos PDFs e localização das tabelas</w:t>
            </w:r>
            <w:r>
              <w:rPr>
                <w:webHidden/>
              </w:rPr>
              <w:fldChar w:fldCharType="begin"/>
            </w:r>
            <w:r>
              <w:rPr>
                <w:webHidden/>
              </w:rPr>
              <w:instrText xml:space="preserve">PAGEREF _Toc235565032 \h</w:instrText>
            </w:r>
            <w:r>
              <w:rPr>
                <w:webHidden/>
              </w:rPr>
              <w:fldChar w:fldCharType="separate"/>
            </w:r>
            <w:r>
              <w:rPr>
                <w:rStyle w:val="IndexLink"/>
                <w:vanish w:val="false"/>
              </w:rPr>
              <w:tab/>
              <w:t>173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33">
            <w:r>
              <w:rPr>
                <w:rStyle w:val="IndexLink"/>
                <w:webHidden/>
              </w:rPr>
              <w:t>A.4.2 Identificação das unidades e conversão</w:t>
            </w:r>
            <w:r>
              <w:rPr>
                <w:webHidden/>
              </w:rPr>
              <w:fldChar w:fldCharType="begin"/>
            </w:r>
            <w:r>
              <w:rPr>
                <w:webHidden/>
              </w:rPr>
              <w:instrText xml:space="preserve">PAGEREF _Toc235565033 \h</w:instrText>
            </w:r>
            <w:r>
              <w:rPr>
                <w:webHidden/>
              </w:rPr>
              <w:fldChar w:fldCharType="separate"/>
            </w:r>
            <w:r>
              <w:rPr>
                <w:rStyle w:val="IndexLink"/>
                <w:vanish w:val="false"/>
              </w:rPr>
              <w:tab/>
              <w:t>174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34">
            <w:r>
              <w:rPr>
                <w:rStyle w:val="IndexLink"/>
                <w:webHidden/>
              </w:rPr>
              <w:t>A.4.3 Decomposição em linhas atómicas</w:t>
            </w:r>
            <w:r>
              <w:rPr>
                <w:webHidden/>
              </w:rPr>
              <w:fldChar w:fldCharType="begin"/>
            </w:r>
            <w:r>
              <w:rPr>
                <w:webHidden/>
              </w:rPr>
              <w:instrText xml:space="preserve">PAGEREF _Toc235565034 \h</w:instrText>
            </w:r>
            <w:r>
              <w:rPr>
                <w:webHidden/>
              </w:rPr>
              <w:fldChar w:fldCharType="separate"/>
            </w:r>
            <w:r>
              <w:rPr>
                <w:rStyle w:val="IndexLink"/>
                <w:vanish w:val="false"/>
              </w:rPr>
              <w:tab/>
              <w:t>174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35">
            <w:r>
              <w:rPr>
                <w:rStyle w:val="IndexLink"/>
                <w:webHidden/>
              </w:rPr>
              <w:t>A.4.4 Registo do contexto da medição</w:t>
            </w:r>
            <w:r>
              <w:rPr>
                <w:webHidden/>
              </w:rPr>
              <w:fldChar w:fldCharType="begin"/>
            </w:r>
            <w:r>
              <w:rPr>
                <w:webHidden/>
              </w:rPr>
              <w:instrText xml:space="preserve">PAGEREF _Toc235565035 \h</w:instrText>
            </w:r>
            <w:r>
              <w:rPr>
                <w:webHidden/>
              </w:rPr>
              <w:fldChar w:fldCharType="separate"/>
            </w:r>
            <w:r>
              <w:rPr>
                <w:rStyle w:val="IndexLink"/>
                <w:vanish w:val="false"/>
              </w:rPr>
              <w:tab/>
              <w:t>175</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36">
            <w:r>
              <w:rPr>
                <w:rStyle w:val="IndexLink"/>
                <w:webHidden/>
              </w:rPr>
              <w:t>A.5 Decisões por Estudo</w:t>
            </w:r>
            <w:r>
              <w:rPr>
                <w:webHidden/>
              </w:rPr>
              <w:fldChar w:fldCharType="begin"/>
            </w:r>
            <w:r>
              <w:rPr>
                <w:webHidden/>
              </w:rPr>
              <w:instrText xml:space="preserve">PAGEREF _Toc235565036 \h</w:instrText>
            </w:r>
            <w:r>
              <w:rPr>
                <w:webHidden/>
              </w:rPr>
              <w:fldChar w:fldCharType="separate"/>
            </w:r>
            <w:r>
              <w:rPr>
                <w:rStyle w:val="IndexLink"/>
                <w:vanish w:val="false"/>
              </w:rPr>
              <w:tab/>
              <w:t>175</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37">
            <w:r>
              <w:rPr>
                <w:rStyle w:val="IndexLink"/>
                <w:webHidden/>
              </w:rPr>
              <w:t>A.5.1 ANSUR 1988 — EUA, militares (Gordon et al., 1989)</w:t>
            </w:r>
            <w:r>
              <w:rPr>
                <w:webHidden/>
              </w:rPr>
              <w:fldChar w:fldCharType="begin"/>
            </w:r>
            <w:r>
              <w:rPr>
                <w:webHidden/>
              </w:rPr>
              <w:instrText xml:space="preserve">PAGEREF _Toc235565037 \h</w:instrText>
            </w:r>
            <w:r>
              <w:rPr>
                <w:webHidden/>
              </w:rPr>
              <w:fldChar w:fldCharType="separate"/>
            </w:r>
            <w:r>
              <w:rPr>
                <w:rStyle w:val="IndexLink"/>
                <w:vanish w:val="false"/>
              </w:rPr>
              <w:tab/>
              <w:t>175</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38">
            <w:r>
              <w:rPr>
                <w:rStyle w:val="IndexLink"/>
                <w:webHidden/>
              </w:rPr>
              <w:t xml:space="preserve">A.5.2 Turquia — jovens adultos </w:t>
            </w:r>
            <w:r>
              <w:rPr>
                <w:rStyle w:val="IndexLink"/>
                <w:rFonts w:cs="Arial"/>
              </w:rPr>
              <w:t>(Chatzıoglou et al., 2024)</w:t>
            </w:r>
            <w:r>
              <w:rPr>
                <w:webHidden/>
              </w:rPr>
              <w:fldChar w:fldCharType="begin"/>
            </w:r>
            <w:r>
              <w:rPr>
                <w:webHidden/>
              </w:rPr>
              <w:instrText xml:space="preserve">PAGEREF _Toc235565038 \h</w:instrText>
            </w:r>
            <w:r>
              <w:rPr>
                <w:webHidden/>
              </w:rPr>
              <w:fldChar w:fldCharType="separate"/>
            </w:r>
            <w:r>
              <w:rPr>
                <w:rStyle w:val="IndexLink"/>
                <w:vanish w:val="false"/>
              </w:rPr>
              <w:tab/>
              <w:t>176</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39">
            <w:r>
              <w:rPr>
                <w:rStyle w:val="IndexLink"/>
                <w:webHidden/>
              </w:rPr>
              <w:t xml:space="preserve">A.5.3 México — população geral </w:t>
            </w:r>
            <w:r>
              <w:rPr>
                <w:rStyle w:val="IndexLink"/>
                <w:rFonts w:eastAsia="Times New Roman" w:cs="Arial"/>
              </w:rPr>
              <w:t>(Rodríguez-Vega &amp; Rodríguez-Vega, 2024)</w:t>
            </w:r>
            <w:r>
              <w:rPr>
                <w:webHidden/>
              </w:rPr>
              <w:fldChar w:fldCharType="begin"/>
            </w:r>
            <w:r>
              <w:rPr>
                <w:webHidden/>
              </w:rPr>
              <w:instrText xml:space="preserve">PAGEREF _Toc235565039 \h</w:instrText>
            </w:r>
            <w:r>
              <w:rPr>
                <w:webHidden/>
              </w:rPr>
              <w:fldChar w:fldCharType="separate"/>
            </w:r>
            <w:r>
              <w:rPr>
                <w:rStyle w:val="IndexLink"/>
                <w:vanish w:val="false"/>
              </w:rPr>
              <w:tab/>
              <w:t>177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40">
            <w:r>
              <w:rPr>
                <w:rStyle w:val="IndexLink"/>
                <w:webHidden/>
              </w:rPr>
              <w:t xml:space="preserve">A.5.4 Índia — mulheres trabalhadoras </w:t>
            </w:r>
            <w:r>
              <w:rPr>
                <w:rStyle w:val="IndexLink"/>
                <w:rFonts w:cs="Arial"/>
              </w:rPr>
              <w:t>(Nag et al., 2003)</w:t>
            </w:r>
            <w:r>
              <w:rPr>
                <w:webHidden/>
              </w:rPr>
              <w:fldChar w:fldCharType="begin"/>
            </w:r>
            <w:r>
              <w:rPr>
                <w:webHidden/>
              </w:rPr>
              <w:instrText xml:space="preserve">PAGEREF _Toc235565040 \h</w:instrText>
            </w:r>
            <w:r>
              <w:rPr>
                <w:webHidden/>
              </w:rPr>
              <w:fldChar w:fldCharType="separate"/>
            </w:r>
            <w:r>
              <w:rPr>
                <w:rStyle w:val="IndexLink"/>
                <w:vanish w:val="false"/>
              </w:rPr>
              <w:tab/>
              <w:t>177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41">
            <w:r>
              <w:rPr>
                <w:rStyle w:val="IndexLink"/>
                <w:webHidden/>
              </w:rPr>
              <w:t xml:space="preserve">A.5.5 Portugal — trabalhadores industriais </w:t>
            </w:r>
            <w:r>
              <w:rPr>
                <w:rStyle w:val="IndexLink"/>
                <w:rFonts w:cs="Arial"/>
              </w:rPr>
              <w:t>(Anacleto Filho et al., 2023)</w:t>
            </w:r>
            <w:r>
              <w:rPr>
                <w:webHidden/>
              </w:rPr>
              <w:fldChar w:fldCharType="begin"/>
            </w:r>
            <w:r>
              <w:rPr>
                <w:webHidden/>
              </w:rPr>
              <w:instrText xml:space="preserve">PAGEREF _Toc235565041 \h</w:instrText>
            </w:r>
            <w:r>
              <w:rPr>
                <w:webHidden/>
              </w:rPr>
              <w:fldChar w:fldCharType="separate"/>
            </w:r>
            <w:r>
              <w:rPr>
                <w:rStyle w:val="IndexLink"/>
                <w:vanish w:val="false"/>
              </w:rPr>
              <w:tab/>
              <w:t>177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42">
            <w:r>
              <w:rPr>
                <w:rStyle w:val="IndexLink"/>
                <w:webHidden/>
              </w:rPr>
              <w:t xml:space="preserve">A.5.6 Nigéria — atletas universitários </w:t>
            </w:r>
            <w:r>
              <w:rPr>
                <w:rStyle w:val="IndexLink"/>
                <w:rFonts w:cs="Arial"/>
              </w:rPr>
              <w:t>(Ibiwari et al., 2025)</w:t>
            </w:r>
            <w:r>
              <w:rPr>
                <w:webHidden/>
              </w:rPr>
              <w:fldChar w:fldCharType="begin"/>
            </w:r>
            <w:r>
              <w:rPr>
                <w:webHidden/>
              </w:rPr>
              <w:instrText xml:space="preserve">PAGEREF _Toc235565042 \h</w:instrText>
            </w:r>
            <w:r>
              <w:rPr>
                <w:webHidden/>
              </w:rPr>
              <w:fldChar w:fldCharType="separate"/>
            </w:r>
            <w:r>
              <w:rPr>
                <w:rStyle w:val="IndexLink"/>
                <w:vanish w:val="false"/>
              </w:rPr>
              <w:tab/>
              <w:t>178</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43">
            <w:r>
              <w:rPr>
                <w:rStyle w:val="IndexLink"/>
                <w:webHidden/>
              </w:rPr>
              <w:t xml:space="preserve">A.5.7 Jordânia — trabalhadores com deficiência </w:t>
            </w:r>
            <w:r>
              <w:rPr>
                <w:rStyle w:val="IndexLink"/>
                <w:rFonts w:cs="Arial"/>
              </w:rPr>
              <w:t>(Mistarihi, 2020)</w:t>
            </w:r>
            <w:r>
              <w:rPr>
                <w:webHidden/>
              </w:rPr>
              <w:fldChar w:fldCharType="begin"/>
            </w:r>
            <w:r>
              <w:rPr>
                <w:webHidden/>
              </w:rPr>
              <w:instrText xml:space="preserve">PAGEREF _Toc235565043 \h</w:instrText>
            </w:r>
            <w:r>
              <w:rPr>
                <w:webHidden/>
              </w:rPr>
              <w:fldChar w:fldCharType="separate"/>
            </w:r>
            <w:r>
              <w:rPr>
                <w:rStyle w:val="IndexLink"/>
                <w:vanish w:val="false"/>
              </w:rPr>
              <w:tab/>
              <w:t>178</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44">
            <w:r>
              <w:rPr>
                <w:rStyle w:val="IndexLink"/>
                <w:webHidden/>
              </w:rPr>
              <w:t>A.5.8 EUA — dedo indicador (Lim et al., 2018)</w:t>
            </w:r>
            <w:r>
              <w:rPr>
                <w:webHidden/>
              </w:rPr>
              <w:fldChar w:fldCharType="begin"/>
            </w:r>
            <w:r>
              <w:rPr>
                <w:webHidden/>
              </w:rPr>
              <w:instrText xml:space="preserve">PAGEREF _Toc235565044 \h</w:instrText>
            </w:r>
            <w:r>
              <w:rPr>
                <w:webHidden/>
              </w:rPr>
              <w:fldChar w:fldCharType="separate"/>
            </w:r>
            <w:r>
              <w:rPr>
                <w:rStyle w:val="IndexLink"/>
                <w:vanish w:val="false"/>
              </w:rPr>
              <w:tab/>
              <w:t>179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45">
            <w:r>
              <w:rPr>
                <w:rStyle w:val="IndexLink"/>
                <w:webHidden/>
              </w:rPr>
              <w:t xml:space="preserve">A.5.9 Estudo excluído: </w:t>
            </w:r>
            <w:r>
              <w:rPr>
                <w:rStyle w:val="IndexLink"/>
                <w:rFonts w:cs="Arial"/>
              </w:rPr>
              <w:t>(Moreo, 2016)</w:t>
            </w:r>
            <w:r>
              <w:rPr>
                <w:webHidden/>
              </w:rPr>
              <w:fldChar w:fldCharType="begin"/>
            </w:r>
            <w:r>
              <w:rPr>
                <w:webHidden/>
              </w:rPr>
              <w:instrText xml:space="preserve">PAGEREF _Toc235565045 \h</w:instrText>
            </w:r>
            <w:r>
              <w:rPr>
                <w:webHidden/>
              </w:rPr>
              <w:fldChar w:fldCharType="separate"/>
            </w:r>
            <w:r>
              <w:rPr>
                <w:rStyle w:val="IndexLink"/>
                <w:vanish w:val="false"/>
              </w:rPr>
              <w:tab/>
              <w:t>179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46">
            <w:r>
              <w:rPr>
                <w:rStyle w:val="IndexLink"/>
                <w:webHidden/>
              </w:rPr>
              <w:t>A.5.10 EUA — militares ANSUR II (Gordon et al., 2015)</w:t>
            </w:r>
            <w:r>
              <w:rPr>
                <w:webHidden/>
              </w:rPr>
              <w:fldChar w:fldCharType="begin"/>
            </w:r>
            <w:r>
              <w:rPr>
                <w:webHidden/>
              </w:rPr>
              <w:instrText xml:space="preserve">PAGEREF _Toc235565046 \h</w:instrText>
            </w:r>
            <w:r>
              <w:rPr>
                <w:webHidden/>
              </w:rPr>
              <w:fldChar w:fldCharType="separate"/>
            </w:r>
            <w:r>
              <w:rPr>
                <w:rStyle w:val="IndexLink"/>
                <w:vanish w:val="false"/>
              </w:rPr>
              <w:tab/>
              <w:t>179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47">
            <w:r>
              <w:rPr>
                <w:rStyle w:val="IndexLink"/>
                <w:webHidden/>
              </w:rPr>
              <w:t>A.5.11 Países Baixos — DINED (TU Delft, 1993–2004)</w:t>
            </w:r>
            <w:r>
              <w:rPr>
                <w:webHidden/>
              </w:rPr>
              <w:fldChar w:fldCharType="begin"/>
            </w:r>
            <w:r>
              <w:rPr>
                <w:webHidden/>
              </w:rPr>
              <w:instrText xml:space="preserve">PAGEREF _Toc235565047 \h</w:instrText>
            </w:r>
            <w:r>
              <w:rPr>
                <w:webHidden/>
              </w:rPr>
              <w:fldChar w:fldCharType="separate"/>
            </w:r>
            <w:r>
              <w:rPr>
                <w:rStyle w:val="IndexLink"/>
                <w:vanish w:val="false"/>
              </w:rPr>
              <w:tab/>
              <w:t>180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48">
            <w:r>
              <w:rPr>
                <w:rStyle w:val="IndexLink"/>
                <w:webHidden/>
              </w:rPr>
              <w:t>A.5.12 China — idosos de Pequim (Hu et al., 2007)</w:t>
            </w:r>
            <w:r>
              <w:rPr>
                <w:webHidden/>
              </w:rPr>
              <w:fldChar w:fldCharType="begin"/>
            </w:r>
            <w:r>
              <w:rPr>
                <w:webHidden/>
              </w:rPr>
              <w:instrText xml:space="preserve">PAGEREF _Toc235565048 \h</w:instrText>
            </w:r>
            <w:r>
              <w:rPr>
                <w:webHidden/>
              </w:rPr>
              <w:fldChar w:fldCharType="separate"/>
            </w:r>
            <w:r>
              <w:rPr>
                <w:rStyle w:val="IndexLink"/>
                <w:vanish w:val="false"/>
              </w:rPr>
              <w:tab/>
              <w:t>181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49">
            <w:r>
              <w:rPr>
                <w:rStyle w:val="IndexLink"/>
                <w:webHidden/>
              </w:rPr>
              <w:t>A.5.13 Estudo excluído: reconstrução corporal 3D a partir de fotografias ortogonais</w:t>
            </w:r>
            <w:r>
              <w:rPr>
                <w:webHidden/>
              </w:rPr>
              <w:fldChar w:fldCharType="begin"/>
            </w:r>
            <w:r>
              <w:rPr>
                <w:webHidden/>
              </w:rPr>
              <w:instrText xml:space="preserve">PAGEREF _Toc235565049 \h</w:instrText>
            </w:r>
            <w:r>
              <w:rPr>
                <w:webHidden/>
              </w:rPr>
              <w:fldChar w:fldCharType="separate"/>
            </w:r>
            <w:r>
              <w:rPr>
                <w:rStyle w:val="IndexLink"/>
                <w:vanish w:val="false"/>
              </w:rPr>
              <w:tab/>
              <w:t>181</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50">
            <w:r>
              <w:rPr>
                <w:rStyle w:val="IndexLink"/>
                <w:webHidden/>
              </w:rPr>
              <w:t>A.6 Estrutura do CSV e esquema de dados</w:t>
            </w:r>
            <w:r>
              <w:rPr>
                <w:webHidden/>
              </w:rPr>
              <w:fldChar w:fldCharType="begin"/>
            </w:r>
            <w:r>
              <w:rPr>
                <w:webHidden/>
              </w:rPr>
              <w:instrText xml:space="preserve">PAGEREF _Toc235565050 \h</w:instrText>
            </w:r>
            <w:r>
              <w:rPr>
                <w:webHidden/>
              </w:rPr>
              <w:fldChar w:fldCharType="separate"/>
            </w:r>
            <w:r>
              <w:rPr>
                <w:rStyle w:val="IndexLink"/>
                <w:vanish w:val="false"/>
              </w:rPr>
              <w:tab/>
              <w:t>182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51">
            <w:r>
              <w:rPr>
                <w:rStyle w:val="IndexLink"/>
                <w:webHidden/>
              </w:rPr>
              <w:t>A.6.1 Campos</w:t>
            </w:r>
            <w:r>
              <w:rPr>
                <w:webHidden/>
              </w:rPr>
              <w:fldChar w:fldCharType="begin"/>
            </w:r>
            <w:r>
              <w:rPr>
                <w:webHidden/>
              </w:rPr>
              <w:instrText xml:space="preserve">PAGEREF _Toc235565051 \h</w:instrText>
            </w:r>
            <w:r>
              <w:rPr>
                <w:webHidden/>
              </w:rPr>
              <w:fldChar w:fldCharType="separate"/>
            </w:r>
            <w:r>
              <w:rPr>
                <w:rStyle w:val="IndexLink"/>
                <w:vanish w:val="false"/>
              </w:rPr>
              <w:tab/>
              <w:t>182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52">
            <w:r>
              <w:rPr>
                <w:rStyle w:val="IndexLink"/>
                <w:webHidden/>
              </w:rPr>
              <w:t>A.6.2 Formato longo (long format)</w:t>
            </w:r>
            <w:r>
              <w:rPr>
                <w:webHidden/>
              </w:rPr>
              <w:fldChar w:fldCharType="begin"/>
            </w:r>
            <w:r>
              <w:rPr>
                <w:webHidden/>
              </w:rPr>
              <w:instrText xml:space="preserve">PAGEREF _Toc235565052 \h</w:instrText>
            </w:r>
            <w:r>
              <w:rPr>
                <w:webHidden/>
              </w:rPr>
              <w:fldChar w:fldCharType="separate"/>
            </w:r>
            <w:r>
              <w:rPr>
                <w:rStyle w:val="IndexLink"/>
                <w:vanish w:val="false"/>
              </w:rPr>
              <w:tab/>
              <w:t>183</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53">
            <w:r>
              <w:rPr>
                <w:rStyle w:val="IndexLink"/>
                <w:webHidden/>
              </w:rPr>
              <w:t>A.7 Controlo de Qualidade dos Dados</w:t>
            </w:r>
            <w:r>
              <w:rPr>
                <w:webHidden/>
              </w:rPr>
              <w:fldChar w:fldCharType="begin"/>
            </w:r>
            <w:r>
              <w:rPr>
                <w:webHidden/>
              </w:rPr>
              <w:instrText xml:space="preserve">PAGEREF _Toc235565053 \h</w:instrText>
            </w:r>
            <w:r>
              <w:rPr>
                <w:webHidden/>
              </w:rPr>
              <w:fldChar w:fldCharType="separate"/>
            </w:r>
            <w:r>
              <w:rPr>
                <w:rStyle w:val="IndexLink"/>
                <w:vanish w:val="false"/>
              </w:rPr>
              <w:tab/>
              <w:t>183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54">
            <w:r>
              <w:rPr>
                <w:rStyle w:val="IndexLink"/>
                <w:webHidden/>
              </w:rPr>
              <w:t>A.7.1 Marcação inline de limitações</w:t>
            </w:r>
            <w:r>
              <w:rPr>
                <w:webHidden/>
              </w:rPr>
              <w:fldChar w:fldCharType="begin"/>
            </w:r>
            <w:r>
              <w:rPr>
                <w:webHidden/>
              </w:rPr>
              <w:instrText xml:space="preserve">PAGEREF _Toc235565054 \h</w:instrText>
            </w:r>
            <w:r>
              <w:rPr>
                <w:webHidden/>
              </w:rPr>
              <w:fldChar w:fldCharType="separate"/>
            </w:r>
            <w:r>
              <w:rPr>
                <w:rStyle w:val="IndexLink"/>
                <w:vanish w:val="false"/>
              </w:rPr>
              <w:tab/>
              <w:t>183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55">
            <w:r>
              <w:rPr>
                <w:rStyle w:val="IndexLink"/>
                <w:webHidden/>
              </w:rPr>
              <w:t>A.7.2 Verificação de unidades</w:t>
            </w:r>
            <w:r>
              <w:rPr>
                <w:webHidden/>
              </w:rPr>
              <w:fldChar w:fldCharType="begin"/>
            </w:r>
            <w:r>
              <w:rPr>
                <w:webHidden/>
              </w:rPr>
              <w:instrText xml:space="preserve">PAGEREF _Toc235565055 \h</w:instrText>
            </w:r>
            <w:r>
              <w:rPr>
                <w:webHidden/>
              </w:rPr>
              <w:fldChar w:fldCharType="separate"/>
            </w:r>
            <w:r>
              <w:rPr>
                <w:rStyle w:val="IndexLink"/>
                <w:vanish w:val="false"/>
              </w:rPr>
              <w:tab/>
              <w:t>184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56">
            <w:r>
              <w:rPr>
                <w:rStyle w:val="IndexLink"/>
                <w:webHidden/>
              </w:rPr>
              <w:t>A.7.3 Ligação à fonte</w:t>
            </w:r>
            <w:r>
              <w:rPr>
                <w:webHidden/>
              </w:rPr>
              <w:fldChar w:fldCharType="begin"/>
            </w:r>
            <w:r>
              <w:rPr>
                <w:webHidden/>
              </w:rPr>
              <w:instrText xml:space="preserve">PAGEREF _Toc235565056 \h</w:instrText>
            </w:r>
            <w:r>
              <w:rPr>
                <w:webHidden/>
              </w:rPr>
              <w:fldChar w:fldCharType="separate"/>
            </w:r>
            <w:r>
              <w:rPr>
                <w:rStyle w:val="IndexLink"/>
                <w:vanish w:val="false"/>
              </w:rPr>
              <w:tab/>
              <w:t>184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57">
            <w:r>
              <w:rPr>
                <w:rStyle w:val="IndexLink"/>
                <w:webHidden/>
              </w:rPr>
              <w:t>A.8 Escrita do Código de Geração</w:t>
            </w:r>
            <w:r>
              <w:rPr>
                <w:webHidden/>
              </w:rPr>
              <w:fldChar w:fldCharType="begin"/>
            </w:r>
            <w:r>
              <w:rPr>
                <w:webHidden/>
              </w:rPr>
              <w:instrText xml:space="preserve">PAGEREF _Toc235565057 \h</w:instrText>
            </w:r>
            <w:r>
              <w:rPr>
                <w:webHidden/>
              </w:rPr>
              <w:fldChar w:fldCharType="separate"/>
            </w:r>
            <w:r>
              <w:rPr>
                <w:rStyle w:val="IndexLink"/>
                <w:vanish w:val="false"/>
              </w:rPr>
              <w:tab/>
              <w:t>184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58">
            <w:r>
              <w:rPr>
                <w:rStyle w:val="IndexLink"/>
                <w:webHidden/>
              </w:rPr>
              <w:t>A.8.1 Correspondência entre os CSV e os parâmetros da plataforma</w:t>
            </w:r>
            <w:r>
              <w:rPr>
                <w:webHidden/>
              </w:rPr>
              <w:fldChar w:fldCharType="begin"/>
            </w:r>
            <w:r>
              <w:rPr>
                <w:webHidden/>
              </w:rPr>
              <w:instrText xml:space="preserve">PAGEREF _Toc235565058 \h</w:instrText>
            </w:r>
            <w:r>
              <w:rPr>
                <w:webHidden/>
              </w:rPr>
              <w:fldChar w:fldCharType="separate"/>
            </w:r>
            <w:r>
              <w:rPr>
                <w:rStyle w:val="IndexLink"/>
                <w:vanish w:val="false"/>
              </w:rPr>
              <w:tab/>
              <w:t>185</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59">
            <w:r>
              <w:rPr>
                <w:rStyle w:val="IndexLink"/>
                <w:webHidden/>
              </w:rPr>
              <w:t>A.9 Resultado Final</w:t>
            </w:r>
            <w:r>
              <w:rPr>
                <w:webHidden/>
              </w:rPr>
              <w:fldChar w:fldCharType="begin"/>
            </w:r>
            <w:r>
              <w:rPr>
                <w:webHidden/>
              </w:rPr>
              <w:instrText xml:space="preserve">PAGEREF _Toc235565059 \h</w:instrText>
            </w:r>
            <w:r>
              <w:rPr>
                <w:webHidden/>
              </w:rPr>
              <w:fldChar w:fldCharType="separate"/>
            </w:r>
            <w:r>
              <w:rPr>
                <w:rStyle w:val="IndexLink"/>
                <w:vanish w:val="false"/>
              </w:rPr>
              <w:tab/>
              <w:t>186</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60">
            <w:r>
              <w:rPr>
                <w:rStyle w:val="IndexLink"/>
                <w:webHidden/>
              </w:rPr>
              <w:t>A.10 Cobertura Global da Base de Dados e Lacunas</w:t>
            </w:r>
            <w:r>
              <w:rPr>
                <w:webHidden/>
              </w:rPr>
              <w:fldChar w:fldCharType="begin"/>
            </w:r>
            <w:r>
              <w:rPr>
                <w:webHidden/>
              </w:rPr>
              <w:instrText xml:space="preserve">PAGEREF _Toc235565060 \h</w:instrText>
            </w:r>
            <w:r>
              <w:rPr>
                <w:webHidden/>
              </w:rPr>
              <w:fldChar w:fldCharType="separate"/>
            </w:r>
            <w:r>
              <w:rPr>
                <w:rStyle w:val="IndexLink"/>
                <w:vanish w:val="false"/>
              </w:rPr>
              <w:tab/>
              <w:t>187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61">
            <w:r>
              <w:rPr>
                <w:rStyle w:val="IndexLink"/>
                <w:webHidden/>
              </w:rPr>
              <w:t>A.10.1 O que está coberto</w:t>
            </w:r>
            <w:r>
              <w:rPr>
                <w:webHidden/>
              </w:rPr>
              <w:fldChar w:fldCharType="begin"/>
            </w:r>
            <w:r>
              <w:rPr>
                <w:webHidden/>
              </w:rPr>
              <w:instrText xml:space="preserve">PAGEREF _Toc235565061 \h</w:instrText>
            </w:r>
            <w:r>
              <w:rPr>
                <w:webHidden/>
              </w:rPr>
              <w:fldChar w:fldCharType="separate"/>
            </w:r>
            <w:r>
              <w:rPr>
                <w:rStyle w:val="IndexLink"/>
                <w:vanish w:val="false"/>
              </w:rPr>
              <w:tab/>
              <w:t>187</w:t>
            </w:r>
            <w:r>
              <w:rPr>
                <w:webHidden/>
              </w:rPr>
              <w:fldChar w:fldCharType="end"/>
            </w:r>
          </w:hyperlink>
        </w:p>
        <w:p>
          <w:pPr>
            <w:pStyle w:val="TOC2"/>
            <w:tabs>
              <w:tab w:val="left" w:pos="960" w:leader="none"/>
              <w:tab w:val="right" w:pos="8494" w:leader="none"/>
            </w:tabs>
            <w:rPr>
              <w:rFonts w:eastAsia="" w:eastAsiaTheme="minorEastAsia"/>
              <w:caps w:val="false"/>
              <w:smallCaps w:val="false"/>
              <w:sz w:val="24"/>
              <w:szCs w:val="24"/>
              <w:lang w:eastAsia="pt-PT"/>
            </w:rPr>
          </w:pPr>
          <w:hyperlink w:anchor="_Toc235565062">
            <w:r>
              <w:rPr>
                <w:rStyle w:val="IndexLink"/>
                <w:webHidden/>
              </w:rPr>
              <w:t>1.1</w:t>
            </w:r>
            <w:r>
              <w:rPr>
                <w:rStyle w:val="IndexLink"/>
                <w:rFonts w:eastAsia="" w:eastAsiaTheme="minorEastAsia"/>
                <w:caps w:val="false"/>
                <w:smallCaps w:val="false"/>
                <w:sz w:val="24"/>
                <w:szCs w:val="24"/>
                <w:lang w:eastAsia="pt-PT"/>
              </w:rPr>
              <w:tab/>
            </w:r>
            <w:r>
              <w:rPr>
                <w:rStyle w:val="IndexLink"/>
              </w:rPr>
              <w:t>A.10.2 Onde a cobertura falha</w:t>
            </w:r>
            <w:r>
              <w:rPr>
                <w:webHidden/>
              </w:rPr>
              <w:fldChar w:fldCharType="begin"/>
            </w:r>
            <w:r>
              <w:rPr>
                <w:webHidden/>
              </w:rPr>
              <w:instrText xml:space="preserve">PAGEREF _Toc235565062 \h</w:instrText>
            </w:r>
            <w:r>
              <w:rPr>
                <w:webHidden/>
              </w:rPr>
              <w:fldChar w:fldCharType="separate"/>
            </w:r>
            <w:r>
              <w:rPr>
                <w:rStyle w:val="IndexLink"/>
                <w:vanish w:val="false"/>
              </w:rPr>
              <w:tab/>
              <w:t>189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63">
            <w:r>
              <w:rPr>
                <w:rStyle w:val="IndexLink"/>
                <w:webHidden/>
              </w:rPr>
              <w:t>A.10.2.1. Lacunas geográficas</w:t>
            </w:r>
            <w:r>
              <w:rPr>
                <w:webHidden/>
              </w:rPr>
              <w:fldChar w:fldCharType="begin"/>
            </w:r>
            <w:r>
              <w:rPr>
                <w:webHidden/>
              </w:rPr>
              <w:instrText xml:space="preserve">PAGEREF _Toc235565063 \h</w:instrText>
            </w:r>
            <w:r>
              <w:rPr>
                <w:webHidden/>
              </w:rPr>
              <w:fldChar w:fldCharType="separate"/>
            </w:r>
            <w:r>
              <w:rPr>
                <w:rStyle w:val="IndexLink"/>
                <w:vanish w:val="false"/>
              </w:rPr>
              <w:tab/>
              <w:t>189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64">
            <w:r>
              <w:rPr>
                <w:rStyle w:val="IndexLink"/>
                <w:webHidden/>
              </w:rPr>
              <w:t>A.10.2.2. Lacunas demográficas</w:t>
            </w:r>
            <w:r>
              <w:rPr>
                <w:webHidden/>
              </w:rPr>
              <w:fldChar w:fldCharType="begin"/>
            </w:r>
            <w:r>
              <w:rPr>
                <w:webHidden/>
              </w:rPr>
              <w:instrText xml:space="preserve">PAGEREF _Toc235565064 \h</w:instrText>
            </w:r>
            <w:r>
              <w:rPr>
                <w:webHidden/>
              </w:rPr>
              <w:fldChar w:fldCharType="separate"/>
            </w:r>
            <w:r>
              <w:rPr>
                <w:rStyle w:val="IndexLink"/>
                <w:vanish w:val="false"/>
              </w:rPr>
              <w:tab/>
              <w:t>190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65">
            <w:r>
              <w:rPr>
                <w:rStyle w:val="IndexLink"/>
                <w:webHidden/>
              </w:rPr>
              <w:t>A.10.2.3. Limitações qualitativas dos dados existentes</w:t>
            </w:r>
            <w:r>
              <w:rPr>
                <w:webHidden/>
              </w:rPr>
              <w:fldChar w:fldCharType="begin"/>
            </w:r>
            <w:r>
              <w:rPr>
                <w:webHidden/>
              </w:rPr>
              <w:instrText xml:space="preserve">PAGEREF _Toc235565065 \h</w:instrText>
            </w:r>
            <w:r>
              <w:rPr>
                <w:webHidden/>
              </w:rPr>
              <w:fldChar w:fldCharType="separate"/>
            </w:r>
            <w:r>
              <w:rPr>
                <w:rStyle w:val="IndexLink"/>
                <w:vanish w:val="false"/>
              </w:rPr>
              <w:tab/>
              <w:t>190</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66">
            <w:r>
              <w:rPr>
                <w:rStyle w:val="IndexLink"/>
                <w:webHidden/>
              </w:rPr>
              <w:t>A.10.3 PRIORIDADES identificadas para expansão futura</w:t>
            </w:r>
            <w:r>
              <w:rPr>
                <w:webHidden/>
              </w:rPr>
              <w:fldChar w:fldCharType="begin"/>
            </w:r>
            <w:r>
              <w:rPr>
                <w:webHidden/>
              </w:rPr>
              <w:instrText xml:space="preserve">PAGEREF _Toc235565066 \h</w:instrText>
            </w:r>
            <w:r>
              <w:rPr>
                <w:webHidden/>
              </w:rPr>
              <w:fldChar w:fldCharType="separate"/>
            </w:r>
            <w:r>
              <w:rPr>
                <w:rStyle w:val="IndexLink"/>
                <w:vanish w:val="false"/>
              </w:rPr>
              <w:tab/>
              <w:t>191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67">
            <w:r>
              <w:rPr>
                <w:rStyle w:val="IndexLink"/>
                <w:webHidden/>
              </w:rPr>
              <w:t>A.10.3.1. Prioridade alta</w:t>
            </w:r>
            <w:r>
              <w:rPr>
                <w:webHidden/>
              </w:rPr>
              <w:fldChar w:fldCharType="begin"/>
            </w:r>
            <w:r>
              <w:rPr>
                <w:webHidden/>
              </w:rPr>
              <w:instrText xml:space="preserve">PAGEREF _Toc235565067 \h</w:instrText>
            </w:r>
            <w:r>
              <w:rPr>
                <w:webHidden/>
              </w:rPr>
              <w:fldChar w:fldCharType="separate"/>
            </w:r>
            <w:r>
              <w:rPr>
                <w:rStyle w:val="IndexLink"/>
                <w:vanish w:val="false"/>
              </w:rPr>
              <w:tab/>
              <w:t>191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68">
            <w:r>
              <w:rPr>
                <w:rStyle w:val="IndexLink"/>
                <w:webHidden/>
              </w:rPr>
              <w:t>A.10.3.2. Prioridade média</w:t>
            </w:r>
            <w:r>
              <w:rPr>
                <w:webHidden/>
              </w:rPr>
              <w:fldChar w:fldCharType="begin"/>
            </w:r>
            <w:r>
              <w:rPr>
                <w:webHidden/>
              </w:rPr>
              <w:instrText xml:space="preserve">PAGEREF _Toc235565068 \h</w:instrText>
            </w:r>
            <w:r>
              <w:rPr>
                <w:webHidden/>
              </w:rPr>
              <w:fldChar w:fldCharType="separate"/>
            </w:r>
            <w:r>
              <w:rPr>
                <w:rStyle w:val="IndexLink"/>
                <w:vanish w:val="false"/>
              </w:rPr>
              <w:tab/>
              <w:t>192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69">
            <w:r>
              <w:rPr>
                <w:rStyle w:val="IndexLink"/>
                <w:webHidden/>
              </w:rPr>
              <w:t>A.10.3.3. Pertinência direta para o tema da tese</w:t>
            </w:r>
            <w:r>
              <w:rPr>
                <w:webHidden/>
              </w:rPr>
              <w:fldChar w:fldCharType="begin"/>
            </w:r>
            <w:r>
              <w:rPr>
                <w:webHidden/>
              </w:rPr>
              <w:instrText xml:space="preserve">PAGEREF _Toc235565069 \h</w:instrText>
            </w:r>
            <w:r>
              <w:rPr>
                <w:webHidden/>
              </w:rPr>
              <w:fldChar w:fldCharType="separate"/>
            </w:r>
            <w:r>
              <w:rPr>
                <w:rStyle w:val="IndexLink"/>
                <w:vanish w:val="false"/>
              </w:rPr>
              <w:tab/>
              <w:t>192</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5070">
            <w:r>
              <w:rPr>
                <w:rStyle w:val="IndexLink"/>
                <w:webHidden/>
              </w:rPr>
              <w:t>Anexo B — Avaliação do processo paramétrico e da interface da plataforma HandFab</w:t>
            </w:r>
            <w:r>
              <w:rPr>
                <w:webHidden/>
              </w:rPr>
              <w:fldChar w:fldCharType="begin"/>
            </w:r>
            <w:r>
              <w:rPr>
                <w:webHidden/>
              </w:rPr>
              <w:instrText xml:space="preserve">PAGEREF _Toc235565070 \h</w:instrText>
            </w:r>
            <w:r>
              <w:rPr>
                <w:webHidden/>
              </w:rPr>
              <w:fldChar w:fldCharType="separate"/>
            </w:r>
            <w:r>
              <w:rPr>
                <w:rStyle w:val="IndexLink"/>
                <w:vanish w:val="false"/>
              </w:rPr>
              <w:tab/>
              <w:t>193</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5071">
            <w:r>
              <w:rPr>
                <w:rStyle w:val="IndexLink"/>
                <w:webHidden/>
              </w:rPr>
              <w:t>Índice do Anexo B</w:t>
            </w:r>
            <w:r>
              <w:rPr>
                <w:webHidden/>
              </w:rPr>
              <w:fldChar w:fldCharType="begin"/>
            </w:r>
            <w:r>
              <w:rPr>
                <w:webHidden/>
              </w:rPr>
              <w:instrText xml:space="preserve">PAGEREF _Toc235565071 \h</w:instrText>
            </w:r>
            <w:r>
              <w:rPr>
                <w:webHidden/>
              </w:rPr>
              <w:fldChar w:fldCharType="separate"/>
            </w:r>
            <w:r>
              <w:rPr>
                <w:rStyle w:val="IndexLink"/>
                <w:vanish w:val="false"/>
              </w:rPr>
              <w:tab/>
              <w:t>193</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72">
            <w:r>
              <w:rPr>
                <w:rStyle w:val="IndexLink"/>
                <w:webHidden/>
              </w:rPr>
              <w:t>B.1 Finalidade</w:t>
            </w:r>
            <w:r>
              <w:rPr>
                <w:webHidden/>
              </w:rPr>
              <w:fldChar w:fldCharType="begin"/>
            </w:r>
            <w:r>
              <w:rPr>
                <w:webHidden/>
              </w:rPr>
              <w:instrText xml:space="preserve">PAGEREF _Toc235565072 \h</w:instrText>
            </w:r>
            <w:r>
              <w:rPr>
                <w:webHidden/>
              </w:rPr>
              <w:fldChar w:fldCharType="separate"/>
            </w:r>
            <w:r>
              <w:rPr>
                <w:rStyle w:val="IndexLink"/>
                <w:vanish w:val="false"/>
              </w:rPr>
              <w:tab/>
              <w:t>193</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73">
            <w:r>
              <w:rPr>
                <w:rStyle w:val="IndexLink"/>
                <w:webHidden/>
              </w:rPr>
              <w:t>B.2 Âmbito e limites</w:t>
            </w:r>
            <w:r>
              <w:rPr>
                <w:webHidden/>
              </w:rPr>
              <w:fldChar w:fldCharType="begin"/>
            </w:r>
            <w:r>
              <w:rPr>
                <w:webHidden/>
              </w:rPr>
              <w:instrText xml:space="preserve">PAGEREF _Toc235565073 \h</w:instrText>
            </w:r>
            <w:r>
              <w:rPr>
                <w:webHidden/>
              </w:rPr>
              <w:fldChar w:fldCharType="separate"/>
            </w:r>
            <w:r>
              <w:rPr>
                <w:rStyle w:val="IndexLink"/>
                <w:vanish w:val="false"/>
              </w:rPr>
              <w:tab/>
              <w:t>194</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74">
            <w:r>
              <w:rPr>
                <w:rStyle w:val="IndexLink"/>
                <w:webHidden/>
              </w:rPr>
              <w:t>B.3 Procedimento</w:t>
            </w:r>
            <w:r>
              <w:rPr>
                <w:webHidden/>
              </w:rPr>
              <w:fldChar w:fldCharType="begin"/>
            </w:r>
            <w:r>
              <w:rPr>
                <w:webHidden/>
              </w:rPr>
              <w:instrText xml:space="preserve">PAGEREF _Toc235565074 \h</w:instrText>
            </w:r>
            <w:r>
              <w:rPr>
                <w:webHidden/>
              </w:rPr>
              <w:fldChar w:fldCharType="separate"/>
            </w:r>
            <w:r>
              <w:rPr>
                <w:rStyle w:val="IndexLink"/>
                <w:vanish w:val="false"/>
              </w:rPr>
              <w:tab/>
              <w:t>194</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75">
            <w:r>
              <w:rPr>
                <w:rStyle w:val="IndexLink"/>
                <w:webHidden/>
              </w:rPr>
              <w:t>B.4 Resultados de consistência da geração</w:t>
            </w:r>
            <w:r>
              <w:rPr>
                <w:webHidden/>
              </w:rPr>
              <w:fldChar w:fldCharType="begin"/>
            </w:r>
            <w:r>
              <w:rPr>
                <w:webHidden/>
              </w:rPr>
              <w:instrText xml:space="preserve">PAGEREF _Toc235565075 \h</w:instrText>
            </w:r>
            <w:r>
              <w:rPr>
                <w:webHidden/>
              </w:rPr>
              <w:fldChar w:fldCharType="separate"/>
            </w:r>
            <w:r>
              <w:rPr>
                <w:rStyle w:val="IndexLink"/>
                <w:vanish w:val="false"/>
              </w:rPr>
              <w:tab/>
              <w:t>195</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76">
            <w:r>
              <w:rPr>
                <w:rStyle w:val="IndexLink"/>
                <w:webHidden/>
              </w:rPr>
              <w:t>B.4.1 Repetição da mesma configuração</w:t>
            </w:r>
            <w:r>
              <w:rPr>
                <w:webHidden/>
              </w:rPr>
              <w:fldChar w:fldCharType="begin"/>
            </w:r>
            <w:r>
              <w:rPr>
                <w:webHidden/>
              </w:rPr>
              <w:instrText xml:space="preserve">PAGEREF _Toc235565076 \h</w:instrText>
            </w:r>
            <w:r>
              <w:rPr>
                <w:webHidden/>
              </w:rPr>
              <w:fldChar w:fldCharType="separate"/>
            </w:r>
            <w:r>
              <w:rPr>
                <w:rStyle w:val="IndexLink"/>
                <w:vanish w:val="false"/>
              </w:rPr>
              <w:tab/>
              <w:t>195</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77">
            <w:r>
              <w:rPr>
                <w:rStyle w:val="IndexLink"/>
                <w:webHidden/>
              </w:rPr>
              <w:t>B.4.2 Comparação entre navegadores</w:t>
            </w:r>
            <w:r>
              <w:rPr>
                <w:webHidden/>
              </w:rPr>
              <w:fldChar w:fldCharType="begin"/>
            </w:r>
            <w:r>
              <w:rPr>
                <w:webHidden/>
              </w:rPr>
              <w:instrText xml:space="preserve">PAGEREF _Toc235565077 \h</w:instrText>
            </w:r>
            <w:r>
              <w:rPr>
                <w:webHidden/>
              </w:rPr>
              <w:fldChar w:fldCharType="separate"/>
            </w:r>
            <w:r>
              <w:rPr>
                <w:rStyle w:val="IndexLink"/>
                <w:vanish w:val="false"/>
              </w:rPr>
              <w:tab/>
              <w:t>196</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78">
            <w:r>
              <w:rPr>
                <w:rStyle w:val="IndexLink"/>
                <w:webHidden/>
              </w:rPr>
              <w:t>B.5 Resultados de recuperação e controlo</w:t>
            </w:r>
            <w:r>
              <w:rPr>
                <w:webHidden/>
              </w:rPr>
              <w:fldChar w:fldCharType="begin"/>
            </w:r>
            <w:r>
              <w:rPr>
                <w:webHidden/>
              </w:rPr>
              <w:instrText xml:space="preserve">PAGEREF _Toc235565078 \h</w:instrText>
            </w:r>
            <w:r>
              <w:rPr>
                <w:webHidden/>
              </w:rPr>
              <w:fldChar w:fldCharType="separate"/>
            </w:r>
            <w:r>
              <w:rPr>
                <w:rStyle w:val="IndexLink"/>
                <w:vanish w:val="false"/>
              </w:rPr>
              <w:tab/>
              <w:t>197</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79">
            <w:r>
              <w:rPr>
                <w:rStyle w:val="IndexLink"/>
                <w:webHidden/>
              </w:rPr>
              <w:t>B.6 Resultados da verificação de acessibilidade digital</w:t>
            </w:r>
            <w:r>
              <w:rPr>
                <w:webHidden/>
              </w:rPr>
              <w:fldChar w:fldCharType="begin"/>
            </w:r>
            <w:r>
              <w:rPr>
                <w:webHidden/>
              </w:rPr>
              <w:instrText xml:space="preserve">PAGEREF _Toc235565079 \h</w:instrText>
            </w:r>
            <w:r>
              <w:rPr>
                <w:webHidden/>
              </w:rPr>
              <w:fldChar w:fldCharType="separate"/>
            </w:r>
            <w:r>
              <w:rPr>
                <w:rStyle w:val="IndexLink"/>
                <w:vanish w:val="false"/>
              </w:rPr>
              <w:tab/>
              <w:t>198</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80">
            <w:r>
              <w:rPr>
                <w:rStyle w:val="IndexLink"/>
                <w:webHidden/>
              </w:rPr>
              <w:t>B.6.1 Percurso local autenticado</w:t>
            </w:r>
            <w:r>
              <w:rPr>
                <w:webHidden/>
              </w:rPr>
              <w:fldChar w:fldCharType="begin"/>
            </w:r>
            <w:r>
              <w:rPr>
                <w:webHidden/>
              </w:rPr>
              <w:instrText xml:space="preserve">PAGEREF _Toc235565080 \h</w:instrText>
            </w:r>
            <w:r>
              <w:rPr>
                <w:webHidden/>
              </w:rPr>
              <w:fldChar w:fldCharType="separate"/>
            </w:r>
            <w:r>
              <w:rPr>
                <w:rStyle w:val="IndexLink"/>
                <w:vanish w:val="false"/>
              </w:rPr>
              <w:tab/>
              <w:t>198</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81">
            <w:r>
              <w:rPr>
                <w:rStyle w:val="IndexLink"/>
                <w:webHidden/>
              </w:rPr>
              <w:t>B.6.2 Superfície pública</w:t>
            </w:r>
            <w:r>
              <w:rPr>
                <w:webHidden/>
              </w:rPr>
              <w:fldChar w:fldCharType="begin"/>
            </w:r>
            <w:r>
              <w:rPr>
                <w:webHidden/>
              </w:rPr>
              <w:instrText xml:space="preserve">PAGEREF _Toc235565081 \h</w:instrText>
            </w:r>
            <w:r>
              <w:rPr>
                <w:webHidden/>
              </w:rPr>
              <w:fldChar w:fldCharType="separate"/>
            </w:r>
            <w:r>
              <w:rPr>
                <w:rStyle w:val="IndexLink"/>
                <w:vanish w:val="false"/>
              </w:rPr>
              <w:tab/>
              <w:t>199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82">
            <w:r>
              <w:rPr>
                <w:rStyle w:val="IndexLink"/>
                <w:webHidden/>
              </w:rPr>
              <w:t>B.6.3 Verificação manual complementar</w:t>
            </w:r>
            <w:r>
              <w:rPr>
                <w:webHidden/>
              </w:rPr>
              <w:fldChar w:fldCharType="begin"/>
            </w:r>
            <w:r>
              <w:rPr>
                <w:webHidden/>
              </w:rPr>
              <w:instrText xml:space="preserve">PAGEREF _Toc235565082 \h</w:instrText>
            </w:r>
            <w:r>
              <w:rPr>
                <w:webHidden/>
              </w:rPr>
              <w:fldChar w:fldCharType="separate"/>
            </w:r>
            <w:r>
              <w:rPr>
                <w:rStyle w:val="IndexLink"/>
                <w:vanish w:val="false"/>
              </w:rPr>
              <w:tab/>
              <w:t>200</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83">
            <w:r>
              <w:rPr>
                <w:rStyle w:val="IndexLink"/>
                <w:webHidden/>
              </w:rPr>
              <w:t xml:space="preserve">B.7 Aprendizagens para o </w:t>
            </w:r>
            <w:r>
              <w:rPr>
                <w:rStyle w:val="IndexLink"/>
                <w:i/>
                <w:iCs/>
              </w:rPr>
              <w:t>Design</w:t>
            </w:r>
            <w:r>
              <w:rPr>
                <w:rStyle w:val="IndexLink"/>
              </w:rPr>
              <w:t xml:space="preserve"> Industrial</w:t>
            </w:r>
            <w:r>
              <w:rPr>
                <w:webHidden/>
              </w:rPr>
              <w:fldChar w:fldCharType="begin"/>
            </w:r>
            <w:r>
              <w:rPr>
                <w:webHidden/>
              </w:rPr>
              <w:instrText xml:space="preserve">PAGEREF _Toc235565083 \h</w:instrText>
            </w:r>
            <w:r>
              <w:rPr>
                <w:webHidden/>
              </w:rPr>
              <w:fldChar w:fldCharType="separate"/>
            </w:r>
            <w:r>
              <w:rPr>
                <w:rStyle w:val="IndexLink"/>
                <w:vanish w:val="false"/>
              </w:rPr>
              <w:tab/>
              <w:t>201</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84">
            <w:r>
              <w:rPr>
                <w:rStyle w:val="IndexLink"/>
                <w:webHidden/>
              </w:rPr>
              <w:t>B.8 Conclusão</w:t>
            </w:r>
            <w:r>
              <w:rPr>
                <w:webHidden/>
              </w:rPr>
              <w:fldChar w:fldCharType="begin"/>
            </w:r>
            <w:r>
              <w:rPr>
                <w:webHidden/>
              </w:rPr>
              <w:instrText xml:space="preserve">PAGEREF _Toc235565084 \h</w:instrText>
            </w:r>
            <w:r>
              <w:rPr>
                <w:webHidden/>
              </w:rPr>
              <w:fldChar w:fldCharType="separate"/>
            </w:r>
            <w:r>
              <w:rPr>
                <w:rStyle w:val="IndexLink"/>
                <w:vanish w:val="false"/>
              </w:rPr>
              <w:tab/>
              <w:t>202</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85">
            <w:r>
              <w:rPr>
                <w:rStyle w:val="IndexLink"/>
                <w:webHidden/>
                <w:lang w:val="en-US"/>
              </w:rPr>
              <w:t>B.9 Referências normativas</w:t>
            </w:r>
            <w:r>
              <w:rPr>
                <w:webHidden/>
              </w:rPr>
              <w:fldChar w:fldCharType="begin"/>
            </w:r>
            <w:r>
              <w:rPr>
                <w:webHidden/>
              </w:rPr>
              <w:instrText xml:space="preserve">PAGEREF _Toc235565085 \h</w:instrText>
            </w:r>
            <w:r>
              <w:rPr>
                <w:webHidden/>
              </w:rPr>
              <w:fldChar w:fldCharType="separate"/>
            </w:r>
            <w:r>
              <w:rPr>
                <w:rStyle w:val="IndexLink"/>
                <w:vanish w:val="false"/>
              </w:rPr>
              <w:tab/>
              <w:t>202</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5086">
            <w:r>
              <w:rPr>
                <w:rStyle w:val="IndexLink"/>
                <w:webHidden/>
              </w:rPr>
              <w:t>Anexo C — Adaptação paramétrica dos modelos de mão protésica</w:t>
            </w:r>
            <w:r>
              <w:rPr>
                <w:webHidden/>
              </w:rPr>
              <w:fldChar w:fldCharType="begin"/>
            </w:r>
            <w:r>
              <w:rPr>
                <w:webHidden/>
              </w:rPr>
              <w:instrText xml:space="preserve">PAGEREF _Toc235565086 \h</w:instrText>
            </w:r>
            <w:r>
              <w:rPr>
                <w:webHidden/>
              </w:rPr>
              <w:fldChar w:fldCharType="separate"/>
            </w:r>
            <w:r>
              <w:rPr>
                <w:rStyle w:val="IndexLink"/>
                <w:vanish w:val="false"/>
              </w:rPr>
              <w:tab/>
              <w:t>203</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5087">
            <w:r>
              <w:rPr>
                <w:rStyle w:val="IndexLink"/>
                <w:webHidden/>
              </w:rPr>
              <w:t>Índice do Anexo C</w:t>
            </w:r>
            <w:r>
              <w:rPr>
                <w:webHidden/>
              </w:rPr>
              <w:fldChar w:fldCharType="begin"/>
            </w:r>
            <w:r>
              <w:rPr>
                <w:webHidden/>
              </w:rPr>
              <w:instrText xml:space="preserve">PAGEREF _Toc235565087 \h</w:instrText>
            </w:r>
            <w:r>
              <w:rPr>
                <w:webHidden/>
              </w:rPr>
              <w:fldChar w:fldCharType="separate"/>
            </w:r>
            <w:r>
              <w:rPr>
                <w:rStyle w:val="IndexLink"/>
                <w:vanish w:val="false"/>
              </w:rPr>
              <w:tab/>
              <w:t>203</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88">
            <w:r>
              <w:rPr>
                <w:rStyle w:val="IndexLink"/>
                <w:webHidden/>
              </w:rPr>
              <w:t>C.1 Objectivo e âmbito</w:t>
            </w:r>
            <w:r>
              <w:rPr>
                <w:webHidden/>
              </w:rPr>
              <w:fldChar w:fldCharType="begin"/>
            </w:r>
            <w:r>
              <w:rPr>
                <w:webHidden/>
              </w:rPr>
              <w:instrText xml:space="preserve">PAGEREF _Toc235565088 \h</w:instrText>
            </w:r>
            <w:r>
              <w:rPr>
                <w:webHidden/>
              </w:rPr>
              <w:fldChar w:fldCharType="separate"/>
            </w:r>
            <w:r>
              <w:rPr>
                <w:rStyle w:val="IndexLink"/>
                <w:vanish w:val="false"/>
              </w:rPr>
              <w:tab/>
              <w:t>205</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89">
            <w:r>
              <w:rPr>
                <w:rStyle w:val="IndexLink"/>
                <w:webHidden/>
              </w:rPr>
              <w:t>C.2 Princípio comum de adaptação</w:t>
            </w:r>
            <w:r>
              <w:rPr>
                <w:webHidden/>
              </w:rPr>
              <w:fldChar w:fldCharType="begin"/>
            </w:r>
            <w:r>
              <w:rPr>
                <w:webHidden/>
              </w:rPr>
              <w:instrText xml:space="preserve">PAGEREF _Toc235565089 \h</w:instrText>
            </w:r>
            <w:r>
              <w:rPr>
                <w:webHidden/>
              </w:rPr>
              <w:fldChar w:fldCharType="separate"/>
            </w:r>
            <w:r>
              <w:rPr>
                <w:rStyle w:val="IndexLink"/>
                <w:vanish w:val="false"/>
              </w:rPr>
              <w:tab/>
              <w:t>205</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90">
            <w:r>
              <w:rPr>
                <w:rStyle w:val="IndexLink"/>
                <w:webHidden/>
              </w:rPr>
              <w:t>C.2.1 Campos antropométricos comuns</w:t>
            </w:r>
            <w:r>
              <w:rPr>
                <w:webHidden/>
              </w:rPr>
              <w:fldChar w:fldCharType="begin"/>
            </w:r>
            <w:r>
              <w:rPr>
                <w:webHidden/>
              </w:rPr>
              <w:instrText xml:space="preserve">PAGEREF _Toc235565090 \h</w:instrText>
            </w:r>
            <w:r>
              <w:rPr>
                <w:webHidden/>
              </w:rPr>
              <w:fldChar w:fldCharType="separate"/>
            </w:r>
            <w:r>
              <w:rPr>
                <w:rStyle w:val="IndexLink"/>
                <w:vanish w:val="false"/>
              </w:rPr>
              <w:tab/>
              <w:t>206</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91">
            <w:r>
              <w:rPr>
                <w:rStyle w:val="IndexLink"/>
                <w:webHidden/>
              </w:rPr>
              <w:t>C.2.2 Tipos de parâmetros</w:t>
            </w:r>
            <w:r>
              <w:rPr>
                <w:webHidden/>
              </w:rPr>
              <w:fldChar w:fldCharType="begin"/>
            </w:r>
            <w:r>
              <w:rPr>
                <w:webHidden/>
              </w:rPr>
              <w:instrText xml:space="preserve">PAGEREF _Toc235565091 \h</w:instrText>
            </w:r>
            <w:r>
              <w:rPr>
                <w:webHidden/>
              </w:rPr>
              <w:fldChar w:fldCharType="separate"/>
            </w:r>
            <w:r>
              <w:rPr>
                <w:rStyle w:val="IndexLink"/>
                <w:vanish w:val="false"/>
              </w:rPr>
              <w:tab/>
              <w:t>207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92">
            <w:r>
              <w:rPr>
                <w:rStyle w:val="IndexLink"/>
                <w:webHidden/>
              </w:rPr>
              <w:t>C.2.3 Coerência dos controlos no estado final examinado</w:t>
            </w:r>
            <w:r>
              <w:rPr>
                <w:webHidden/>
              </w:rPr>
              <w:fldChar w:fldCharType="begin"/>
            </w:r>
            <w:r>
              <w:rPr>
                <w:webHidden/>
              </w:rPr>
              <w:instrText xml:space="preserve">PAGEREF _Toc235565092 \h</w:instrText>
            </w:r>
            <w:r>
              <w:rPr>
                <w:webHidden/>
              </w:rPr>
              <w:fldChar w:fldCharType="separate"/>
            </w:r>
            <w:r>
              <w:rPr>
                <w:rStyle w:val="IndexLink"/>
                <w:vanish w:val="false"/>
              </w:rPr>
              <w:tab/>
              <w:t>208</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93">
            <w:r>
              <w:rPr>
                <w:rStyle w:val="IndexLink"/>
                <w:webHidden/>
              </w:rPr>
              <w:t>C.3 Flexy Beast</w:t>
            </w:r>
            <w:r>
              <w:rPr>
                <w:webHidden/>
              </w:rPr>
              <w:fldChar w:fldCharType="begin"/>
            </w:r>
            <w:r>
              <w:rPr>
                <w:webHidden/>
              </w:rPr>
              <w:instrText xml:space="preserve">PAGEREF _Toc235565093 \h</w:instrText>
            </w:r>
            <w:r>
              <w:rPr>
                <w:webHidden/>
              </w:rPr>
              <w:fldChar w:fldCharType="separate"/>
            </w:r>
            <w:r>
              <w:rPr>
                <w:rStyle w:val="IndexLink"/>
                <w:vanish w:val="false"/>
              </w:rPr>
              <w:tab/>
              <w:t>209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94">
            <w:r>
              <w:rPr>
                <w:rStyle w:val="IndexLink"/>
                <w:webHidden/>
              </w:rPr>
              <w:t>C.3.1 Origem e estratégia de adaptação</w:t>
            </w:r>
            <w:r>
              <w:rPr>
                <w:webHidden/>
              </w:rPr>
              <w:fldChar w:fldCharType="begin"/>
            </w:r>
            <w:r>
              <w:rPr>
                <w:webHidden/>
              </w:rPr>
              <w:instrText xml:space="preserve">PAGEREF _Toc235565094 \h</w:instrText>
            </w:r>
            <w:r>
              <w:rPr>
                <w:webHidden/>
              </w:rPr>
              <w:fldChar w:fldCharType="separate"/>
            </w:r>
            <w:r>
              <w:rPr>
                <w:rStyle w:val="IndexLink"/>
                <w:vanish w:val="false"/>
              </w:rPr>
              <w:tab/>
              <w:t>209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95">
            <w:r>
              <w:rPr>
                <w:rStyle w:val="IndexLink"/>
                <w:webHidden/>
              </w:rPr>
              <w:t>C.3.2 Entradas, limites e relações</w:t>
            </w:r>
            <w:r>
              <w:rPr>
                <w:webHidden/>
              </w:rPr>
              <w:fldChar w:fldCharType="begin"/>
            </w:r>
            <w:r>
              <w:rPr>
                <w:webHidden/>
              </w:rPr>
              <w:instrText xml:space="preserve">PAGEREF _Toc235565095 \h</w:instrText>
            </w:r>
            <w:r>
              <w:rPr>
                <w:webHidden/>
              </w:rPr>
              <w:fldChar w:fldCharType="separate"/>
            </w:r>
            <w:r>
              <w:rPr>
                <w:rStyle w:val="IndexLink"/>
                <w:vanish w:val="false"/>
              </w:rPr>
              <w:tab/>
              <w:t>209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96">
            <w:r>
              <w:rPr>
                <w:rStyle w:val="IndexLink"/>
                <w:webHidden/>
              </w:rPr>
              <w:t>C.3.3 Braçadeira e interfaces confirmáveis</w:t>
            </w:r>
            <w:r>
              <w:rPr>
                <w:webHidden/>
              </w:rPr>
              <w:fldChar w:fldCharType="begin"/>
            </w:r>
            <w:r>
              <w:rPr>
                <w:webHidden/>
              </w:rPr>
              <w:instrText xml:space="preserve">PAGEREF _Toc235565096 \h</w:instrText>
            </w:r>
            <w:r>
              <w:rPr>
                <w:webHidden/>
              </w:rPr>
              <w:fldChar w:fldCharType="separate"/>
            </w:r>
            <w:r>
              <w:rPr>
                <w:rStyle w:val="IndexLink"/>
                <w:vanish w:val="false"/>
              </w:rPr>
              <w:tab/>
              <w:t>211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97">
            <w:r>
              <w:rPr>
                <w:rStyle w:val="IndexLink"/>
                <w:webHidden/>
              </w:rPr>
              <w:t>C.3.4 PROpagação paramétrica documentada no perfil de ensaio</w:t>
            </w:r>
            <w:r>
              <w:rPr>
                <w:webHidden/>
              </w:rPr>
              <w:fldChar w:fldCharType="begin"/>
            </w:r>
            <w:r>
              <w:rPr>
                <w:webHidden/>
              </w:rPr>
              <w:instrText xml:space="preserve">PAGEREF _Toc235565097 \h</w:instrText>
            </w:r>
            <w:r>
              <w:rPr>
                <w:webHidden/>
              </w:rPr>
              <w:fldChar w:fldCharType="separate"/>
            </w:r>
            <w:r>
              <w:rPr>
                <w:rStyle w:val="IndexLink"/>
                <w:vanish w:val="false"/>
              </w:rPr>
              <w:tab/>
              <w:t>212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098">
            <w:r>
              <w:rPr>
                <w:rStyle w:val="IndexLink"/>
                <w:webHidden/>
              </w:rPr>
              <w:t>C.3.5 Limitações específicas</w:t>
            </w:r>
            <w:r>
              <w:rPr>
                <w:webHidden/>
              </w:rPr>
              <w:fldChar w:fldCharType="begin"/>
            </w:r>
            <w:r>
              <w:rPr>
                <w:webHidden/>
              </w:rPr>
              <w:instrText xml:space="preserve">PAGEREF _Toc235565098 \h</w:instrText>
            </w:r>
            <w:r>
              <w:rPr>
                <w:webHidden/>
              </w:rPr>
              <w:fldChar w:fldCharType="separate"/>
            </w:r>
            <w:r>
              <w:rPr>
                <w:rStyle w:val="IndexLink"/>
                <w:vanish w:val="false"/>
              </w:rPr>
              <w:tab/>
              <w:t>212</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099">
            <w:r>
              <w:rPr>
                <w:rStyle w:val="IndexLink"/>
                <w:webHidden/>
              </w:rPr>
              <w:t>C.4 Cyborg Beast</w:t>
            </w:r>
            <w:r>
              <w:rPr>
                <w:webHidden/>
              </w:rPr>
              <w:fldChar w:fldCharType="begin"/>
            </w:r>
            <w:r>
              <w:rPr>
                <w:webHidden/>
              </w:rPr>
              <w:instrText xml:space="preserve">PAGEREF _Toc235565099 \h</w:instrText>
            </w:r>
            <w:r>
              <w:rPr>
                <w:webHidden/>
              </w:rPr>
              <w:fldChar w:fldCharType="separate"/>
            </w:r>
            <w:r>
              <w:rPr>
                <w:rStyle w:val="IndexLink"/>
                <w:vanish w:val="false"/>
              </w:rPr>
              <w:tab/>
              <w:t>212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00">
            <w:r>
              <w:rPr>
                <w:rStyle w:val="IndexLink"/>
                <w:webHidden/>
              </w:rPr>
              <w:t>C.4.1 Origem e estratégia de adaptação</w:t>
            </w:r>
            <w:r>
              <w:rPr>
                <w:webHidden/>
              </w:rPr>
              <w:fldChar w:fldCharType="begin"/>
            </w:r>
            <w:r>
              <w:rPr>
                <w:webHidden/>
              </w:rPr>
              <w:instrText xml:space="preserve">PAGEREF _Toc235565100 \h</w:instrText>
            </w:r>
            <w:r>
              <w:rPr>
                <w:webHidden/>
              </w:rPr>
              <w:fldChar w:fldCharType="separate"/>
            </w:r>
            <w:r>
              <w:rPr>
                <w:rStyle w:val="IndexLink"/>
                <w:vanish w:val="false"/>
              </w:rPr>
              <w:tab/>
              <w:t>212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01">
            <w:r>
              <w:rPr>
                <w:rStyle w:val="IndexLink"/>
                <w:webHidden/>
              </w:rPr>
              <w:t>C.4.2 Entradas e escala da mão</w:t>
            </w:r>
            <w:r>
              <w:rPr>
                <w:webHidden/>
              </w:rPr>
              <w:fldChar w:fldCharType="begin"/>
            </w:r>
            <w:r>
              <w:rPr>
                <w:webHidden/>
              </w:rPr>
              <w:instrText xml:space="preserve">PAGEREF _Toc235565101 \h</w:instrText>
            </w:r>
            <w:r>
              <w:rPr>
                <w:webHidden/>
              </w:rPr>
              <w:fldChar w:fldCharType="separate"/>
            </w:r>
            <w:r>
              <w:rPr>
                <w:rStyle w:val="IndexLink"/>
                <w:vanish w:val="false"/>
              </w:rPr>
              <w:tab/>
              <w:t>213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02">
            <w:r>
              <w:rPr>
                <w:rStyle w:val="IndexLink"/>
                <w:webHidden/>
              </w:rPr>
              <w:t>C.4.4 Componente de fixação ao punho, folgas e parâmetros fixos</w:t>
            </w:r>
            <w:r>
              <w:rPr>
                <w:webHidden/>
              </w:rPr>
              <w:fldChar w:fldCharType="begin"/>
            </w:r>
            <w:r>
              <w:rPr>
                <w:webHidden/>
              </w:rPr>
              <w:instrText xml:space="preserve">PAGEREF _Toc235565102 \h</w:instrText>
            </w:r>
            <w:r>
              <w:rPr>
                <w:webHidden/>
              </w:rPr>
              <w:fldChar w:fldCharType="separate"/>
            </w:r>
            <w:r>
              <w:rPr>
                <w:rStyle w:val="IndexLink"/>
                <w:vanish w:val="false"/>
              </w:rPr>
              <w:tab/>
              <w:t>214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03">
            <w:r>
              <w:rPr>
                <w:rStyle w:val="IndexLink"/>
                <w:webHidden/>
              </w:rPr>
              <w:t>C.4.5 Exemplo de propagação paramétrica</w:t>
            </w:r>
            <w:r>
              <w:rPr>
                <w:webHidden/>
              </w:rPr>
              <w:fldChar w:fldCharType="begin"/>
            </w:r>
            <w:r>
              <w:rPr>
                <w:webHidden/>
              </w:rPr>
              <w:instrText xml:space="preserve">PAGEREF _Toc235565103 \h</w:instrText>
            </w:r>
            <w:r>
              <w:rPr>
                <w:webHidden/>
              </w:rPr>
              <w:fldChar w:fldCharType="separate"/>
            </w:r>
            <w:r>
              <w:rPr>
                <w:rStyle w:val="IndexLink"/>
                <w:vanish w:val="false"/>
              </w:rPr>
              <w:tab/>
              <w:t>215</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04">
            <w:r>
              <w:rPr>
                <w:rStyle w:val="IndexLink"/>
                <w:webHidden/>
              </w:rPr>
              <w:t>C.4.6 Limitações específicas</w:t>
            </w:r>
            <w:r>
              <w:rPr>
                <w:webHidden/>
              </w:rPr>
              <w:fldChar w:fldCharType="begin"/>
            </w:r>
            <w:r>
              <w:rPr>
                <w:webHidden/>
              </w:rPr>
              <w:instrText xml:space="preserve">PAGEREF _Toc235565104 \h</w:instrText>
            </w:r>
            <w:r>
              <w:rPr>
                <w:webHidden/>
              </w:rPr>
              <w:fldChar w:fldCharType="separate"/>
            </w:r>
            <w:r>
              <w:rPr>
                <w:rStyle w:val="IndexLink"/>
                <w:vanish w:val="false"/>
              </w:rPr>
              <w:tab/>
              <w:t>215</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05">
            <w:r>
              <w:rPr>
                <w:rStyle w:val="IndexLink"/>
                <w:webHidden/>
              </w:rPr>
              <w:t>C.5 Paraglider Hand</w:t>
            </w:r>
            <w:r>
              <w:rPr>
                <w:webHidden/>
              </w:rPr>
              <w:fldChar w:fldCharType="begin"/>
            </w:r>
            <w:r>
              <w:rPr>
                <w:webHidden/>
              </w:rPr>
              <w:instrText xml:space="preserve">PAGEREF _Toc235565105 \h</w:instrText>
            </w:r>
            <w:r>
              <w:rPr>
                <w:webHidden/>
              </w:rPr>
              <w:fldChar w:fldCharType="separate"/>
            </w:r>
            <w:r>
              <w:rPr>
                <w:rStyle w:val="IndexLink"/>
                <w:vanish w:val="false"/>
              </w:rPr>
              <w:tab/>
              <w:t>216</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06">
            <w:r>
              <w:rPr>
                <w:rStyle w:val="IndexLink"/>
                <w:webHidden/>
              </w:rPr>
              <w:t>C.5.1 Origem e estratégia de adaptação</w:t>
            </w:r>
            <w:r>
              <w:rPr>
                <w:webHidden/>
              </w:rPr>
              <w:fldChar w:fldCharType="begin"/>
            </w:r>
            <w:r>
              <w:rPr>
                <w:webHidden/>
              </w:rPr>
              <w:instrText xml:space="preserve">PAGEREF _Toc235565106 \h</w:instrText>
            </w:r>
            <w:r>
              <w:rPr>
                <w:webHidden/>
              </w:rPr>
              <w:fldChar w:fldCharType="separate"/>
            </w:r>
            <w:r>
              <w:rPr>
                <w:rStyle w:val="IndexLink"/>
                <w:vanish w:val="false"/>
              </w:rPr>
              <w:tab/>
              <w:t>216</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07">
            <w:r>
              <w:rPr>
                <w:rStyle w:val="IndexLink"/>
                <w:webHidden/>
              </w:rPr>
              <w:t>C.5.2 Relações implementadas</w:t>
            </w:r>
            <w:r>
              <w:rPr>
                <w:webHidden/>
              </w:rPr>
              <w:fldChar w:fldCharType="begin"/>
            </w:r>
            <w:r>
              <w:rPr>
                <w:webHidden/>
              </w:rPr>
              <w:instrText xml:space="preserve">PAGEREF _Toc235565107 \h</w:instrText>
            </w:r>
            <w:r>
              <w:rPr>
                <w:webHidden/>
              </w:rPr>
              <w:fldChar w:fldCharType="separate"/>
            </w:r>
            <w:r>
              <w:rPr>
                <w:rStyle w:val="IndexLink"/>
                <w:vanish w:val="false"/>
              </w:rPr>
              <w:tab/>
              <w:t>216</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08">
            <w:r>
              <w:rPr>
                <w:rStyle w:val="IndexLink"/>
                <w:webHidden/>
              </w:rPr>
              <w:t>C.5.3 Hardware e limites confirmáveis</w:t>
            </w:r>
            <w:r>
              <w:rPr>
                <w:webHidden/>
              </w:rPr>
              <w:fldChar w:fldCharType="begin"/>
            </w:r>
            <w:r>
              <w:rPr>
                <w:webHidden/>
              </w:rPr>
              <w:instrText xml:space="preserve">PAGEREF _Toc235565108 \h</w:instrText>
            </w:r>
            <w:r>
              <w:rPr>
                <w:webHidden/>
              </w:rPr>
              <w:fldChar w:fldCharType="separate"/>
            </w:r>
            <w:r>
              <w:rPr>
                <w:rStyle w:val="IndexLink"/>
                <w:vanish w:val="false"/>
              </w:rPr>
              <w:tab/>
              <w:t>217</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09">
            <w:r>
              <w:rPr>
                <w:rStyle w:val="IndexLink"/>
                <w:webHidden/>
              </w:rPr>
              <w:t>C.5.5 Limitações específicas</w:t>
            </w:r>
            <w:r>
              <w:rPr>
                <w:webHidden/>
              </w:rPr>
              <w:fldChar w:fldCharType="begin"/>
            </w:r>
            <w:r>
              <w:rPr>
                <w:webHidden/>
              </w:rPr>
              <w:instrText xml:space="preserve">PAGEREF _Toc235565109 \h</w:instrText>
            </w:r>
            <w:r>
              <w:rPr>
                <w:webHidden/>
              </w:rPr>
              <w:fldChar w:fldCharType="separate"/>
            </w:r>
            <w:r>
              <w:rPr>
                <w:rStyle w:val="IndexLink"/>
                <w:vanish w:val="false"/>
              </w:rPr>
              <w:tab/>
              <w:t>219</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10">
            <w:r>
              <w:rPr>
                <w:rStyle w:val="IndexLink"/>
                <w:webHidden/>
              </w:rPr>
              <w:t>C.6 UnLimbited Phoenix Hand</w:t>
            </w:r>
            <w:r>
              <w:rPr>
                <w:webHidden/>
              </w:rPr>
              <w:fldChar w:fldCharType="begin"/>
            </w:r>
            <w:r>
              <w:rPr>
                <w:webHidden/>
              </w:rPr>
              <w:instrText xml:space="preserve">PAGEREF _Toc235565110 \h</w:instrText>
            </w:r>
            <w:r>
              <w:rPr>
                <w:webHidden/>
              </w:rPr>
              <w:fldChar w:fldCharType="separate"/>
            </w:r>
            <w:r>
              <w:rPr>
                <w:rStyle w:val="IndexLink"/>
                <w:vanish w:val="false"/>
              </w:rPr>
              <w:tab/>
              <w:t>219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11">
            <w:r>
              <w:rPr>
                <w:rStyle w:val="IndexLink"/>
                <w:webHidden/>
              </w:rPr>
              <w:t>C.6.1 Origem e estratégia de adaptação</w:t>
            </w:r>
            <w:r>
              <w:rPr>
                <w:webHidden/>
              </w:rPr>
              <w:fldChar w:fldCharType="begin"/>
            </w:r>
            <w:r>
              <w:rPr>
                <w:webHidden/>
              </w:rPr>
              <w:instrText xml:space="preserve">PAGEREF _Toc235565111 \h</w:instrText>
            </w:r>
            <w:r>
              <w:rPr>
                <w:webHidden/>
              </w:rPr>
              <w:fldChar w:fldCharType="separate"/>
            </w:r>
            <w:r>
              <w:rPr>
                <w:rStyle w:val="IndexLink"/>
                <w:vanish w:val="false"/>
              </w:rPr>
              <w:tab/>
              <w:t>219</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12">
            <w:r>
              <w:rPr>
                <w:rStyle w:val="IndexLink"/>
                <w:webHidden/>
              </w:rPr>
              <w:t>C.6.2 Escala global e limite dimensional mínimo</w:t>
            </w:r>
            <w:r>
              <w:rPr>
                <w:webHidden/>
              </w:rPr>
              <w:fldChar w:fldCharType="begin"/>
            </w:r>
            <w:r>
              <w:rPr>
                <w:webHidden/>
              </w:rPr>
              <w:instrText xml:space="preserve">PAGEREF _Toc235565112 \h</w:instrText>
            </w:r>
            <w:r>
              <w:rPr>
                <w:webHidden/>
              </w:rPr>
              <w:fldChar w:fldCharType="separate"/>
            </w:r>
            <w:r>
              <w:rPr>
                <w:rStyle w:val="IndexLink"/>
                <w:vanish w:val="false"/>
              </w:rPr>
              <w:tab/>
              <w:t>220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13">
            <w:r>
              <w:rPr>
                <w:rStyle w:val="IndexLink"/>
                <w:webHidden/>
              </w:rPr>
              <w:t>C.6.3 Comprimentos digitais e preservação dos furos</w:t>
            </w:r>
            <w:r>
              <w:rPr>
                <w:webHidden/>
              </w:rPr>
              <w:fldChar w:fldCharType="begin"/>
            </w:r>
            <w:r>
              <w:rPr>
                <w:webHidden/>
              </w:rPr>
              <w:instrText xml:space="preserve">PAGEREF _Toc235565113 \h</w:instrText>
            </w:r>
            <w:r>
              <w:rPr>
                <w:webHidden/>
              </w:rPr>
              <w:fldChar w:fldCharType="separate"/>
            </w:r>
            <w:r>
              <w:rPr>
                <w:rStyle w:val="IndexLink"/>
                <w:vanish w:val="false"/>
              </w:rPr>
              <w:tab/>
              <w:t>220</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14">
            <w:r>
              <w:rPr>
                <w:rStyle w:val="IndexLink"/>
                <w:webHidden/>
              </w:rPr>
              <w:t>C.6.4 Dependência entre comprimento dos dedos e escala global</w:t>
            </w:r>
            <w:r>
              <w:rPr>
                <w:webHidden/>
              </w:rPr>
              <w:fldChar w:fldCharType="begin"/>
            </w:r>
            <w:r>
              <w:rPr>
                <w:webHidden/>
              </w:rPr>
              <w:instrText xml:space="preserve">PAGEREF _Toc235565114 \h</w:instrText>
            </w:r>
            <w:r>
              <w:rPr>
                <w:webHidden/>
              </w:rPr>
              <w:fldChar w:fldCharType="separate"/>
            </w:r>
            <w:r>
              <w:rPr>
                <w:rStyle w:val="IndexLink"/>
                <w:vanish w:val="false"/>
              </w:rPr>
              <w:tab/>
              <w:t>221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15">
            <w:r>
              <w:rPr>
                <w:rStyle w:val="IndexLink"/>
                <w:webHidden/>
              </w:rPr>
              <w:t>C.6.5 Exemplo de propagação paramétrica</w:t>
            </w:r>
            <w:r>
              <w:rPr>
                <w:webHidden/>
              </w:rPr>
              <w:fldChar w:fldCharType="begin"/>
            </w:r>
            <w:r>
              <w:rPr>
                <w:webHidden/>
              </w:rPr>
              <w:instrText xml:space="preserve">PAGEREF _Toc235565115 \h</w:instrText>
            </w:r>
            <w:r>
              <w:rPr>
                <w:webHidden/>
              </w:rPr>
              <w:fldChar w:fldCharType="separate"/>
            </w:r>
            <w:r>
              <w:rPr>
                <w:rStyle w:val="IndexLink"/>
                <w:vanish w:val="false"/>
              </w:rPr>
              <w:tab/>
              <w:t>221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16">
            <w:r>
              <w:rPr>
                <w:rStyle w:val="IndexLink"/>
                <w:webHidden/>
              </w:rPr>
              <w:t>C.6.6 Componentes fixos e tolerâncias confirmáveis</w:t>
            </w:r>
            <w:r>
              <w:rPr>
                <w:webHidden/>
              </w:rPr>
              <w:fldChar w:fldCharType="begin"/>
            </w:r>
            <w:r>
              <w:rPr>
                <w:webHidden/>
              </w:rPr>
              <w:instrText xml:space="preserve">PAGEREF _Toc235565116 \h</w:instrText>
            </w:r>
            <w:r>
              <w:rPr>
                <w:webHidden/>
              </w:rPr>
              <w:fldChar w:fldCharType="separate"/>
            </w:r>
            <w:r>
              <w:rPr>
                <w:rStyle w:val="IndexLink"/>
                <w:vanish w:val="false"/>
              </w:rPr>
              <w:tab/>
              <w:t>222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17">
            <w:r>
              <w:rPr>
                <w:rStyle w:val="IndexLink"/>
                <w:webHidden/>
              </w:rPr>
              <w:t>C.6.7 Limitações específicas</w:t>
            </w:r>
            <w:r>
              <w:rPr>
                <w:webHidden/>
              </w:rPr>
              <w:fldChar w:fldCharType="begin"/>
            </w:r>
            <w:r>
              <w:rPr>
                <w:webHidden/>
              </w:rPr>
              <w:instrText xml:space="preserve">PAGEREF _Toc235565117 \h</w:instrText>
            </w:r>
            <w:r>
              <w:rPr>
                <w:webHidden/>
              </w:rPr>
              <w:fldChar w:fldCharType="separate"/>
            </w:r>
            <w:r>
              <w:rPr>
                <w:rStyle w:val="IndexLink"/>
                <w:vanish w:val="false"/>
              </w:rPr>
              <w:tab/>
              <w:t>223</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18">
            <w:r>
              <w:rPr>
                <w:rStyle w:val="IndexLink"/>
                <w:webHidden/>
              </w:rPr>
              <w:t>C.7 Síntese comparativa das estratégias</w:t>
            </w:r>
            <w:r>
              <w:rPr>
                <w:webHidden/>
              </w:rPr>
              <w:fldChar w:fldCharType="begin"/>
            </w:r>
            <w:r>
              <w:rPr>
                <w:webHidden/>
              </w:rPr>
              <w:instrText xml:space="preserve">PAGEREF _Toc235565118 \h</w:instrText>
            </w:r>
            <w:r>
              <w:rPr>
                <w:webHidden/>
              </w:rPr>
              <w:fldChar w:fldCharType="separate"/>
            </w:r>
            <w:r>
              <w:rPr>
                <w:rStyle w:val="IndexLink"/>
                <w:vanish w:val="false"/>
              </w:rPr>
              <w:tab/>
              <w:t>223</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19">
            <w:r>
              <w:rPr>
                <w:rStyle w:val="IndexLink"/>
                <w:bCs/>
                <w:webHidden/>
              </w:rPr>
              <w:t>C.8 Critérios de aceitação, limitação e rejeição</w:t>
            </w:r>
            <w:r>
              <w:rPr>
                <w:webHidden/>
              </w:rPr>
              <w:fldChar w:fldCharType="begin"/>
            </w:r>
            <w:r>
              <w:rPr>
                <w:webHidden/>
              </w:rPr>
              <w:instrText xml:space="preserve">PAGEREF _Toc235565119 \h</w:instrText>
            </w:r>
            <w:r>
              <w:rPr>
                <w:webHidden/>
              </w:rPr>
              <w:fldChar w:fldCharType="separate"/>
            </w:r>
            <w:r>
              <w:rPr>
                <w:rStyle w:val="IndexLink"/>
                <w:vanish w:val="false"/>
              </w:rPr>
              <w:tab/>
              <w:t>224</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20">
            <w:r>
              <w:rPr>
                <w:rStyle w:val="IndexLink"/>
                <w:webHidden/>
              </w:rPr>
              <w:t>C.9 Relação com o Suplemento 3</w:t>
            </w:r>
            <w:r>
              <w:rPr>
                <w:webHidden/>
              </w:rPr>
              <w:fldChar w:fldCharType="begin"/>
            </w:r>
            <w:r>
              <w:rPr>
                <w:webHidden/>
              </w:rPr>
              <w:instrText xml:space="preserve">PAGEREF _Toc235565120 \h</w:instrText>
            </w:r>
            <w:r>
              <w:rPr>
                <w:webHidden/>
              </w:rPr>
              <w:fldChar w:fldCharType="separate"/>
            </w:r>
            <w:r>
              <w:rPr>
                <w:rStyle w:val="IndexLink"/>
                <w:vanish w:val="false"/>
              </w:rPr>
              <w:tab/>
              <w:t>225</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21">
            <w:r>
              <w:rPr>
                <w:rStyle w:val="IndexLink"/>
                <w:webHidden/>
              </w:rPr>
              <w:t>C.10 Limite de interpretação</w:t>
            </w:r>
            <w:r>
              <w:rPr>
                <w:webHidden/>
              </w:rPr>
              <w:fldChar w:fldCharType="begin"/>
            </w:r>
            <w:r>
              <w:rPr>
                <w:webHidden/>
              </w:rPr>
              <w:instrText xml:space="preserve">PAGEREF _Toc235565121 \h</w:instrText>
            </w:r>
            <w:r>
              <w:rPr>
                <w:webHidden/>
              </w:rPr>
              <w:fldChar w:fldCharType="separate"/>
            </w:r>
            <w:r>
              <w:rPr>
                <w:rStyle w:val="IndexLink"/>
                <w:vanish w:val="false"/>
              </w:rPr>
              <w:tab/>
              <w:t>226</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22">
            <w:r>
              <w:rPr>
                <w:rStyle w:val="IndexLink"/>
                <w:webHidden/>
              </w:rPr>
              <w:t>C.11 Fontes técnicas consultadas</w:t>
            </w:r>
            <w:r>
              <w:rPr>
                <w:webHidden/>
              </w:rPr>
              <w:fldChar w:fldCharType="begin"/>
            </w:r>
            <w:r>
              <w:rPr>
                <w:webHidden/>
              </w:rPr>
              <w:instrText xml:space="preserve">PAGEREF _Toc235565122 \h</w:instrText>
            </w:r>
            <w:r>
              <w:rPr>
                <w:webHidden/>
              </w:rPr>
              <w:fldChar w:fldCharType="separate"/>
            </w:r>
            <w:r>
              <w:rPr>
                <w:rStyle w:val="IndexLink"/>
                <w:vanish w:val="false"/>
              </w:rPr>
              <w:tab/>
              <w:t>226</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23">
            <w:r>
              <w:rPr>
                <w:rStyle w:val="IndexLink"/>
                <w:webHidden/>
              </w:rPr>
              <w:t>C.12 Verificações executadas</w:t>
            </w:r>
            <w:r>
              <w:rPr>
                <w:webHidden/>
              </w:rPr>
              <w:fldChar w:fldCharType="begin"/>
            </w:r>
            <w:r>
              <w:rPr>
                <w:webHidden/>
              </w:rPr>
              <w:instrText xml:space="preserve">PAGEREF _Toc235565123 \h</w:instrText>
            </w:r>
            <w:r>
              <w:rPr>
                <w:webHidden/>
              </w:rPr>
              <w:fldChar w:fldCharType="separate"/>
            </w:r>
            <w:r>
              <w:rPr>
                <w:rStyle w:val="IndexLink"/>
                <w:vanish w:val="false"/>
              </w:rPr>
              <w:tab/>
              <w:t>226</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5124">
            <w:r>
              <w:rPr>
                <w:rStyle w:val="IndexLink"/>
                <w:webHidden/>
              </w:rPr>
              <w:t>Anexo D — Preparação para fabrico e verificação dos protótipos</w:t>
            </w:r>
            <w:r>
              <w:rPr>
                <w:webHidden/>
              </w:rPr>
              <w:fldChar w:fldCharType="begin"/>
            </w:r>
            <w:r>
              <w:rPr>
                <w:webHidden/>
              </w:rPr>
              <w:instrText xml:space="preserve">PAGEREF _Toc235565124 \h</w:instrText>
            </w:r>
            <w:r>
              <w:rPr>
                <w:webHidden/>
              </w:rPr>
              <w:fldChar w:fldCharType="separate"/>
            </w:r>
            <w:r>
              <w:rPr>
                <w:rStyle w:val="IndexLink"/>
                <w:vanish w:val="false"/>
              </w:rPr>
              <w:tab/>
              <w:t>229</w:t>
            </w:r>
            <w:r>
              <w:rPr>
                <w:webHidden/>
              </w:rPr>
              <w:fldChar w:fldCharType="end"/>
            </w:r>
          </w:hyperlink>
        </w:p>
        <w:p>
          <w:pPr>
            <w:pStyle w:val="TOC1"/>
            <w:tabs>
              <w:tab w:val="right" w:pos="8494" w:leader="none"/>
            </w:tabs>
            <w:rPr>
              <w:rFonts w:eastAsia="" w:eastAsiaTheme="minorEastAsia"/>
              <w:b w:val="false"/>
              <w:bCs w:val="false"/>
              <w:caps w:val="false"/>
              <w:smallCaps w:val="false"/>
              <w:sz w:val="24"/>
              <w:szCs w:val="24"/>
              <w:lang w:eastAsia="pt-PT"/>
            </w:rPr>
          </w:pPr>
          <w:hyperlink w:anchor="_Toc235565125">
            <w:r>
              <w:rPr>
                <w:rStyle w:val="IndexLink"/>
                <w:webHidden/>
              </w:rPr>
              <w:t>Índice do Anexo D</w:t>
            </w:r>
            <w:r>
              <w:rPr>
                <w:webHidden/>
              </w:rPr>
              <w:fldChar w:fldCharType="begin"/>
            </w:r>
            <w:r>
              <w:rPr>
                <w:webHidden/>
              </w:rPr>
              <w:instrText xml:space="preserve">PAGEREF _Toc235565125 \h</w:instrText>
            </w:r>
            <w:r>
              <w:rPr>
                <w:webHidden/>
              </w:rPr>
              <w:fldChar w:fldCharType="separate"/>
            </w:r>
            <w:r>
              <w:rPr>
                <w:rStyle w:val="IndexLink"/>
                <w:vanish w:val="false"/>
              </w:rPr>
              <w:tab/>
              <w:t>229</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26">
            <w:r>
              <w:rPr>
                <w:rStyle w:val="IndexLink"/>
                <w:webHidden/>
              </w:rPr>
              <w:t>D.1 Finalidade</w:t>
            </w:r>
            <w:r>
              <w:rPr>
                <w:webHidden/>
              </w:rPr>
              <w:fldChar w:fldCharType="begin"/>
            </w:r>
            <w:r>
              <w:rPr>
                <w:webHidden/>
              </w:rPr>
              <w:instrText xml:space="preserve">PAGEREF _Toc235565126 \h</w:instrText>
            </w:r>
            <w:r>
              <w:rPr>
                <w:webHidden/>
              </w:rPr>
              <w:fldChar w:fldCharType="separate"/>
            </w:r>
            <w:r>
              <w:rPr>
                <w:rStyle w:val="IndexLink"/>
                <w:vanish w:val="false"/>
              </w:rPr>
              <w:tab/>
              <w:t>230</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27">
            <w:r>
              <w:rPr>
                <w:rStyle w:val="IndexLink"/>
                <w:webHidden/>
              </w:rPr>
              <w:t>D.2 Distinção entre estimativa e medição real</w:t>
            </w:r>
            <w:r>
              <w:rPr>
                <w:webHidden/>
              </w:rPr>
              <w:fldChar w:fldCharType="begin"/>
            </w:r>
            <w:r>
              <w:rPr>
                <w:webHidden/>
              </w:rPr>
              <w:instrText xml:space="preserve">PAGEREF _Toc235565127 \h</w:instrText>
            </w:r>
            <w:r>
              <w:rPr>
                <w:webHidden/>
              </w:rPr>
              <w:fldChar w:fldCharType="separate"/>
            </w:r>
            <w:r>
              <w:rPr>
                <w:rStyle w:val="IndexLink"/>
                <w:vanish w:val="false"/>
              </w:rPr>
              <w:tab/>
              <w:t>230</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28">
            <w:r>
              <w:rPr>
                <w:rStyle w:val="IndexLink"/>
                <w:webHidden/>
              </w:rPr>
              <w:t>D.3 Variáveis, controlos e materiais</w:t>
            </w:r>
            <w:r>
              <w:rPr>
                <w:webHidden/>
              </w:rPr>
              <w:fldChar w:fldCharType="begin"/>
            </w:r>
            <w:r>
              <w:rPr>
                <w:webHidden/>
              </w:rPr>
              <w:instrText xml:space="preserve">PAGEREF _Toc235565128 \h</w:instrText>
            </w:r>
            <w:r>
              <w:rPr>
                <w:webHidden/>
              </w:rPr>
              <w:fldChar w:fldCharType="separate"/>
            </w:r>
            <w:r>
              <w:rPr>
                <w:rStyle w:val="IndexLink"/>
                <w:vanish w:val="false"/>
              </w:rPr>
              <w:tab/>
              <w:t>231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29">
            <w:r>
              <w:rPr>
                <w:rStyle w:val="IndexLink"/>
                <w:webHidden/>
              </w:rPr>
              <w:t>D.3.1 Série A — projetos de preparação digital para impressão 3D com configuração analisada</w:t>
            </w:r>
            <w:r>
              <w:rPr>
                <w:webHidden/>
              </w:rPr>
              <w:fldChar w:fldCharType="begin"/>
            </w:r>
            <w:r>
              <w:rPr>
                <w:webHidden/>
              </w:rPr>
              <w:instrText xml:space="preserve">PAGEREF _Toc235565129 \h</w:instrText>
            </w:r>
            <w:r>
              <w:rPr>
                <w:webHidden/>
              </w:rPr>
              <w:fldChar w:fldCharType="separate"/>
            </w:r>
            <w:r>
              <w:rPr>
                <w:rStyle w:val="IndexLink"/>
                <w:vanish w:val="false"/>
              </w:rPr>
              <w:tab/>
              <w:t>231</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30">
            <w:r>
              <w:rPr>
                <w:rStyle w:val="IndexLink"/>
                <w:webHidden/>
              </w:rPr>
              <w:t>D.3.2 Série B — comparação digital controlada</w:t>
            </w:r>
            <w:r>
              <w:rPr>
                <w:webHidden/>
              </w:rPr>
              <w:fldChar w:fldCharType="begin"/>
            </w:r>
            <w:r>
              <w:rPr>
                <w:webHidden/>
              </w:rPr>
              <w:instrText xml:space="preserve">PAGEREF _Toc235565130 \h</w:instrText>
            </w:r>
            <w:r>
              <w:rPr>
                <w:webHidden/>
              </w:rPr>
              <w:fldChar w:fldCharType="separate"/>
            </w:r>
            <w:r>
              <w:rPr>
                <w:rStyle w:val="IndexLink"/>
                <w:vanish w:val="false"/>
              </w:rPr>
              <w:tab/>
              <w:t>232</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31">
            <w:r>
              <w:rPr>
                <w:rStyle w:val="IndexLink"/>
                <w:webHidden/>
              </w:rPr>
              <w:t>D.4 Resultados</w:t>
            </w:r>
            <w:r>
              <w:rPr>
                <w:webHidden/>
              </w:rPr>
              <w:fldChar w:fldCharType="begin"/>
            </w:r>
            <w:r>
              <w:rPr>
                <w:webHidden/>
              </w:rPr>
              <w:instrText xml:space="preserve">PAGEREF _Toc235565131 \h</w:instrText>
            </w:r>
            <w:r>
              <w:rPr>
                <w:webHidden/>
              </w:rPr>
              <w:fldChar w:fldCharType="separate"/>
            </w:r>
            <w:r>
              <w:rPr>
                <w:rStyle w:val="IndexLink"/>
                <w:vanish w:val="false"/>
              </w:rPr>
              <w:tab/>
              <w:t>232</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32">
            <w:r>
              <w:rPr>
                <w:rStyle w:val="IndexLink"/>
                <w:webHidden/>
              </w:rPr>
              <w:t>D.4.1 Série A</w:t>
            </w:r>
            <w:r>
              <w:rPr>
                <w:webHidden/>
              </w:rPr>
              <w:fldChar w:fldCharType="begin"/>
            </w:r>
            <w:r>
              <w:rPr>
                <w:webHidden/>
              </w:rPr>
              <w:instrText xml:space="preserve">PAGEREF _Toc235565132 \h</w:instrText>
            </w:r>
            <w:r>
              <w:rPr>
                <w:webHidden/>
              </w:rPr>
              <w:fldChar w:fldCharType="separate"/>
            </w:r>
            <w:r>
              <w:rPr>
                <w:rStyle w:val="IndexLink"/>
                <w:vanish w:val="false"/>
              </w:rPr>
              <w:tab/>
              <w:t>233</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33">
            <w:r>
              <w:rPr>
                <w:rStyle w:val="IndexLink"/>
                <w:webHidden/>
              </w:rPr>
              <w:t>D.4.2 Série B (condição comum)</w:t>
            </w:r>
            <w:r>
              <w:rPr>
                <w:webHidden/>
              </w:rPr>
              <w:fldChar w:fldCharType="begin"/>
            </w:r>
            <w:r>
              <w:rPr>
                <w:webHidden/>
              </w:rPr>
              <w:instrText xml:space="preserve">PAGEREF _Toc235565133 \h</w:instrText>
            </w:r>
            <w:r>
              <w:rPr>
                <w:webHidden/>
              </w:rPr>
              <w:fldChar w:fldCharType="separate"/>
            </w:r>
            <w:r>
              <w:rPr>
                <w:rStyle w:val="IndexLink"/>
                <w:vanish w:val="false"/>
              </w:rPr>
              <w:tab/>
              <w:t>234</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34">
            <w:r>
              <w:rPr>
                <w:rStyle w:val="IndexLink"/>
                <w:webHidden/>
              </w:rPr>
              <w:t>D.4.3 Geometria — tamanho do conjunto vs tamanho da peça</w:t>
            </w:r>
            <w:r>
              <w:rPr>
                <w:webHidden/>
              </w:rPr>
              <w:fldChar w:fldCharType="begin"/>
            </w:r>
            <w:r>
              <w:rPr>
                <w:webHidden/>
              </w:rPr>
              <w:instrText xml:space="preserve">PAGEREF _Toc235565134 \h</w:instrText>
            </w:r>
            <w:r>
              <w:rPr>
                <w:webHidden/>
              </w:rPr>
              <w:fldChar w:fldCharType="separate"/>
            </w:r>
            <w:r>
              <w:rPr>
                <w:rStyle w:val="IndexLink"/>
                <w:vanish w:val="false"/>
              </w:rPr>
              <w:tab/>
              <w:t>235</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35">
            <w:r>
              <w:rPr>
                <w:rStyle w:val="IndexLink"/>
                <w:webHidden/>
              </w:rPr>
              <w:t>D.4.4 Comparação entre entrada, malha e peça física</w:t>
            </w:r>
            <w:r>
              <w:rPr>
                <w:webHidden/>
              </w:rPr>
              <w:fldChar w:fldCharType="begin"/>
            </w:r>
            <w:r>
              <w:rPr>
                <w:webHidden/>
              </w:rPr>
              <w:instrText xml:space="preserve">PAGEREF _Toc235565135 \h</w:instrText>
            </w:r>
            <w:r>
              <w:rPr>
                <w:webHidden/>
              </w:rPr>
              <w:fldChar w:fldCharType="separate"/>
            </w:r>
            <w:r>
              <w:rPr>
                <w:rStyle w:val="IndexLink"/>
                <w:vanish w:val="false"/>
              </w:rPr>
              <w:tab/>
              <w:t>236</w:t>
            </w:r>
            <w:r>
              <w:rPr>
                <w:webHidden/>
              </w:rPr>
              <w:fldChar w:fldCharType="end"/>
            </w:r>
          </w:hyperlink>
        </w:p>
        <w:p>
          <w:pPr>
            <w:pStyle w:val="TOC3"/>
            <w:tabs>
              <w:tab w:val="clear" w:pos="708"/>
              <w:tab w:val="right" w:pos="8494" w:leader="none"/>
            </w:tabs>
            <w:rPr>
              <w:rFonts w:eastAsia="" w:eastAsiaTheme="minorEastAsia"/>
              <w:i w:val="false"/>
              <w:iCs w:val="false"/>
              <w:sz w:val="24"/>
              <w:szCs w:val="24"/>
              <w:lang w:eastAsia="pt-PT"/>
            </w:rPr>
          </w:pPr>
          <w:hyperlink w:anchor="_Toc235565136">
            <w:r>
              <w:rPr>
                <w:rStyle w:val="IndexLink"/>
                <w:webHidden/>
              </w:rPr>
              <w:t>D.4.5 Registo fotográfico dos protótipos</w:t>
            </w:r>
            <w:r>
              <w:rPr>
                <w:webHidden/>
              </w:rPr>
              <w:fldChar w:fldCharType="begin"/>
            </w:r>
            <w:r>
              <w:rPr>
                <w:webHidden/>
              </w:rPr>
              <w:instrText xml:space="preserve">PAGEREF _Toc235565136 \h</w:instrText>
            </w:r>
            <w:r>
              <w:rPr>
                <w:webHidden/>
              </w:rPr>
              <w:fldChar w:fldCharType="separate"/>
            </w:r>
            <w:r>
              <w:rPr>
                <w:rStyle w:val="IndexLink"/>
                <w:vanish w:val="false"/>
              </w:rPr>
              <w:tab/>
              <w:t>238</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37">
            <w:r>
              <w:rPr>
                <w:rStyle w:val="IndexLink"/>
                <w:webHidden/>
              </w:rPr>
              <w:t>D.5 Compatibilidade com orientações de dimensionamento</w:t>
            </w:r>
            <w:r>
              <w:rPr>
                <w:webHidden/>
              </w:rPr>
              <w:fldChar w:fldCharType="begin"/>
            </w:r>
            <w:r>
              <w:rPr>
                <w:webHidden/>
              </w:rPr>
              <w:instrText xml:space="preserve">PAGEREF _Toc235565137 \h</w:instrText>
            </w:r>
            <w:r>
              <w:rPr>
                <w:webHidden/>
              </w:rPr>
              <w:fldChar w:fldCharType="separate"/>
            </w:r>
            <w:r>
              <w:rPr>
                <w:rStyle w:val="IndexLink"/>
                <w:vanish w:val="false"/>
              </w:rPr>
              <w:tab/>
              <w:t>238</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38">
            <w:r>
              <w:rPr>
                <w:rStyle w:val="IndexLink"/>
                <w:webHidden/>
              </w:rPr>
              <w:t>D.6 Limites de comparabilidade</w:t>
            </w:r>
            <w:r>
              <w:rPr>
                <w:webHidden/>
              </w:rPr>
              <w:fldChar w:fldCharType="begin"/>
            </w:r>
            <w:r>
              <w:rPr>
                <w:webHidden/>
              </w:rPr>
              <w:instrText xml:space="preserve">PAGEREF _Toc235565138 \h</w:instrText>
            </w:r>
            <w:r>
              <w:rPr>
                <w:webHidden/>
              </w:rPr>
              <w:fldChar w:fldCharType="separate"/>
            </w:r>
            <w:r>
              <w:rPr>
                <w:rStyle w:val="IndexLink"/>
                <w:vanish w:val="false"/>
              </w:rPr>
              <w:tab/>
              <w:t>239</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39">
            <w:r>
              <w:rPr>
                <w:rStyle w:val="IndexLink"/>
                <w:webHidden/>
              </w:rPr>
              <w:t>D.7 Campos que não puderam ser obtidos</w:t>
            </w:r>
            <w:r>
              <w:rPr>
                <w:webHidden/>
              </w:rPr>
              <w:fldChar w:fldCharType="begin"/>
            </w:r>
            <w:r>
              <w:rPr>
                <w:webHidden/>
              </w:rPr>
              <w:instrText xml:space="preserve">PAGEREF _Toc235565139 \h</w:instrText>
            </w:r>
            <w:r>
              <w:rPr>
                <w:webHidden/>
              </w:rPr>
              <w:fldChar w:fldCharType="separate"/>
            </w:r>
            <w:r>
              <w:rPr>
                <w:rStyle w:val="IndexLink"/>
                <w:vanish w:val="false"/>
              </w:rPr>
              <w:tab/>
              <w:t>240</w:t>
            </w:r>
            <w:r>
              <w:rPr>
                <w:webHidden/>
              </w:rPr>
              <w:fldChar w:fldCharType="end"/>
            </w:r>
          </w:hyperlink>
        </w:p>
        <w:p>
          <w:pPr>
            <w:pStyle w:val="TOC2"/>
            <w:tabs>
              <w:tab w:val="right" w:pos="8494" w:leader="none"/>
            </w:tabs>
            <w:rPr>
              <w:rFonts w:eastAsia="" w:eastAsiaTheme="minorEastAsia"/>
              <w:caps w:val="false"/>
              <w:smallCaps w:val="false"/>
              <w:sz w:val="24"/>
              <w:szCs w:val="24"/>
              <w:lang w:eastAsia="pt-PT"/>
            </w:rPr>
          </w:pPr>
          <w:hyperlink w:anchor="_Toc235565140">
            <w:r>
              <w:rPr>
                <w:rStyle w:val="IndexLink"/>
                <w:webHidden/>
              </w:rPr>
              <w:t>D.8 O que pode e não pode ser afirmado na investigação</w:t>
            </w:r>
            <w:r>
              <w:rPr>
                <w:webHidden/>
              </w:rPr>
              <w:fldChar w:fldCharType="begin"/>
            </w:r>
            <w:r>
              <w:rPr>
                <w:webHidden/>
              </w:rPr>
              <w:instrText xml:space="preserve">PAGEREF _Toc235565140 \h</w:instrText>
            </w:r>
            <w:r>
              <w:rPr>
                <w:webHidden/>
              </w:rPr>
              <w:fldChar w:fldCharType="separate"/>
            </w:r>
            <w:r>
              <w:rPr>
                <w:rStyle w:val="IndexLink"/>
                <w:vanish w:val="false"/>
              </w:rPr>
              <w:tab/>
              <w:t>240</w:t>
            </w:r>
            <w:r>
              <w:rPr>
                <w:webHidden/>
              </w:rPr>
              <w:fldChar w:fldCharType="end"/>
            </w:r>
          </w:hyperlink>
        </w:p>
        <w:p>
          <w:pPr>
            <w:pStyle w:val="Normal"/>
            <w:rPr/>
          </w:pPr>
          <w:r>
            <w:rPr/>
          </w:r>
          <w:r>
            <w:rPr/>
            <w:fldChar w:fldCharType="end"/>
          </w:r>
        </w:p>
      </w:sdtContent>
    </w:sdt>
    <w:p>
      <w:pPr>
        <w:pStyle w:val="TextoNormal-IPCA"/>
        <w:rPr/>
      </w:pPr>
      <w:r>
        <w:rPr/>
      </w:r>
    </w:p>
    <w:p>
      <w:pPr>
        <w:pStyle w:val="TextoNormal-IPCA"/>
        <w:spacing w:before="0" w:after="0"/>
        <w:rPr/>
        <w:sectPr>
          <w:headerReference w:type="default" r:id="rId51"/>
          <w:headerReference w:type="first" r:id="rId52"/>
          <w:footerReference w:type="default" r:id="rId53"/>
          <w:footerReference w:type="first" r:id="rId54"/>
          <w:type w:val="nextPage"/>
          <w:pgSz w:w="11906" w:h="16838"/>
          <w:pgMar w:left="1701" w:right="1701" w:gutter="0" w:header="709" w:top="1701" w:footer="709" w:bottom="1418"/>
          <w:pgNumType w:fmt="lowerRoman"/>
          <w:formProt w:val="false"/>
          <w:textDirection w:val="lrTb"/>
          <w:docGrid w:type="default" w:linePitch="360" w:charSpace="0"/>
        </w:sectPr>
      </w:pPr>
      <w:r>
        <w:rPr/>
      </w:r>
    </w:p>
    <w:p>
      <w:pPr>
        <w:pStyle w:val="TtulosPrembulo-IPCA"/>
        <w:rPr/>
      </w:pPr>
      <w:bookmarkStart w:id="12" w:name="_Toc235564910"/>
      <w:r>
        <w:rPr/>
        <w:t>ÍNDICE DE FIGURAS</w:t>
      </w:r>
      <w:bookmarkEnd w:id="12"/>
    </w:p>
    <w:p>
      <w:pPr>
        <w:pStyle w:val="TableofFigures"/>
        <w:tabs>
          <w:tab w:val="right" w:pos="8494" w:leader="dot"/>
        </w:tabs>
        <w:rPr>
          <w:rFonts w:ascii="Aptos" w:hAnsi="Aptos" w:eastAsia="" w:asciiTheme="minorHAnsi" w:eastAsiaTheme="minorEastAsia" w:hAnsiTheme="minorHAnsi"/>
          <w:lang w:eastAsia="pt-PT"/>
        </w:rPr>
      </w:pPr>
      <w:r>
        <w:fldChar w:fldCharType="begin"/>
      </w:r>
      <w:r>
        <w:rPr>
          <w:rStyle w:val="IndexLink"/>
          <w:rFonts w:ascii="Lucida Sans Unicode" w:hAnsi="Lucida Sans Unicode" w:cs="Times New Roman"/>
          <w:b w:val="false"/>
          <w:caps w:val="false"/>
          <w:smallCaps w:val="false"/>
          <w:kern w:val="0"/>
          <w:sz w:val="20"/>
          <w:szCs w:val="20"/>
          <w:shd w:fill="auto" w:val="clear"/>
        </w:rPr>
        <w:instrText xml:space="preserve"> TOC \c "Figura" \h </w:instrText>
      </w:r>
      <w:r>
        <w:rPr>
          <w:rStyle w:val="IndexLink"/>
          <w:rFonts w:ascii="Lucida Sans Unicode" w:hAnsi="Lucida Sans Unicode" w:cs="Times New Roman"/>
          <w:b w:val="false"/>
          <w:caps w:val="false"/>
          <w:smallCaps w:val="false"/>
          <w:kern w:val="0"/>
          <w:sz w:val="20"/>
          <w:szCs w:val="20"/>
          <w:shd w:fill="auto" w:val="clear"/>
        </w:rPr>
        <w:fldChar w:fldCharType="separate"/>
      </w:r>
      <w:hyperlink w:anchor="_Toc235562495">
        <w:r>
          <w:rPr>
            <w:rStyle w:val="IndexLink"/>
            <w:rFonts w:ascii="Lucida Sans Unicode" w:hAnsi="Lucida Sans Unicode" w:cs="Times New Roman"/>
            <w:b w:val="false"/>
            <w:caps w:val="false"/>
            <w:smallCaps w:val="false"/>
            <w:kern w:val="0"/>
            <w:sz w:val="20"/>
            <w:szCs w:val="20"/>
            <w:shd w:fill="auto" w:val="clear"/>
            <w14:ligatures w14:val="none"/>
          </w:rPr>
          <w:t>Figura 1- Exemplos de próteses e dispositivos associados ao fabrico aditivo em contexto protésico</w:t>
        </w:r>
        <w:r>
          <w:rPr>
            <w:rStyle w:val="IndexLink"/>
            <w:vanish w:val="false"/>
          </w:rPr>
          <w:tab/>
        </w:r>
      </w:hyperlink>
      <w:r>
        <w:rPr/>
        <w:t>1</w:t>
      </w:r>
    </w:p>
    <w:p>
      <w:pPr>
        <w:pStyle w:val="TableofFigures"/>
        <w:tabs>
          <w:tab w:val="right" w:pos="8494" w:leader="dot"/>
        </w:tabs>
        <w:rPr>
          <w:rFonts w:ascii="Aptos" w:hAnsi="Aptos" w:eastAsia="" w:asciiTheme="minorHAnsi" w:eastAsiaTheme="minorEastAsia" w:hAnsiTheme="minorHAnsi"/>
          <w:lang w:eastAsia="pt-PT"/>
        </w:rPr>
      </w:pPr>
      <w:hyperlink w:anchor="_Toc235562496">
        <w:r>
          <w:rPr>
            <w:rStyle w:val="IndexLink"/>
          </w:rPr>
          <w:t>Figura 2— Exemplos de próteses de membro superior impressas em 3D, ilustrando diversidade tipológica e construtiva.</w:t>
        </w:r>
        <w:r>
          <w:rPr>
            <w:webHidden/>
          </w:rPr>
          <w:fldChar w:fldCharType="begin"/>
        </w:r>
        <w:r>
          <w:rPr>
            <w:webHidden/>
          </w:rPr>
          <w:instrText xml:space="preserve">PAGEREF _Toc235562496 \h</w:instrText>
        </w:r>
        <w:r>
          <w:rPr>
            <w:webHidden/>
          </w:rPr>
          <w:fldChar w:fldCharType="separate"/>
        </w:r>
        <w:r>
          <w:rPr>
            <w:rStyle w:val="IndexLink"/>
            <w:vanish w:val="false"/>
          </w:rPr>
          <w:tab/>
          <w:t>7</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497">
        <w:r>
          <w:rPr>
            <w:rStyle w:val="IndexLink"/>
          </w:rPr>
          <w:t>Figura 3 — Utilização continuada, rejeição primária e rejeição secundária de próteses numa amostra de adultos com amputação adquirida do membro superior.</w:t>
        </w:r>
        <w:r>
          <w:rPr>
            <w:webHidden/>
          </w:rPr>
          <w:fldChar w:fldCharType="begin"/>
        </w:r>
        <w:r>
          <w:rPr>
            <w:webHidden/>
          </w:rPr>
          <w:instrText xml:space="preserve">PAGEREF _Toc235562497 \h</w:instrText>
        </w:r>
        <w:r>
          <w:rPr>
            <w:webHidden/>
          </w:rPr>
          <w:fldChar w:fldCharType="separate"/>
        </w:r>
        <w:r>
          <w:rPr>
            <w:rStyle w:val="IndexLink"/>
            <w:vanish w:val="false"/>
          </w:rPr>
          <w:tab/>
          <w:t>9</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498">
        <w:r>
          <w:rPr>
            <w:rStyle w:val="IndexLink"/>
          </w:rPr>
          <w:t>Figura 4 — Comparação entre os fluxos tradicional, CAD/CAM e de fabrico aditivo na produção de dispositivos protésicos.</w:t>
        </w:r>
        <w:r>
          <w:rPr>
            <w:webHidden/>
          </w:rPr>
          <w:fldChar w:fldCharType="begin"/>
        </w:r>
        <w:r>
          <w:rPr>
            <w:webHidden/>
          </w:rPr>
          <w:instrText xml:space="preserve">PAGEREF _Toc235562498 \h</w:instrText>
        </w:r>
        <w:r>
          <w:rPr>
            <w:webHidden/>
          </w:rPr>
          <w:fldChar w:fldCharType="separate"/>
        </w:r>
        <w:r>
          <w:rPr>
            <w:rStyle w:val="IndexLink"/>
            <w:vanish w:val="false"/>
          </w:rPr>
          <w:tab/>
          <w:t>15</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499">
        <w:r>
          <w:rPr>
            <w:rStyle w:val="IndexLink"/>
          </w:rPr>
          <w:t>Figura 5 — Exemplo de configurador digital para personalização de uma prótese impressa em 3D</w:t>
        </w:r>
        <w:r>
          <w:rPr>
            <w:webHidden/>
          </w:rPr>
          <w:fldChar w:fldCharType="begin"/>
        </w:r>
        <w:r>
          <w:rPr>
            <w:webHidden/>
          </w:rPr>
          <w:instrText xml:space="preserve">PAGEREF _Toc235562499 \h</w:instrText>
        </w:r>
        <w:r>
          <w:rPr>
            <w:webHidden/>
          </w:rPr>
          <w:fldChar w:fldCharType="separate"/>
        </w:r>
        <w:r>
          <w:rPr>
            <w:rStyle w:val="IndexLink"/>
            <w:vanish w:val="false"/>
          </w:rPr>
          <w:tab/>
          <w:t>17</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00">
        <w:r>
          <w:rPr>
            <w:rStyle w:val="IndexLink"/>
          </w:rPr>
          <w:t>Figura 6 — Marcos anatómicos e medidas de referência da mão para fins de personalização</w:t>
        </w:r>
        <w:r>
          <w:rPr>
            <w:webHidden/>
          </w:rPr>
          <w:fldChar w:fldCharType="begin"/>
        </w:r>
        <w:r>
          <w:rPr>
            <w:webHidden/>
          </w:rPr>
          <w:instrText xml:space="preserve">PAGEREF _Toc235562500 \h</w:instrText>
        </w:r>
        <w:r>
          <w:rPr>
            <w:webHidden/>
          </w:rPr>
          <w:fldChar w:fldCharType="separate"/>
        </w:r>
        <w:r>
          <w:rPr>
            <w:rStyle w:val="IndexLink"/>
            <w:vanish w:val="false"/>
          </w:rPr>
          <w:tab/>
          <w:t>22</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01">
        <w:r>
          <w:rPr>
            <w:rStyle w:val="IndexLink"/>
          </w:rPr>
          <w:t>Figura 7 — Enquadramento de um fluxo de CAD apoiado por IA para desenvolvimento de produto.</w:t>
        </w:r>
        <w:r>
          <w:rPr>
            <w:webHidden/>
          </w:rPr>
          <w:fldChar w:fldCharType="begin"/>
        </w:r>
        <w:r>
          <w:rPr>
            <w:webHidden/>
          </w:rPr>
          <w:instrText xml:space="preserve">PAGEREF _Toc235562501 \h</w:instrText>
        </w:r>
        <w:r>
          <w:rPr>
            <w:webHidden/>
          </w:rPr>
          <w:fldChar w:fldCharType="separate"/>
        </w:r>
        <w:r>
          <w:rPr>
            <w:rStyle w:val="IndexLink"/>
            <w:vanish w:val="false"/>
          </w:rPr>
          <w:tab/>
          <w:t>26</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02">
        <w:r>
          <w:rPr>
            <w:rStyle w:val="IndexLink"/>
          </w:rPr>
          <w:t>Figura 8 - Modelo de processo para configurar participação em ecossistemas de inovação e cocriação</w:t>
        </w:r>
        <w:r>
          <w:rPr>
            <w:webHidden/>
          </w:rPr>
          <w:fldChar w:fldCharType="begin"/>
        </w:r>
        <w:r>
          <w:rPr>
            <w:webHidden/>
          </w:rPr>
          <w:instrText xml:space="preserve">PAGEREF _Toc235562502 \h</w:instrText>
        </w:r>
        <w:r>
          <w:rPr>
            <w:webHidden/>
          </w:rPr>
          <w:fldChar w:fldCharType="separate"/>
        </w:r>
        <w:r>
          <w:rPr>
            <w:rStyle w:val="IndexLink"/>
            <w:vanish w:val="false"/>
          </w:rPr>
          <w:tab/>
          <w:t>31</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03">
        <w:r>
          <w:rPr>
            <w:rStyle w:val="IndexLink"/>
          </w:rPr>
          <w:t>Figura 9 — Número de artigos por nível de prontidão tecnológica (TRL) e categoria de aplicação.</w:t>
        </w:r>
        <w:r>
          <w:rPr>
            <w:webHidden/>
          </w:rPr>
          <w:fldChar w:fldCharType="begin"/>
        </w:r>
        <w:r>
          <w:rPr>
            <w:webHidden/>
          </w:rPr>
          <w:instrText xml:space="preserve">PAGEREF _Toc235562503 \h</w:instrText>
        </w:r>
        <w:r>
          <w:rPr>
            <w:webHidden/>
          </w:rPr>
          <w:fldChar w:fldCharType="separate"/>
        </w:r>
        <w:r>
          <w:rPr>
            <w:rStyle w:val="IndexLink"/>
            <w:vanish w:val="false"/>
          </w:rPr>
          <w:tab/>
          <w:t>35</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04">
        <w:r>
          <w:rPr>
            <w:rStyle w:val="IndexLink"/>
          </w:rPr>
          <w:t>Figura 10 — Processo interdisciplinar de desenvolvimento de uma prótese de membro superior impressa em 3D.</w:t>
        </w:r>
        <w:r>
          <w:rPr>
            <w:webHidden/>
          </w:rPr>
          <w:fldChar w:fldCharType="begin"/>
        </w:r>
        <w:r>
          <w:rPr>
            <w:webHidden/>
          </w:rPr>
          <w:instrText xml:space="preserve">PAGEREF _Toc235562504 \h</w:instrText>
        </w:r>
        <w:r>
          <w:rPr>
            <w:webHidden/>
          </w:rPr>
          <w:fldChar w:fldCharType="separate"/>
        </w:r>
        <w:r>
          <w:rPr>
            <w:rStyle w:val="IndexLink"/>
            <w:vanish w:val="false"/>
          </w:rPr>
          <w:tab/>
          <w:t>42</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05">
        <w:r>
          <w:rPr>
            <w:rStyle w:val="IndexLink"/>
          </w:rPr>
          <w:t>Figura 11— Exemplo de recolha dimensional para ajuste de prótese impressa em 3D.</w:t>
        </w:r>
        <w:r>
          <w:rPr>
            <w:webHidden/>
          </w:rPr>
          <w:fldChar w:fldCharType="begin"/>
        </w:r>
        <w:r>
          <w:rPr>
            <w:webHidden/>
          </w:rPr>
          <w:instrText xml:space="preserve">PAGEREF _Toc235562505 \h</w:instrText>
        </w:r>
        <w:r>
          <w:rPr>
            <w:webHidden/>
          </w:rPr>
          <w:fldChar w:fldCharType="separate"/>
        </w:r>
        <w:r>
          <w:rPr>
            <w:rStyle w:val="IndexLink"/>
            <w:vanish w:val="false"/>
          </w:rPr>
          <w:tab/>
          <w:t>48</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06">
        <w:r>
          <w:rPr>
            <w:rStyle w:val="IndexLink"/>
          </w:rPr>
          <w:t>Figura 12 — Parâmetros antropométricos utilizados na modelação paramétrica de dedos protésicos.</w:t>
        </w:r>
        <w:r>
          <w:rPr>
            <w:webHidden/>
          </w:rPr>
          <w:fldChar w:fldCharType="begin"/>
        </w:r>
        <w:r>
          <w:rPr>
            <w:webHidden/>
          </w:rPr>
          <w:instrText xml:space="preserve">PAGEREF _Toc235562506 \h</w:instrText>
        </w:r>
        <w:r>
          <w:rPr>
            <w:webHidden/>
          </w:rPr>
          <w:fldChar w:fldCharType="separate"/>
        </w:r>
        <w:r>
          <w:rPr>
            <w:rStyle w:val="IndexLink"/>
            <w:vanish w:val="false"/>
          </w:rPr>
          <w:tab/>
          <w:t>52</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07">
        <w:r>
          <w:rPr>
            <w:rStyle w:val="IndexLink"/>
          </w:rPr>
          <w:t>Figura 13 — Comparação entre o escalonamento uniforme e a modelação paramétrica de dedo protésico.</w:t>
        </w:r>
        <w:r>
          <w:rPr>
            <w:webHidden/>
          </w:rPr>
          <w:fldChar w:fldCharType="begin"/>
        </w:r>
        <w:r>
          <w:rPr>
            <w:webHidden/>
          </w:rPr>
          <w:instrText xml:space="preserve">PAGEREF _Toc235562507 \h</w:instrText>
        </w:r>
        <w:r>
          <w:rPr>
            <w:webHidden/>
          </w:rPr>
          <w:fldChar w:fldCharType="separate"/>
        </w:r>
        <w:r>
          <w:rPr>
            <w:rStyle w:val="IndexLink"/>
            <w:vanish w:val="false"/>
          </w:rPr>
          <w:tab/>
          <w:t>54</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08">
        <w:r>
          <w:rPr>
            <w:rStyle w:val="IndexLink"/>
          </w:rPr>
          <w:t>Figura 14 — Relação entre modelo paramétrico digital, prototipagem e verificação de um dedo protésico.</w:t>
        </w:r>
        <w:r>
          <w:rPr>
            <w:webHidden/>
          </w:rPr>
          <w:fldChar w:fldCharType="begin"/>
        </w:r>
        <w:r>
          <w:rPr>
            <w:webHidden/>
          </w:rPr>
          <w:instrText xml:space="preserve">PAGEREF _Toc235562508 \h</w:instrText>
        </w:r>
        <w:r>
          <w:rPr>
            <w:webHidden/>
          </w:rPr>
          <w:fldChar w:fldCharType="separate"/>
        </w:r>
        <w:r>
          <w:rPr>
            <w:rStyle w:val="IndexLink"/>
            <w:vanish w:val="false"/>
          </w:rPr>
          <w:tab/>
          <w:t>60</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09">
        <w:r>
          <w:rPr>
            <w:rStyle w:val="IndexLink"/>
          </w:rPr>
          <w:t>Figura 15 — Fluxo geral de produção personalizada de próteses a partir de plataforma web – HandFab</w:t>
        </w:r>
        <w:r>
          <w:rPr>
            <w:webHidden/>
          </w:rPr>
          <w:fldChar w:fldCharType="begin"/>
        </w:r>
        <w:r>
          <w:rPr>
            <w:webHidden/>
          </w:rPr>
          <w:instrText xml:space="preserve">PAGEREF _Toc235562509 \h</w:instrText>
        </w:r>
        <w:r>
          <w:rPr>
            <w:webHidden/>
          </w:rPr>
          <w:fldChar w:fldCharType="separate"/>
        </w:r>
        <w:r>
          <w:rPr>
            <w:rStyle w:val="IndexLink"/>
            <w:vanish w:val="false"/>
          </w:rPr>
          <w:tab/>
          <w:t>73</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10">
        <w:r>
          <w:rPr>
            <w:rStyle w:val="IndexLink"/>
          </w:rPr>
          <w:t>Figura 16 — Painel de configuração dos perfis de utilizador na plataforma HandFab.</w:t>
        </w:r>
        <w:r>
          <w:rPr>
            <w:webHidden/>
          </w:rPr>
          <w:fldChar w:fldCharType="begin"/>
        </w:r>
        <w:r>
          <w:rPr>
            <w:webHidden/>
          </w:rPr>
          <w:instrText xml:space="preserve">PAGEREF _Toc235562510 \h</w:instrText>
        </w:r>
        <w:r>
          <w:rPr>
            <w:webHidden/>
          </w:rPr>
          <w:fldChar w:fldCharType="separate"/>
        </w:r>
        <w:r>
          <w:rPr>
            <w:rStyle w:val="IndexLink"/>
            <w:vanish w:val="false"/>
          </w:rPr>
          <w:tab/>
          <w:t>74</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11">
        <w:r>
          <w:rPr>
            <w:rStyle w:val="IndexLink"/>
          </w:rPr>
          <w:t>Figura 17 — Arquitetura da plataforma e fronteiras entre navegador, servidor, serviço externo de IA e preparação do fabrico.</w:t>
        </w:r>
        <w:r>
          <w:rPr>
            <w:webHidden/>
          </w:rPr>
          <w:fldChar w:fldCharType="begin"/>
        </w:r>
        <w:r>
          <w:rPr>
            <w:webHidden/>
          </w:rPr>
          <w:instrText xml:space="preserve">PAGEREF _Toc235562511 \h</w:instrText>
        </w:r>
        <w:r>
          <w:rPr>
            <w:webHidden/>
          </w:rPr>
          <w:fldChar w:fldCharType="separate"/>
        </w:r>
        <w:r>
          <w:rPr>
            <w:rStyle w:val="IndexLink"/>
            <w:vanish w:val="false"/>
          </w:rPr>
          <w:tab/>
          <w:t>76</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12">
        <w:r>
          <w:rPr>
            <w:rStyle w:val="IndexLink"/>
          </w:rPr>
          <w:t>Figura 18 — Sequência de dados e decisões desde o perfil ou descrição até à sugestão, confirmação, geração determinística e exportação.</w:t>
        </w:r>
        <w:r>
          <w:rPr>
            <w:webHidden/>
          </w:rPr>
          <w:fldChar w:fldCharType="begin"/>
        </w:r>
        <w:r>
          <w:rPr>
            <w:webHidden/>
          </w:rPr>
          <w:instrText xml:space="preserve">PAGEREF _Toc235562512 \h</w:instrText>
        </w:r>
        <w:r>
          <w:rPr>
            <w:webHidden/>
          </w:rPr>
          <w:fldChar w:fldCharType="separate"/>
        </w:r>
        <w:r>
          <w:rPr>
            <w:rStyle w:val="IndexLink"/>
            <w:vanish w:val="false"/>
          </w:rPr>
          <w:tab/>
          <w:t>77</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13">
        <w:r>
          <w:rPr>
            <w:rStyle w:val="IndexLink"/>
          </w:rPr>
          <w:t>Figura 19 — Fluxo geral de produção personalizada de próteses a partir de digitalização, CAD adaptativo e fabrico aditivo.</w:t>
        </w:r>
        <w:r>
          <w:rPr>
            <w:webHidden/>
          </w:rPr>
          <w:fldChar w:fldCharType="begin"/>
        </w:r>
        <w:r>
          <w:rPr>
            <w:webHidden/>
          </w:rPr>
          <w:instrText xml:space="preserve">PAGEREF _Toc235562513 \h</w:instrText>
        </w:r>
        <w:r>
          <w:rPr>
            <w:webHidden/>
          </w:rPr>
          <w:fldChar w:fldCharType="separate"/>
        </w:r>
        <w:r>
          <w:rPr>
            <w:rStyle w:val="IndexLink"/>
            <w:vanish w:val="false"/>
          </w:rPr>
          <w:tab/>
          <w:t>79</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14">
        <w:r>
          <w:rPr>
            <w:rStyle w:val="IndexLink"/>
          </w:rPr>
          <w:t>Figura 20 — Visualização do código OpenSCAD e da geometria correspondente na plataforma HandFab.</w:t>
        </w:r>
        <w:r>
          <w:rPr>
            <w:webHidden/>
          </w:rPr>
          <w:fldChar w:fldCharType="begin"/>
        </w:r>
        <w:r>
          <w:rPr>
            <w:webHidden/>
          </w:rPr>
          <w:instrText xml:space="preserve">PAGEREF _Toc235562514 \h</w:instrText>
        </w:r>
        <w:r>
          <w:rPr>
            <w:webHidden/>
          </w:rPr>
          <w:fldChar w:fldCharType="separate"/>
        </w:r>
        <w:r>
          <w:rPr>
            <w:rStyle w:val="IndexLink"/>
            <w:vanish w:val="false"/>
          </w:rPr>
          <w:tab/>
          <w:t>82</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15">
        <w:r>
          <w:rPr>
            <w:rStyle w:val="IndexLink"/>
          </w:rPr>
          <w:t>Figura 21 — Ferramenta paramétrica para configuração de ajudas técnicas com variação de dimensões, materiais e peso.</w:t>
        </w:r>
        <w:r>
          <w:rPr>
            <w:webHidden/>
          </w:rPr>
          <w:fldChar w:fldCharType="begin"/>
        </w:r>
        <w:r>
          <w:rPr>
            <w:webHidden/>
          </w:rPr>
          <w:instrText xml:space="preserve">PAGEREF _Toc235562515 \h</w:instrText>
        </w:r>
        <w:r>
          <w:rPr>
            <w:webHidden/>
          </w:rPr>
          <w:fldChar w:fldCharType="separate"/>
        </w:r>
        <w:r>
          <w:rPr>
            <w:rStyle w:val="IndexLink"/>
            <w:vanish w:val="false"/>
          </w:rPr>
          <w:tab/>
          <w:t>83</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16">
        <w:r>
          <w:rPr>
            <w:rStyle w:val="IndexLink"/>
          </w:rPr>
          <w:t>Figura 22 — Interface de seleção, configuração paramétrica e materiais da plataforma HandFab.</w:t>
        </w:r>
        <w:r>
          <w:rPr>
            <w:webHidden/>
          </w:rPr>
          <w:fldChar w:fldCharType="begin"/>
        </w:r>
        <w:r>
          <w:rPr>
            <w:webHidden/>
          </w:rPr>
          <w:instrText xml:space="preserve">PAGEREF _Toc235562516 \h</w:instrText>
        </w:r>
        <w:r>
          <w:rPr>
            <w:webHidden/>
          </w:rPr>
          <w:fldChar w:fldCharType="separate"/>
        </w:r>
        <w:r>
          <w:rPr>
            <w:rStyle w:val="IndexLink"/>
            <w:vanish w:val="false"/>
          </w:rPr>
          <w:tab/>
          <w:t>84</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17">
        <w:r>
          <w:rPr>
            <w:rStyle w:val="IndexLink"/>
          </w:rPr>
          <w:t>Figura 23 — Perfis antropométricos populacionais disponíveis na plataforma HandFab.</w:t>
        </w:r>
        <w:r>
          <w:rPr>
            <w:webHidden/>
          </w:rPr>
          <w:fldChar w:fldCharType="begin"/>
        </w:r>
        <w:r>
          <w:rPr>
            <w:webHidden/>
          </w:rPr>
          <w:instrText xml:space="preserve">PAGEREF _Toc235562517 \h</w:instrText>
        </w:r>
        <w:r>
          <w:rPr>
            <w:webHidden/>
          </w:rPr>
          <w:fldChar w:fldCharType="separate"/>
        </w:r>
        <w:r>
          <w:rPr>
            <w:rStyle w:val="IndexLink"/>
            <w:vanish w:val="false"/>
          </w:rPr>
          <w:tab/>
          <w:t>86</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18">
        <w:r>
          <w:rPr>
            <w:rStyle w:val="IndexLink"/>
          </w:rPr>
          <w:t>Figura 24 — Campos de identificação, contexto e medição para adição ou edição de perfis antropométricos na plataforma HandFab.</w:t>
        </w:r>
        <w:r>
          <w:rPr>
            <w:webHidden/>
          </w:rPr>
          <w:fldChar w:fldCharType="begin"/>
        </w:r>
        <w:r>
          <w:rPr>
            <w:webHidden/>
          </w:rPr>
          <w:instrText xml:space="preserve">PAGEREF _Toc235562518 \h</w:instrText>
        </w:r>
        <w:r>
          <w:rPr>
            <w:webHidden/>
          </w:rPr>
          <w:fldChar w:fldCharType="separate"/>
        </w:r>
        <w:r>
          <w:rPr>
            <w:rStyle w:val="IndexLink"/>
            <w:vanish w:val="false"/>
          </w:rPr>
          <w:tab/>
          <w:t>87</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19">
        <w:r>
          <w:rPr>
            <w:rStyle w:val="IndexLink"/>
          </w:rPr>
          <w:t>Figura 25 — Relação entre desafios de compreensão das decisões e princípios de IA responsável.</w:t>
        </w:r>
        <w:r>
          <w:rPr>
            <w:webHidden/>
          </w:rPr>
          <w:fldChar w:fldCharType="begin"/>
        </w:r>
        <w:r>
          <w:rPr>
            <w:webHidden/>
          </w:rPr>
          <w:instrText xml:space="preserve">PAGEREF _Toc235562519 \h</w:instrText>
        </w:r>
        <w:r>
          <w:rPr>
            <w:webHidden/>
          </w:rPr>
          <w:fldChar w:fldCharType="separate"/>
        </w:r>
        <w:r>
          <w:rPr>
            <w:rStyle w:val="IndexLink"/>
            <w:vanish w:val="false"/>
          </w:rPr>
          <w:tab/>
          <w:t>97</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20">
        <w:r>
          <w:rPr>
            <w:rStyle w:val="IndexLink"/>
          </w:rPr>
          <w:t>Figura 26 — Exemplo publicado de teste de uma prótese impressa em 3D com um utilizador.</w:t>
        </w:r>
        <w:r>
          <w:rPr>
            <w:webHidden/>
          </w:rPr>
          <w:fldChar w:fldCharType="begin"/>
        </w:r>
        <w:r>
          <w:rPr>
            <w:webHidden/>
          </w:rPr>
          <w:instrText xml:space="preserve">PAGEREF _Toc235562520 \h</w:instrText>
        </w:r>
        <w:r>
          <w:rPr>
            <w:webHidden/>
          </w:rPr>
          <w:fldChar w:fldCharType="separate"/>
        </w:r>
        <w:r>
          <w:rPr>
            <w:rStyle w:val="IndexLink"/>
            <w:vanish w:val="false"/>
          </w:rPr>
          <w:tab/>
          <w:t>101</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21">
        <w:r>
          <w:rPr>
            <w:rStyle w:val="IndexLink"/>
          </w:rPr>
          <w:t>Figura 27 — Componentes impressos e estados preliminares de montagem: segmentos digitais articulados, palma e elementos separados. O painel documenta a materialização das geometrias e a compatibilidade visual entre componentes.</w:t>
        </w:r>
        <w:r>
          <w:rPr>
            <w:webHidden/>
          </w:rPr>
          <w:fldChar w:fldCharType="begin"/>
        </w:r>
        <w:r>
          <w:rPr>
            <w:webHidden/>
          </w:rPr>
          <w:instrText xml:space="preserve">PAGEREF _Toc235562521 \h</w:instrText>
        </w:r>
        <w:r>
          <w:rPr>
            <w:webHidden/>
          </w:rPr>
          <w:fldChar w:fldCharType="separate"/>
        </w:r>
        <w:r>
          <w:rPr>
            <w:rStyle w:val="IndexLink"/>
            <w:vanish w:val="false"/>
          </w:rPr>
          <w:tab/>
          <w:t>109</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22">
        <w:r>
          <w:rPr>
            <w:rStyle w:val="IndexLink"/>
          </w:rPr>
          <w:t>Figura 28— Séries físicas de segmentos identificados pelos perfis de ensaio de 8, 15, 28 e 70 anos. À esquerda apresenta-se a série Paraglider Hand; ao centro e à direita, duas vistas da série Flexy Beast. As diferenças visíveis documentam a variação dimensional</w:t>
        </w:r>
        <w:r>
          <w:rPr>
            <w:webHidden/>
          </w:rPr>
          <w:fldChar w:fldCharType="begin"/>
        </w:r>
        <w:r>
          <w:rPr>
            <w:webHidden/>
          </w:rPr>
          <w:instrText xml:space="preserve">PAGEREF _Toc235562522 \h</w:instrText>
        </w:r>
        <w:r>
          <w:rPr>
            <w:webHidden/>
          </w:rPr>
          <w:fldChar w:fldCharType="separate"/>
        </w:r>
        <w:r>
          <w:rPr>
            <w:rStyle w:val="IndexLink"/>
            <w:vanish w:val="false"/>
          </w:rPr>
          <w:tab/>
          <w:t>110</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23">
        <w:r>
          <w:rPr>
            <w:rStyle w:val="IndexLink"/>
          </w:rPr>
          <w:t>Figura 29— UnLimbited Phoenix configurada para o perfil de ensaio de 15 anos, apresentada em sete vistas da montagem física. As imagens documentam a reunião dos componentes e a mobilidade manual observável das articulações, sem equivaler a um protocolo de funcion</w:t>
        </w:r>
        <w:r>
          <w:rPr>
            <w:webHidden/>
          </w:rPr>
          <w:fldChar w:fldCharType="begin"/>
        </w:r>
        <w:r>
          <w:rPr>
            <w:webHidden/>
          </w:rPr>
          <w:instrText xml:space="preserve">PAGEREF _Toc235562523 \h</w:instrText>
        </w:r>
        <w:r>
          <w:rPr>
            <w:webHidden/>
          </w:rPr>
          <w:fldChar w:fldCharType="separate"/>
        </w:r>
        <w:r>
          <w:rPr>
            <w:rStyle w:val="IndexLink"/>
            <w:vanish w:val="false"/>
          </w:rPr>
          <w:tab/>
          <w:t>110</w:t>
        </w:r>
        <w:r>
          <w:rPr>
            <w:webHidden/>
          </w:rPr>
          <w:fldChar w:fldCharType="end"/>
        </w:r>
      </w:hyperlink>
      <w:r>
        <w:rPr>
          <w:rStyle w:val="IndexLink"/>
          <w:vanish w:val="false"/>
        </w:rPr>
        <w:fldChar w:fldCharType="end"/>
      </w:r>
    </w:p>
    <w:p>
      <w:pPr>
        <w:pStyle w:val="TextoNormal-IPCA"/>
        <w:ind w:hanging="0"/>
        <w:rPr>
          <w:rFonts w:ascii="Times New Roman" w:hAnsi="Times New Roman" w:cs="Times New Roman"/>
          <w:b w:val="false"/>
          <w:caps w:val="false"/>
          <w:smallCaps w:val="false"/>
          <w:sz w:val="24"/>
          <w:szCs w:val="24"/>
          <w:highlight w:val="cyan"/>
        </w:rPr>
      </w:pPr>
      <w:r>
        <w:rPr>
          <w:rFonts w:cs="Times New Roman"/>
          <w:b w:val="false"/>
          <w:caps w:val="false"/>
          <w:smallCaps w:val="false"/>
          <w:sz w:val="24"/>
          <w:szCs w:val="24"/>
          <w:highlight w:val="cyan"/>
        </w:rPr>
      </w:r>
    </w:p>
    <w:p>
      <w:pPr>
        <w:pStyle w:val="TextoNormal-IPCA"/>
        <w:rPr>
          <w:rStyle w:val="TtulodeCapaefolhaderosto-IPCACarter"/>
          <w:rFonts w:ascii="Times New Roman" w:hAnsi="Times New Roman" w:cs="Times New Roman"/>
          <w:b w:val="false"/>
          <w:caps w:val="false"/>
          <w:smallCaps w:val="false"/>
          <w:sz w:val="24"/>
          <w:szCs w:val="24"/>
          <w:highlight w:val="cyan"/>
        </w:rPr>
      </w:pPr>
      <w:r>
        <w:rPr>
          <w:rFonts w:cs="Times New Roman"/>
          <w:b w:val="false"/>
          <w:caps w:val="false"/>
          <w:smallCaps w:val="false"/>
          <w:sz w:val="24"/>
          <w:szCs w:val="24"/>
          <w:highlight w:val="cyan"/>
        </w:rPr>
      </w:r>
    </w:p>
    <w:p>
      <w:pPr>
        <w:pStyle w:val="TextoNormal-IPCA"/>
        <w:rPr>
          <w:rStyle w:val="TtulodeCapaefolhaderosto-IPCACarter"/>
          <w:rFonts w:ascii="Times New Roman" w:hAnsi="Times New Roman" w:cs="Times New Roman"/>
          <w:b w:val="false"/>
          <w:caps w:val="false"/>
          <w:smallCaps w:val="false"/>
          <w:sz w:val="24"/>
          <w:szCs w:val="24"/>
          <w:highlight w:val="cyan"/>
        </w:rPr>
      </w:pPr>
      <w:r>
        <w:rPr>
          <w:rFonts w:cs="Times New Roman"/>
          <w:b w:val="false"/>
          <w:caps w:val="false"/>
          <w:smallCaps w:val="false"/>
          <w:sz w:val="24"/>
          <w:szCs w:val="24"/>
          <w:highlight w:val="cyan"/>
        </w:rPr>
      </w:r>
    </w:p>
    <w:p>
      <w:pPr>
        <w:pStyle w:val="TextoNormal-IPCA"/>
        <w:rPr>
          <w:rStyle w:val="TtulodeCapaefolhaderosto-IPCACarter"/>
          <w:rFonts w:ascii="Times New Roman" w:hAnsi="Times New Roman" w:cs="Times New Roman"/>
          <w:b w:val="false"/>
          <w:caps w:val="false"/>
          <w:smallCaps w:val="false"/>
          <w:sz w:val="24"/>
          <w:szCs w:val="24"/>
          <w:highlight w:val="cyan"/>
        </w:rPr>
      </w:pPr>
      <w:r>
        <w:rPr>
          <w:rFonts w:cs="Times New Roman"/>
          <w:b w:val="false"/>
          <w:caps w:val="false"/>
          <w:smallCaps w:val="false"/>
          <w:sz w:val="24"/>
          <w:szCs w:val="24"/>
          <w:highlight w:val="cyan"/>
        </w:rPr>
      </w:r>
    </w:p>
    <w:p>
      <w:pPr>
        <w:pStyle w:val="TextoNormal-IPCA"/>
        <w:rPr>
          <w:rStyle w:val="TtulodeCapaefolhaderosto-IPCACarter"/>
          <w:rFonts w:ascii="Times New Roman" w:hAnsi="Times New Roman" w:cs="Times New Roman"/>
          <w:b w:val="false"/>
          <w:caps w:val="false"/>
          <w:smallCaps w:val="false"/>
          <w:sz w:val="24"/>
          <w:szCs w:val="24"/>
          <w:highlight w:val="cyan"/>
        </w:rPr>
      </w:pPr>
      <w:r>
        <w:rPr>
          <w:rFonts w:cs="Times New Roman"/>
          <w:b w:val="false"/>
          <w:caps w:val="false"/>
          <w:smallCaps w:val="false"/>
          <w:sz w:val="24"/>
          <w:szCs w:val="24"/>
          <w:highlight w:val="cyan"/>
        </w:rPr>
      </w:r>
    </w:p>
    <w:p>
      <w:pPr>
        <w:pStyle w:val="TtulosPrembulo-IPCA"/>
        <w:rPr/>
      </w:pPr>
      <w:r>
        <w:rPr/>
        <w:br/>
      </w:r>
    </w:p>
    <w:p>
      <w:pPr>
        <w:pStyle w:val="Normal"/>
        <w:rPr>
          <w:rFonts w:ascii="Arial" w:hAnsi="Arial" w:eastAsia="" w:cs="Times New Roman (Cabeçalho CS)" w:eastAsiaTheme="majorEastAsia"/>
          <w:b/>
          <w:bCs/>
          <w:kern w:val="0"/>
          <w:szCs w:val="32"/>
          <w14:ligatures w14:val="none"/>
        </w:rPr>
      </w:pPr>
      <w:r>
        <w:rPr>
          <w:rFonts w:eastAsia="" w:cs="Times New Roman (Cabeçalho CS)" w:eastAsiaTheme="majorEastAsia" w:ascii="Arial" w:hAnsi="Arial"/>
          <w:b/>
          <w:bCs/>
          <w:kern w:val="0"/>
          <w:szCs w:val="32"/>
          <w14:ligatures w14:val="none"/>
        </w:rPr>
      </w:r>
      <w:r>
        <w:br w:type="page"/>
      </w:r>
    </w:p>
    <w:p>
      <w:pPr>
        <w:pStyle w:val="TtulosPrembulo-IPCA"/>
        <w:spacing w:before="0" w:after="120"/>
        <w:contextualSpacing/>
        <w:rPr/>
      </w:pPr>
      <w:bookmarkStart w:id="13" w:name="_Toc235564911"/>
      <w:r>
        <w:rPr/>
        <w:t>ÍNDICE DE TABELAS</w:t>
      </w:r>
      <w:bookmarkEnd w:id="13"/>
    </w:p>
    <w:p>
      <w:pPr>
        <w:pStyle w:val="TextoNormal-IPCA"/>
        <w:rPr/>
      </w:pPr>
      <w:r>
        <w:rPr/>
      </w:r>
    </w:p>
    <w:p>
      <w:pPr>
        <w:pStyle w:val="TableofFigures"/>
        <w:tabs>
          <w:tab w:val="right" w:pos="8494" w:leader="dot"/>
        </w:tabs>
        <w:rPr>
          <w:rFonts w:ascii="Aptos" w:hAnsi="Aptos" w:eastAsia="" w:asciiTheme="minorHAnsi" w:eastAsiaTheme="minorEastAsia" w:hAnsiTheme="minorHAnsi"/>
          <w:lang w:eastAsia="pt-PT"/>
        </w:rPr>
      </w:pPr>
      <w:r>
        <w:fldChar w:fldCharType="begin"/>
      </w:r>
      <w:r>
        <w:rPr>
          <w:rStyle w:val="IndexLink"/>
        </w:rPr>
        <w:instrText xml:space="preserve"> TOC \c "Tabela" \h </w:instrText>
      </w:r>
      <w:r>
        <w:rPr>
          <w:rStyle w:val="IndexLink"/>
        </w:rPr>
        <w:fldChar w:fldCharType="separate"/>
      </w:r>
      <w:hyperlink w:anchor="_Toc235562525">
        <w:r>
          <w:rPr>
            <w:rStyle w:val="IndexLink"/>
          </w:rPr>
          <w:t>Tabela 1— Papéis dos profissionais de saúde no desenvolvimento de dispositivos médicos</w:t>
        </w:r>
        <w:r>
          <w:rPr>
            <w:webHidden/>
          </w:rPr>
          <w:fldChar w:fldCharType="begin"/>
        </w:r>
        <w:r>
          <w:rPr>
            <w:webHidden/>
          </w:rPr>
          <w:instrText xml:space="preserve">PAGEREF _Toc235562525 \h</w:instrText>
        </w:r>
        <w:r>
          <w:rPr>
            <w:webHidden/>
          </w:rPr>
          <w:fldChar w:fldCharType="separate"/>
        </w:r>
        <w:r>
          <w:rPr>
            <w:rStyle w:val="IndexLink"/>
            <w:vanish w:val="false"/>
          </w:rPr>
          <w:tab/>
          <w:t>11</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26">
        <w:r>
          <w:rPr>
            <w:rStyle w:val="IndexLink"/>
          </w:rPr>
          <w:t>Tabela 2— Elementos centrais na configuração da participação em sistemas configuráveis</w:t>
        </w:r>
        <w:r>
          <w:rPr>
            <w:webHidden/>
          </w:rPr>
          <w:fldChar w:fldCharType="begin"/>
        </w:r>
        <w:r>
          <w:rPr>
            <w:webHidden/>
          </w:rPr>
          <w:instrText xml:space="preserve">PAGEREF _Toc235562526 \h</w:instrText>
        </w:r>
        <w:r>
          <w:rPr>
            <w:webHidden/>
          </w:rPr>
          <w:fldChar w:fldCharType="separate"/>
        </w:r>
        <w:r>
          <w:rPr>
            <w:rStyle w:val="IndexLink"/>
            <w:vanish w:val="false"/>
          </w:rPr>
          <w:tab/>
          <w:t>31</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27">
        <w:r>
          <w:rPr>
            <w:rStyle w:val="IndexLink"/>
          </w:rPr>
          <w:t>Tabela 3 — Correspondência entre lacunas do estado da arte, resposta da investigação e limites de avaliação</w:t>
        </w:r>
        <w:r>
          <w:rPr>
            <w:webHidden/>
          </w:rPr>
          <w:fldChar w:fldCharType="begin"/>
        </w:r>
        <w:r>
          <w:rPr>
            <w:webHidden/>
          </w:rPr>
          <w:instrText xml:space="preserve">PAGEREF _Toc235562527 \h</w:instrText>
        </w:r>
        <w:r>
          <w:rPr>
            <w:webHidden/>
          </w:rPr>
          <w:fldChar w:fldCharType="separate"/>
        </w:r>
        <w:r>
          <w:rPr>
            <w:rStyle w:val="IndexLink"/>
            <w:vanish w:val="false"/>
          </w:rPr>
          <w:tab/>
          <w:t>39</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RTDTable4">
        <w:r>
          <w:rPr>
            <w:rStyle w:val="IndexLink"/>
          </w:rPr>
          <w:t>Tabela 4 — Ciclos de Research Through Design documentados no desenvolvimento</w:t>
        </w:r>
        <w:r>
          <w:rPr>
            <w:webHidden/>
          </w:rPr>
          <w:fldChar w:fldCharType="begin"/>
        </w:r>
        <w:r>
          <w:rPr>
            <w:webHidden/>
          </w:rPr>
          <w:instrText xml:space="preserve">PAGEREF _TocRTDTable4 \h</w:instrText>
        </w:r>
        <w:r>
          <w:rPr>
            <w:webHidden/>
          </w:rPr>
          <w:fldChar w:fldCharType="separate"/>
        </w:r>
        <w:r>
          <w:rPr>
            <w:rStyle w:val="IndexLink"/>
            <w:vanish w:val="false"/>
          </w:rPr>
          <w:tab/>
          <w:t>41</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28">
        <w:r>
          <w:rPr>
            <w:rStyle w:val="IndexLink"/>
          </w:rPr>
          <w:t>Tabela 5 — Correspondência entre perguntas, atividades, evidência e limites</w:t>
        </w:r>
        <w:r>
          <w:rPr>
            <w:webHidden/>
          </w:rPr>
          <w:fldChar w:fldCharType="begin"/>
        </w:r>
        <w:r>
          <w:rPr>
            <w:webHidden/>
          </w:rPr>
          <w:instrText xml:space="preserve">PAGEREF _Toc235562528 \h</w:instrText>
        </w:r>
        <w:r>
          <w:rPr>
            <w:webHidden/>
          </w:rPr>
          <w:fldChar w:fldCharType="separate"/>
        </w:r>
        <w:r>
          <w:rPr>
            <w:rStyle w:val="IndexLink"/>
            <w:vanish w:val="false"/>
          </w:rPr>
          <w:tab/>
          <w:t>43</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29">
        <w:r>
          <w:rPr>
            <w:rStyle w:val="IndexLink"/>
          </w:rPr>
          <w:t>Tabela 6 — Métodos, unidades de análise, critérios e localização dos resultados</w:t>
        </w:r>
        <w:r>
          <w:rPr>
            <w:webHidden/>
          </w:rPr>
          <w:fldChar w:fldCharType="begin"/>
        </w:r>
        <w:r>
          <w:rPr>
            <w:webHidden/>
          </w:rPr>
          <w:instrText xml:space="preserve">PAGEREF _Toc235562529 \h</w:instrText>
        </w:r>
        <w:r>
          <w:rPr>
            <w:webHidden/>
          </w:rPr>
          <w:fldChar w:fldCharType="separate"/>
        </w:r>
        <w:r>
          <w:rPr>
            <w:rStyle w:val="IndexLink"/>
            <w:vanish w:val="false"/>
          </w:rPr>
          <w:tab/>
          <w:t>45</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30">
        <w:r>
          <w:rPr>
            <w:rStyle w:val="IndexLink"/>
          </w:rPr>
          <w:t>Tabela 7 — Principais parâmetros antropométricos da mão e do membro superior relevantes para modelação paramétrica</w:t>
        </w:r>
        <w:r>
          <w:rPr>
            <w:webHidden/>
          </w:rPr>
          <w:fldChar w:fldCharType="begin"/>
        </w:r>
        <w:r>
          <w:rPr>
            <w:webHidden/>
          </w:rPr>
          <w:instrText xml:space="preserve">PAGEREF _Toc235562530 \h</w:instrText>
        </w:r>
        <w:r>
          <w:rPr>
            <w:webHidden/>
          </w:rPr>
          <w:fldChar w:fldCharType="separate"/>
        </w:r>
        <w:r>
          <w:rPr>
            <w:rStyle w:val="IndexLink"/>
            <w:vanish w:val="false"/>
          </w:rPr>
          <w:tab/>
          <w:t>52</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31">
        <w:r>
          <w:rPr>
            <w:rStyle w:val="IndexLink"/>
          </w:rPr>
          <w:t>Tabela 8— Conjuntos mínimos de parâmetros por nível de amputação</w:t>
        </w:r>
        <w:r>
          <w:rPr>
            <w:webHidden/>
          </w:rPr>
          <w:fldChar w:fldCharType="begin"/>
        </w:r>
        <w:r>
          <w:rPr>
            <w:webHidden/>
          </w:rPr>
          <w:instrText xml:space="preserve">PAGEREF _Toc235562531 \h</w:instrText>
        </w:r>
        <w:r>
          <w:rPr>
            <w:webHidden/>
          </w:rPr>
          <w:fldChar w:fldCharType="separate"/>
        </w:r>
        <w:r>
          <w:rPr>
            <w:rStyle w:val="IndexLink"/>
            <w:vanish w:val="false"/>
          </w:rPr>
          <w:tab/>
          <w:t>53</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32">
        <w:r>
          <w:rPr>
            <w:rStyle w:val="IndexLink"/>
          </w:rPr>
          <w:t>Tabela 9 — Métodos de recolha de dados antropométricos e suas características</w:t>
        </w:r>
        <w:r>
          <w:rPr>
            <w:webHidden/>
          </w:rPr>
          <w:fldChar w:fldCharType="begin"/>
        </w:r>
        <w:r>
          <w:rPr>
            <w:webHidden/>
          </w:rPr>
          <w:instrText xml:space="preserve">PAGEREF _Toc235562532 \h</w:instrText>
        </w:r>
        <w:r>
          <w:rPr>
            <w:webHidden/>
          </w:rPr>
          <w:fldChar w:fldCharType="separate"/>
        </w:r>
        <w:r>
          <w:rPr>
            <w:rStyle w:val="IndexLink"/>
            <w:vanish w:val="false"/>
          </w:rPr>
          <w:tab/>
          <w:t>55</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33">
        <w:r>
          <w:rPr>
            <w:rStyle w:val="IndexLink"/>
          </w:rPr>
          <w:t>Tabela 10— Funções e limites da base antropométrica na configuração</w:t>
        </w:r>
        <w:r>
          <w:rPr>
            <w:webHidden/>
          </w:rPr>
          <w:fldChar w:fldCharType="begin"/>
        </w:r>
        <w:r>
          <w:rPr>
            <w:webHidden/>
          </w:rPr>
          <w:instrText xml:space="preserve">PAGEREF _Toc235562533 \h</w:instrText>
        </w:r>
        <w:r>
          <w:rPr>
            <w:webHidden/>
          </w:rPr>
          <w:fldChar w:fldCharType="separate"/>
        </w:r>
        <w:r>
          <w:rPr>
            <w:rStyle w:val="IndexLink"/>
            <w:vanish w:val="false"/>
          </w:rPr>
          <w:tab/>
          <w:t>55</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34">
        <w:r>
          <w:rPr>
            <w:rStyle w:val="IndexLink"/>
          </w:rPr>
          <w:t>Tabela 11 — Estrutura hierárquica dos parâmetros no modelo paramétrico</w:t>
        </w:r>
        <w:r>
          <w:rPr>
            <w:webHidden/>
          </w:rPr>
          <w:fldChar w:fldCharType="begin"/>
        </w:r>
        <w:r>
          <w:rPr>
            <w:webHidden/>
          </w:rPr>
          <w:instrText xml:space="preserve">PAGEREF _Toc235562534 \h</w:instrText>
        </w:r>
        <w:r>
          <w:rPr>
            <w:webHidden/>
          </w:rPr>
          <w:fldChar w:fldCharType="separate"/>
        </w:r>
        <w:r>
          <w:rPr>
            <w:rStyle w:val="IndexLink"/>
            <w:vanish w:val="false"/>
          </w:rPr>
          <w:tab/>
          <w:t>57</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35">
        <w:r>
          <w:rPr>
            <w:rStyle w:val="IndexLink"/>
          </w:rPr>
          <w:t>Tabela 12— Mapeamento entre parâmetros antropométricos e elementos do modelo</w:t>
        </w:r>
        <w:r>
          <w:rPr>
            <w:webHidden/>
          </w:rPr>
          <w:fldChar w:fldCharType="begin"/>
        </w:r>
        <w:r>
          <w:rPr>
            <w:webHidden/>
          </w:rPr>
          <w:instrText xml:space="preserve">PAGEREF _Toc235562535 \h</w:instrText>
        </w:r>
        <w:r>
          <w:rPr>
            <w:webHidden/>
          </w:rPr>
          <w:fldChar w:fldCharType="separate"/>
        </w:r>
        <w:r>
          <w:rPr>
            <w:rStyle w:val="IndexLink"/>
            <w:vanish w:val="false"/>
          </w:rPr>
          <w:tab/>
          <w:t>59</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36">
        <w:r>
          <w:rPr>
            <w:rStyle w:val="IndexLink"/>
          </w:rPr>
          <w:t>Tabela 13 — Estrutura técnica em camadas de um modelo paramétrico em OpenSCAD para próteses personalizadas</w:t>
        </w:r>
        <w:r>
          <w:rPr>
            <w:webHidden/>
          </w:rPr>
          <w:fldChar w:fldCharType="begin"/>
        </w:r>
        <w:r>
          <w:rPr>
            <w:webHidden/>
          </w:rPr>
          <w:instrText xml:space="preserve">PAGEREF _Toc235562536 \h</w:instrText>
        </w:r>
        <w:r>
          <w:rPr>
            <w:webHidden/>
          </w:rPr>
          <w:fldChar w:fldCharType="separate"/>
        </w:r>
        <w:r>
          <w:rPr>
            <w:rStyle w:val="IndexLink"/>
            <w:vanish w:val="false"/>
          </w:rPr>
          <w:tab/>
          <w:t>61</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37">
        <w:r>
          <w:rPr>
            <w:rStyle w:val="IndexLink"/>
          </w:rPr>
          <w:t>Tabela 14 — Síntese das relações implementadas e respetivas limitações</w:t>
        </w:r>
        <w:r>
          <w:rPr>
            <w:webHidden/>
          </w:rPr>
          <w:fldChar w:fldCharType="begin"/>
        </w:r>
        <w:r>
          <w:rPr>
            <w:webHidden/>
          </w:rPr>
          <w:instrText xml:space="preserve">PAGEREF _Toc235562537 \h</w:instrText>
        </w:r>
        <w:r>
          <w:rPr>
            <w:webHidden/>
          </w:rPr>
          <w:fldChar w:fldCharType="separate"/>
        </w:r>
        <w:r>
          <w:rPr>
            <w:rStyle w:val="IndexLink"/>
            <w:vanish w:val="false"/>
          </w:rPr>
          <w:tab/>
          <w:t>63</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38">
        <w:r>
          <w:rPr>
            <w:rStyle w:val="IndexLink"/>
          </w:rPr>
          <w:t>Tabela 15 — Dicionário operacional dos parâmetros numéricos dos modelos avaliados</w:t>
        </w:r>
        <w:r>
          <w:rPr>
            <w:webHidden/>
          </w:rPr>
          <w:fldChar w:fldCharType="begin"/>
        </w:r>
        <w:r>
          <w:rPr>
            <w:webHidden/>
          </w:rPr>
          <w:instrText xml:space="preserve">PAGEREF _Toc235562538 \h</w:instrText>
        </w:r>
        <w:r>
          <w:rPr>
            <w:webHidden/>
          </w:rPr>
          <w:fldChar w:fldCharType="separate"/>
        </w:r>
        <w:r>
          <w:rPr>
            <w:rStyle w:val="IndexLink"/>
            <w:vanish w:val="false"/>
          </w:rPr>
          <w:tab/>
          <w:t>65</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39">
        <w:r>
          <w:rPr>
            <w:rStyle w:val="IndexLink"/>
          </w:rPr>
          <w:t>Tabela 16 — Exemplo da transformação das medidas antropométricas em geometria digital no Flexy Beast</w:t>
        </w:r>
        <w:r>
          <w:rPr>
            <w:webHidden/>
          </w:rPr>
          <w:fldChar w:fldCharType="begin"/>
        </w:r>
        <w:r>
          <w:rPr>
            <w:webHidden/>
          </w:rPr>
          <w:instrText xml:space="preserve">PAGEREF _Toc235562539 \h</w:instrText>
        </w:r>
        <w:r>
          <w:rPr>
            <w:webHidden/>
          </w:rPr>
          <w:fldChar w:fldCharType="separate"/>
        </w:r>
        <w:r>
          <w:rPr>
            <w:rStyle w:val="IndexLink"/>
            <w:vanish w:val="false"/>
          </w:rPr>
          <w:tab/>
          <w:t>68</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40">
        <w:r>
          <w:rPr>
            <w:rStyle w:val="IndexLink"/>
          </w:rPr>
          <w:t>Tabela 17 — Cronologia das principais iterações paramétricas</w:t>
        </w:r>
        <w:r>
          <w:rPr>
            <w:webHidden/>
          </w:rPr>
          <w:fldChar w:fldCharType="begin"/>
        </w:r>
        <w:r>
          <w:rPr>
            <w:webHidden/>
          </w:rPr>
          <w:instrText xml:space="preserve">PAGEREF _Toc235562540 \h</w:instrText>
        </w:r>
        <w:r>
          <w:rPr>
            <w:webHidden/>
          </w:rPr>
          <w:fldChar w:fldCharType="separate"/>
        </w:r>
        <w:r>
          <w:rPr>
            <w:rStyle w:val="IndexLink"/>
            <w:vanish w:val="false"/>
          </w:rPr>
          <w:tab/>
          <w:t>70</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41">
        <w:r>
          <w:rPr>
            <w:rStyle w:val="IndexLink"/>
          </w:rPr>
          <w:t>Tabela 18— Fluxo de dados e responsabilidades da plataforma</w:t>
        </w:r>
        <w:r>
          <w:rPr>
            <w:webHidden/>
          </w:rPr>
          <w:fldChar w:fldCharType="begin"/>
        </w:r>
        <w:r>
          <w:rPr>
            <w:webHidden/>
          </w:rPr>
          <w:instrText xml:space="preserve">PAGEREF _Toc235562541 \h</w:instrText>
        </w:r>
        <w:r>
          <w:rPr>
            <w:webHidden/>
          </w:rPr>
          <w:fldChar w:fldCharType="separate"/>
        </w:r>
        <w:r>
          <w:rPr>
            <w:rStyle w:val="IndexLink"/>
            <w:vanish w:val="false"/>
          </w:rPr>
          <w:tab/>
          <w:t>75</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42">
        <w:r>
          <w:rPr>
            <w:rStyle w:val="IndexLink"/>
          </w:rPr>
          <w:t>Tabela 19— Componentes, estados e limites do protótipo examinado</w:t>
        </w:r>
        <w:r>
          <w:rPr>
            <w:webHidden/>
          </w:rPr>
          <w:fldChar w:fldCharType="begin"/>
        </w:r>
        <w:r>
          <w:rPr>
            <w:webHidden/>
          </w:rPr>
          <w:instrText xml:space="preserve">PAGEREF _Toc235562542 \h</w:instrText>
        </w:r>
        <w:r>
          <w:rPr>
            <w:webHidden/>
          </w:rPr>
          <w:fldChar w:fldCharType="separate"/>
        </w:r>
        <w:r>
          <w:rPr>
            <w:rStyle w:val="IndexLink"/>
            <w:vanish w:val="false"/>
          </w:rPr>
          <w:tab/>
          <w:t>77</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43">
        <w:r>
          <w:rPr>
            <w:rStyle w:val="IndexLink"/>
          </w:rPr>
          <w:t>Tabela 20 — Modelos integrados na plataforma e respetiva avaliação</w:t>
        </w:r>
        <w:r>
          <w:rPr>
            <w:webHidden/>
          </w:rPr>
          <w:fldChar w:fldCharType="begin"/>
        </w:r>
        <w:r>
          <w:rPr>
            <w:webHidden/>
          </w:rPr>
          <w:instrText xml:space="preserve">PAGEREF _Toc235562543 \h</w:instrText>
        </w:r>
        <w:r>
          <w:rPr>
            <w:webHidden/>
          </w:rPr>
          <w:fldChar w:fldCharType="separate"/>
        </w:r>
        <w:r>
          <w:rPr>
            <w:rStyle w:val="IndexLink"/>
            <w:vanish w:val="false"/>
          </w:rPr>
          <w:tab/>
          <w:t>88</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44">
        <w:r>
          <w:rPr>
            <w:rStyle w:val="IndexLink"/>
          </w:rPr>
          <w:t>Tabela 21 — Especificação técnica dos modelos de IA e da estrutura da sugestão paramétrica</w:t>
        </w:r>
        <w:r>
          <w:rPr>
            <w:webHidden/>
          </w:rPr>
          <w:fldChar w:fldCharType="begin"/>
        </w:r>
        <w:r>
          <w:rPr>
            <w:webHidden/>
          </w:rPr>
          <w:instrText xml:space="preserve">PAGEREF _Toc235562544 \h</w:instrText>
        </w:r>
        <w:r>
          <w:rPr>
            <w:webHidden/>
          </w:rPr>
          <w:fldChar w:fldCharType="separate"/>
        </w:r>
        <w:r>
          <w:rPr>
            <w:rStyle w:val="IndexLink"/>
            <w:vanish w:val="false"/>
          </w:rPr>
          <w:tab/>
          <w:t>93</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45">
        <w:r>
          <w:rPr>
            <w:rStyle w:val="IndexLink"/>
          </w:rPr>
          <w:t>Tabela 22 — Distribuição de tarefas entre regras, IA e supervisão humana</w:t>
        </w:r>
        <w:r>
          <w:rPr>
            <w:webHidden/>
          </w:rPr>
          <w:fldChar w:fldCharType="begin"/>
        </w:r>
        <w:r>
          <w:rPr>
            <w:webHidden/>
          </w:rPr>
          <w:instrText xml:space="preserve">PAGEREF _Toc235562545 \h</w:instrText>
        </w:r>
        <w:r>
          <w:rPr>
            <w:webHidden/>
          </w:rPr>
          <w:fldChar w:fldCharType="separate"/>
        </w:r>
        <w:r>
          <w:rPr>
            <w:rStyle w:val="IndexLink"/>
            <w:vanish w:val="false"/>
          </w:rPr>
          <w:tab/>
          <w:t>95</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46">
        <w:r>
          <w:rPr>
            <w:rStyle w:val="IndexLink"/>
          </w:rPr>
          <w:t>Tabela 23 — Evidência do funcionamento da plataforma no processo de projeto</w:t>
        </w:r>
        <w:r>
          <w:rPr>
            <w:webHidden/>
          </w:rPr>
          <w:fldChar w:fldCharType="begin"/>
        </w:r>
        <w:r>
          <w:rPr>
            <w:webHidden/>
          </w:rPr>
          <w:instrText xml:space="preserve">PAGEREF _Toc235562546 \h</w:instrText>
        </w:r>
        <w:r>
          <w:rPr>
            <w:webHidden/>
          </w:rPr>
          <w:fldChar w:fldCharType="separate"/>
        </w:r>
        <w:r>
          <w:rPr>
            <w:rStyle w:val="IndexLink"/>
            <w:vanish w:val="false"/>
          </w:rPr>
          <w:tab/>
          <w:t>104</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47">
        <w:r>
          <w:rPr>
            <w:rStyle w:val="IndexLink"/>
          </w:rPr>
          <w:t>Tabela 24— Projetos de preparação digital para impressão 3D com configuração analisada</w:t>
        </w:r>
        <w:r>
          <w:rPr>
            <w:webHidden/>
          </w:rPr>
          <w:fldChar w:fldCharType="begin"/>
        </w:r>
        <w:r>
          <w:rPr>
            <w:webHidden/>
          </w:rPr>
          <w:instrText xml:space="preserve">PAGEREF _Toc235562547 \h</w:instrText>
        </w:r>
        <w:r>
          <w:rPr>
            <w:webHidden/>
          </w:rPr>
          <w:fldChar w:fldCharType="separate"/>
        </w:r>
        <w:r>
          <w:rPr>
            <w:rStyle w:val="IndexLink"/>
            <w:vanish w:val="false"/>
          </w:rPr>
          <w:tab/>
          <w:t>106</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48">
        <w:r>
          <w:rPr>
            <w:rStyle w:val="IndexLink"/>
          </w:rPr>
          <w:t>Tabela 25 — Inspeção computacional das malhas geradas para um perfil antropométrico de 8 anos</w:t>
        </w:r>
        <w:r>
          <w:rPr>
            <w:webHidden/>
          </w:rPr>
          <w:fldChar w:fldCharType="begin"/>
        </w:r>
        <w:r>
          <w:rPr>
            <w:webHidden/>
          </w:rPr>
          <w:instrText xml:space="preserve">PAGEREF _Toc235562548 \h</w:instrText>
        </w:r>
        <w:r>
          <w:rPr>
            <w:webHidden/>
          </w:rPr>
          <w:fldChar w:fldCharType="separate"/>
        </w:r>
        <w:r>
          <w:rPr>
            <w:rStyle w:val="IndexLink"/>
            <w:vanish w:val="false"/>
          </w:rPr>
          <w:tab/>
          <w:t>108</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49">
        <w:r>
          <w:rPr>
            <w:rStyle w:val="IndexLink"/>
          </w:rPr>
          <w:t>Tabela 26 — Descrições submetidas nos cenários de avaliação da IA</w:t>
        </w:r>
        <w:r>
          <w:rPr>
            <w:webHidden/>
          </w:rPr>
          <w:fldChar w:fldCharType="begin"/>
        </w:r>
        <w:r>
          <w:rPr>
            <w:webHidden/>
          </w:rPr>
          <w:instrText xml:space="preserve">PAGEREF _Toc235562549 \h</w:instrText>
        </w:r>
        <w:r>
          <w:rPr>
            <w:webHidden/>
          </w:rPr>
          <w:fldChar w:fldCharType="separate"/>
        </w:r>
        <w:r>
          <w:rPr>
            <w:rStyle w:val="IndexLink"/>
            <w:vanish w:val="false"/>
          </w:rPr>
          <w:tab/>
          <w:t>111</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50">
        <w:r>
          <w:rPr>
            <w:rStyle w:val="IndexLink"/>
          </w:rPr>
          <w:t>Tabela 27 — Síntese da avaliação das sugestões de IA</w:t>
        </w:r>
        <w:r>
          <w:rPr>
            <w:webHidden/>
          </w:rPr>
          <w:fldChar w:fldCharType="begin"/>
        </w:r>
        <w:r>
          <w:rPr>
            <w:webHidden/>
          </w:rPr>
          <w:instrText xml:space="preserve">PAGEREF _Toc235562550 \h</w:instrText>
        </w:r>
        <w:r>
          <w:rPr>
            <w:webHidden/>
          </w:rPr>
          <w:fldChar w:fldCharType="separate"/>
        </w:r>
        <w:r>
          <w:rPr>
            <w:rStyle w:val="IndexLink"/>
            <w:vanish w:val="false"/>
          </w:rPr>
          <w:tab/>
          <w:t>113</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51">
        <w:r>
          <w:rPr>
            <w:rStyle w:val="IndexLink"/>
          </w:rPr>
          <w:t>Tabela 28 — Modelos e mecanismos de escala avaliados</w:t>
        </w:r>
        <w:r>
          <w:rPr>
            <w:webHidden/>
          </w:rPr>
          <w:fldChar w:fldCharType="begin"/>
        </w:r>
        <w:r>
          <w:rPr>
            <w:webHidden/>
          </w:rPr>
          <w:instrText xml:space="preserve">PAGEREF _Toc235562551 \h</w:instrText>
        </w:r>
        <w:r>
          <w:rPr>
            <w:webHidden/>
          </w:rPr>
          <w:fldChar w:fldCharType="separate"/>
        </w:r>
        <w:r>
          <w:rPr>
            <w:rStyle w:val="IndexLink"/>
            <w:vanish w:val="false"/>
          </w:rPr>
          <w:tab/>
          <w:t>115</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52">
        <w:r>
          <w:rPr>
            <w:rStyle w:val="IndexLink"/>
          </w:rPr>
          <w:t>Tabela 29 — Fator de escala da maior dimensão da palma exportada relativamente à configuração de referência</w:t>
        </w:r>
        <w:r>
          <w:rPr>
            <w:webHidden/>
          </w:rPr>
          <w:fldChar w:fldCharType="begin"/>
        </w:r>
        <w:r>
          <w:rPr>
            <w:webHidden/>
          </w:rPr>
          <w:instrText xml:space="preserve">PAGEREF _Toc235562552 \h</w:instrText>
        </w:r>
        <w:r>
          <w:rPr>
            <w:webHidden/>
          </w:rPr>
          <w:fldChar w:fldCharType="separate"/>
        </w:r>
        <w:r>
          <w:rPr>
            <w:rStyle w:val="IndexLink"/>
            <w:vanish w:val="false"/>
          </w:rPr>
          <w:tab/>
          <w:t>115</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53">
        <w:r>
          <w:rPr>
            <w:rStyle w:val="IndexLink"/>
          </w:rPr>
          <w:t>Tabela 30— Discussão dos resultados face às lacunas selecionadas do estado da arte</w:t>
        </w:r>
        <w:r>
          <w:rPr>
            <w:webHidden/>
          </w:rPr>
          <w:fldChar w:fldCharType="begin"/>
        </w:r>
        <w:r>
          <w:rPr>
            <w:webHidden/>
          </w:rPr>
          <w:instrText xml:space="preserve">PAGEREF _Toc235562553 \h</w:instrText>
        </w:r>
        <w:r>
          <w:rPr>
            <w:webHidden/>
          </w:rPr>
          <w:fldChar w:fldCharType="separate"/>
        </w:r>
        <w:r>
          <w:rPr>
            <w:rStyle w:val="IndexLink"/>
            <w:vanish w:val="false"/>
          </w:rPr>
          <w:tab/>
          <w:t>117</w:t>
        </w:r>
        <w:r>
          <w:rPr>
            <w:webHidden/>
          </w:rPr>
          <w:fldChar w:fldCharType="end"/>
        </w:r>
      </w:hyperlink>
    </w:p>
    <w:p>
      <w:pPr>
        <w:pStyle w:val="TableofFigures"/>
        <w:tabs>
          <w:tab w:val="right" w:pos="8494" w:leader="dot"/>
        </w:tabs>
        <w:rPr>
          <w:rFonts w:ascii="Aptos" w:hAnsi="Aptos" w:eastAsia="" w:asciiTheme="minorHAnsi" w:eastAsiaTheme="minorEastAsia" w:hAnsiTheme="minorHAnsi"/>
          <w:lang w:eastAsia="pt-PT"/>
        </w:rPr>
      </w:pPr>
      <w:hyperlink w:anchor="_Toc235562554">
        <w:r>
          <w:rPr>
            <w:rStyle w:val="IndexLink"/>
          </w:rPr>
          <w:t>Tabela 31 — Estado da resposta às perguntas de investigação aprovadas</w:t>
        </w:r>
        <w:r>
          <w:rPr>
            <w:webHidden/>
          </w:rPr>
          <w:fldChar w:fldCharType="begin"/>
        </w:r>
        <w:r>
          <w:rPr>
            <w:webHidden/>
          </w:rPr>
          <w:instrText xml:space="preserve">PAGEREF _Toc235562554 \h</w:instrText>
        </w:r>
        <w:r>
          <w:rPr>
            <w:webHidden/>
          </w:rPr>
          <w:fldChar w:fldCharType="separate"/>
        </w:r>
        <w:r>
          <w:rPr>
            <w:rStyle w:val="IndexLink"/>
            <w:vanish w:val="false"/>
          </w:rPr>
          <w:tab/>
          <w:t>122</w:t>
        </w:r>
        <w:r>
          <w:rPr>
            <w:webHidden/>
          </w:rPr>
          <w:fldChar w:fldCharType="end"/>
        </w:r>
      </w:hyperlink>
      <w:r>
        <w:rPr>
          <w:rStyle w:val="IndexLink"/>
          <w:vanish w:val="false"/>
        </w:rPr>
        <w:fldChar w:fldCharType="end"/>
      </w:r>
    </w:p>
    <w:p>
      <w:pPr>
        <w:pStyle w:val="TextoNormal-IPCA"/>
        <w:ind w:hanging="0"/>
        <w:rPr/>
      </w:pPr>
      <w:r>
        <w:rPr/>
      </w:r>
    </w:p>
    <w:p>
      <w:pPr>
        <w:pStyle w:val="TextoNormal-IPCA"/>
        <w:rPr/>
      </w:pPr>
      <w:r>
        <w:rPr/>
      </w:r>
    </w:p>
    <w:p>
      <w:pPr>
        <w:pStyle w:val="TextoNormal-IPCA"/>
        <w:rPr/>
      </w:pPr>
      <w:r>
        <w:rPr/>
      </w:r>
    </w:p>
    <w:p>
      <w:pPr>
        <w:pStyle w:val="TextoNormal-IPCA"/>
        <w:spacing w:before="0" w:after="0"/>
        <w:rPr/>
        <w:sectPr>
          <w:headerReference w:type="default" r:id="rId55"/>
          <w:headerReference w:type="first" r:id="rId56"/>
          <w:footerReference w:type="default" r:id="rId57"/>
          <w:footerReference w:type="first" r:id="rId58"/>
          <w:type w:val="nextPage"/>
          <w:pgSz w:w="11906" w:h="16838"/>
          <w:pgMar w:left="1701" w:right="1701" w:gutter="0" w:header="709" w:top="1701" w:footer="709" w:bottom="1418"/>
          <w:pgNumType w:fmt="lowerRoman"/>
          <w:formProt w:val="false"/>
          <w:textDirection w:val="lrTb"/>
          <w:docGrid w:type="default" w:linePitch="360" w:charSpace="0"/>
        </w:sectPr>
      </w:pPr>
      <w:r>
        <w:rPr/>
      </w:r>
    </w:p>
    <w:p>
      <w:pPr>
        <w:pStyle w:val="Heading1"/>
        <w:numPr>
          <w:ilvl w:val="0"/>
          <w:numId w:val="2"/>
        </w:numPr>
        <w:ind w:hanging="357" w:start="425"/>
        <w:rPr/>
      </w:pPr>
      <w:bookmarkStart w:id="14" w:name="_Hlk235518615"/>
      <w:bookmarkStart w:id="15" w:name="_Toc235564912"/>
      <w:r>
        <w:rPr/>
        <w:t>Introdução</w:t>
      </w:r>
      <w:bookmarkEnd w:id="14"/>
      <w:bookmarkEnd w:id="15"/>
    </w:p>
    <w:p>
      <w:pPr>
        <w:pStyle w:val="TextoNormal-IPCA"/>
        <w:keepNext w:val="true"/>
        <w:rPr/>
      </w:pPr>
      <w:r>
        <w:rPr/>
      </w:r>
    </w:p>
    <w:p>
      <w:pPr>
        <w:pStyle w:val="Heading2"/>
        <w:numPr>
          <w:ilvl w:val="0"/>
          <w:numId w:val="0"/>
        </w:numPr>
        <w:ind w:hanging="0" w:start="0"/>
        <w:rPr/>
      </w:pPr>
      <w:bookmarkStart w:id="16" w:name="_Toc235564913"/>
      <w:r>
        <w:rPr/>
        <w:t xml:space="preserve">1.1 </w:t>
      </w:r>
      <w:bookmarkStart w:id="17" w:name="_Hlk235518639"/>
      <w:r>
        <w:rPr/>
        <w:t>Enquadramento geral, contexto e motivação</w:t>
      </w:r>
      <w:bookmarkEnd w:id="16"/>
      <w:bookmarkEnd w:id="17"/>
    </w:p>
    <w:p>
      <w:pPr>
        <w:pStyle w:val="TextoNormal-IPCA"/>
        <w:keepNext w:val="true"/>
        <w:rPr/>
      </w:pPr>
      <w:r>
        <w:rPr/>
      </w:r>
    </w:p>
    <w:p>
      <w:pPr>
        <w:pStyle w:val="TextoNormal-IPCA"/>
        <w:rPr/>
      </w:pPr>
      <w:bookmarkStart w:id="18" w:name="_Hlk235518680"/>
      <w:r>
        <w:rPr/>
        <w:t>A perda de membros superiores tem impactos funcionais, sociais e simbólicos, com efeitos nas tarefas quotidianas, na participação e na identidade. Este contexto exige soluções que considerem o desempenho mecânico, o conforto, a aceitação estética e a viabilidade económica. Apesar dos avanços nos dispositivos médicos e no fabrico aditivo, persistem obstáculos associados ao custo, à adaptação anatómica e à dependência de técnicos especializados para ajustar e manter as próteses.</w:t>
      </w:r>
    </w:p>
    <w:p>
      <w:pPr>
        <w:pStyle w:val="TextoNormal-IPCA"/>
        <w:rPr/>
      </w:pPr>
      <w:r>
        <w:rPr/>
        <w:t xml:space="preserve">Nos últimos anos, a impressão 3D e as plataformas </w:t>
      </w:r>
      <w:r>
        <w:rPr>
          <w:i/>
          <w:iCs/>
        </w:rPr>
        <w:t>open source</w:t>
      </w:r>
      <w:r>
        <w:rPr/>
        <w:t xml:space="preserve"> ampliaram o acesso a dispositivos protésicos, sobretudo em contextos economicamente desfavorecidos. Muitos destes modelos assentam em geometrias fixas, ou seja, formas predefinidas sem adaptação automática, ou requerem ajustes manuais pouco padronizados. Esta condição dificulta a expansão dos modelos, a repetição documentada do procedimento e a integração consistente de dados antropométricos.</w:t>
      </w:r>
    </w:p>
    <w:p>
      <w:pPr>
        <w:pStyle w:val="TextoNormal-IPCA"/>
        <w:rPr/>
      </w:pPr>
      <w:r>
        <w:rPr/>
        <w:t>A Figura 1 apresenta visualmente este contexto ao mostrar a associação do fabrico aditivo a soluções protésicas abertas e adaptáveis. Esta leitura enquadra a motivação inicial do projeto: embora a impressão 3D amplie o campo de possibilidades, a configuração dimensional continua a exigir modelos ajustáveis, critérios explícitos e mediação no desenvolvimento do projeto.</w:t>
      </w:r>
    </w:p>
    <w:p>
      <w:pPr>
        <w:pStyle w:val="TextoNormal-IPCA"/>
        <w:keepNext w:val="true"/>
        <w:rPr/>
      </w:pPr>
      <w:r>
        <w:rPr/>
      </w:r>
    </w:p>
    <w:p>
      <w:pPr>
        <w:pStyle w:val="Normal"/>
        <w:jc w:val="center"/>
        <w:rPr/>
      </w:pPr>
      <w:r>
        <w:rPr/>
        <w:drawing>
          <wp:inline distT="0" distB="0" distL="0" distR="0">
            <wp:extent cx="4963160" cy="3408045"/>
            <wp:effectExtent l="0" t="0" r="0" b="0"/>
            <wp:docPr id="19"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0" descr="Image 1"/>
                    <pic:cNvPicPr>
                      <a:picLocks noChangeAspect="1" noChangeArrowheads="1"/>
                    </pic:cNvPicPr>
                  </pic:nvPicPr>
                  <pic:blipFill>
                    <a:blip r:embed="rId59"/>
                    <a:stretch>
                      <a:fillRect/>
                    </a:stretch>
                  </pic:blipFill>
                  <pic:spPr bwMode="auto">
                    <a:xfrm>
                      <a:off x="0" y="0"/>
                      <a:ext cx="4963160" cy="3408045"/>
                    </a:xfrm>
                    <a:prstGeom prst="rect">
                      <a:avLst/>
                    </a:prstGeom>
                    <a:noFill/>
                  </pic:spPr>
                </pic:pic>
              </a:graphicData>
            </a:graphic>
          </wp:inline>
        </w:drawing>
      </w:r>
    </w:p>
    <w:p>
      <w:pPr>
        <w:pStyle w:val="Caption"/>
        <w:rPr/>
      </w:pPr>
      <w:bookmarkStart w:id="19" w:name="_Toc235562495"/>
      <w:r>
        <w:rPr/>
        <w:t xml:space="preserve">Figura </w:t>
      </w:r>
      <w:r>
        <w:rPr/>
        <w:fldChar w:fldCharType="begin"/>
      </w:r>
      <w:r>
        <w:rPr/>
        <w:instrText xml:space="preserve"> SEQ Figura \* ARABIC </w:instrText>
      </w:r>
      <w:r>
        <w:rPr/>
        <w:fldChar w:fldCharType="separate"/>
      </w:r>
      <w:r>
        <w:rPr/>
        <w:t>1</w:t>
      </w:r>
      <w:r>
        <w:rPr/>
        <w:fldChar w:fldCharType="end"/>
      </w:r>
      <w:r>
        <w:rPr/>
        <w:t>- Exemplos de próteses e dispositivos associados ao fabrico aditivo em contexto protésico</w:t>
      </w:r>
      <w:bookmarkEnd w:id="19"/>
    </w:p>
    <w:p>
      <w:pPr>
        <w:pStyle w:val="Nota-IPCA"/>
        <w:rPr>
          <w:lang w:val="pt-PT"/>
        </w:rPr>
      </w:pPr>
      <w:r>
        <w:rPr>
          <w:lang w:val="pt-PT"/>
        </w:rPr>
        <w:t xml:space="preserve">Fonte: produção própria, a partir de imagens publicadas no sítio Enabling the Future, nas páginas Wrist Powered e Introducing the New 3D Printed Kinetic Hand Design (consultadas em 2 de julho de 2026). https://enablingthefuture.org/wrist-powered/; </w:t>
      </w:r>
      <w:hyperlink r:id="rId60">
        <w:r>
          <w:rPr>
            <w:rStyle w:val="Hyperlink"/>
            <w:lang w:val="pt-PT"/>
          </w:rPr>
          <w:t>https://enablingthefuture.org/2020/11/13/introducing-the-new-3d-printed-kinetic-hand-design/</w:t>
        </w:r>
      </w:hyperlink>
    </w:p>
    <w:p>
      <w:pPr>
        <w:pStyle w:val="TextoNormal-IPCA"/>
        <w:ind w:hanging="0"/>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consiste na definição dessas relações, a configuração corresponde à escolha de valores e a personalização individual exige dados da própria pessoa. Os perfis populacionais usados neste estudo fornecem referências iniciais, mas não equivalem a uma adaptação anatómica individual.</w:t>
      </w:r>
    </w:p>
    <w:p>
      <w:pPr>
        <w:pStyle w:val="TextoNormal-IPCA"/>
        <w:rPr/>
      </w:pPr>
      <w:r>
        <w:rPr/>
        <w:t xml:space="preserve">O </w:t>
      </w:r>
      <w:r>
        <w:rPr>
          <w:i/>
          <w:iCs/>
        </w:rPr>
        <w:t>design</w:t>
      </w:r>
      <w:r>
        <w:rPr/>
        <w:t xml:space="preserve"> industrial desempenha uma função de mediação entre a tecnologia, as decisões de projeto e a experiência humana. Esta investigação examina essa mediação através de um protótipo técnico desenvolvido e discutido segundo uma abordagem de </w:t>
      </w:r>
      <w:r>
        <w:rPr>
          <w:i/>
          <w:iCs/>
        </w:rPr>
        <w:t>Research Through Design</w:t>
      </w:r>
      <w:r>
        <w:rPr/>
        <w:t>.</w:t>
      </w:r>
      <w:bookmarkEnd w:id="18"/>
    </w:p>
    <w:p>
      <w:pPr>
        <w:pStyle w:val="TextoNormal-IPCA"/>
        <w:rPr/>
      </w:pPr>
      <w:r>
        <w:rPr/>
      </w:r>
    </w:p>
    <w:p>
      <w:pPr>
        <w:pStyle w:val="Heading2"/>
        <w:numPr>
          <w:ilvl w:val="0"/>
          <w:numId w:val="0"/>
        </w:numPr>
        <w:ind w:hanging="0" w:start="0"/>
        <w:rPr/>
      </w:pPr>
      <w:bookmarkStart w:id="20" w:name="_Hlk235519014"/>
      <w:bookmarkStart w:id="21" w:name="_Toc235564914"/>
      <w:r>
        <w:rPr/>
        <w:t>1.2 Problema de investigação</w:t>
      </w:r>
      <w:bookmarkEnd w:id="21"/>
    </w:p>
    <w:p>
      <w:pPr>
        <w:pStyle w:val="TextoNormal-IPCA"/>
        <w:keepNext w:val="true"/>
        <w:rPr/>
      </w:pPr>
      <w:r>
        <w:rPr/>
      </w:r>
    </w:p>
    <w:p>
      <w:pPr>
        <w:pStyle w:val="TextoNormal-IPCA"/>
        <w:rPr/>
      </w:pPr>
      <w:r>
        <w:rPr/>
        <w:t>Apesar da expansão do fabrico aditivo e da partilha de modelos abertos, permanece uma lacuna na articulação entre dados antropométricos, regras geométricas, configuração digital e preparação para o fabrico. Muitos modelos de próteses continuam a depender de escalonamento uniforme, ajustes manuais e conhecimento tácito, dificultando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a modelação paramétrica, as referências antropométricas, o apoio da inteligência artificial e o fabrico aditivo num fluxo técnico de configuração preliminar de modelos de próteses de membro superior. Nesse fluxo, as decisões, os limites dos modelos e a supervisão humana devem permanecer explícitos.</w:t>
      </w:r>
    </w:p>
    <w:p>
      <w:pPr>
        <w:pStyle w:val="TextoNormal-IPCA"/>
        <w:rPr/>
      </w:pPr>
      <w:r>
        <w:rPr/>
      </w:r>
    </w:p>
    <w:p>
      <w:pPr>
        <w:pStyle w:val="Heading2"/>
        <w:numPr>
          <w:ilvl w:val="0"/>
          <w:numId w:val="0"/>
        </w:numPr>
        <w:ind w:hanging="0" w:start="0"/>
        <w:rPr/>
      </w:pPr>
      <w:bookmarkStart w:id="22" w:name="_Toc235564915"/>
      <w:r>
        <w:rPr/>
        <w:t>1.3 Objetivos da investigação</w:t>
      </w:r>
      <w:bookmarkEnd w:id="22"/>
    </w:p>
    <w:p>
      <w:pPr>
        <w:pStyle w:val="TextoNormal-IPCA"/>
        <w:keepNext w:val="true"/>
        <w:rPr/>
      </w:pPr>
      <w:r>
        <w:rPr/>
      </w:r>
    </w:p>
    <w:p>
      <w:pPr>
        <w:pStyle w:val="Heading3"/>
        <w:numPr>
          <w:ilvl w:val="0"/>
          <w:numId w:val="0"/>
        </w:numPr>
        <w:ind w:hanging="0" w:start="0"/>
        <w:rPr/>
      </w:pPr>
      <w:bookmarkStart w:id="23" w:name="_Toc235564916"/>
      <w:r>
        <w:rPr/>
        <w:t>1.3.1 Objetivo geral</w:t>
      </w:r>
      <w:bookmarkEnd w:id="23"/>
    </w:p>
    <w:p>
      <w:pPr>
        <w:pStyle w:val="TextoNormal-IPCA"/>
        <w:keepNext w:val="true"/>
        <w:rPr/>
      </w:pPr>
      <w:r>
        <w:rPr/>
      </w:r>
    </w:p>
    <w:p>
      <w:pPr>
        <w:pStyle w:val="TextoNormal-IPCA"/>
        <w:rPr/>
      </w:pPr>
      <w:r>
        <w:rPr/>
        <w:t xml:space="preserve">O objetivo geral consiste em produzir conhecimento através da prática de </w:t>
      </w:r>
      <w:r>
        <w:rPr>
          <w:i/>
          <w:iCs/>
        </w:rPr>
        <w:t>design</w:t>
      </w:r>
      <w:r>
        <w:rPr/>
        <w:t>,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bookmarkStart w:id="24" w:name="_Toc235564917"/>
      <w:r>
        <w:rPr/>
        <w:t>1.3.2 Objetivos específicos</w:t>
      </w:r>
      <w:bookmarkEnd w:id="24"/>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bookmarkStart w:id="25" w:name="_Toc235564918"/>
      <w:r>
        <w:rPr/>
        <w:t>1.4 Abordagem metodológica geral</w:t>
      </w:r>
      <w:bookmarkEnd w:id="25"/>
    </w:p>
    <w:p>
      <w:pPr>
        <w:pStyle w:val="TextoNormal-IPCA"/>
        <w:keepNext w:val="true"/>
        <w:rPr/>
      </w:pPr>
      <w:r>
        <w:rPr/>
      </w:r>
    </w:p>
    <w:p>
      <w:pPr>
        <w:pStyle w:val="TextoNormal-IPCA"/>
        <w:rPr/>
      </w:pPr>
      <w:r>
        <w:rPr/>
        <w:t xml:space="preserve">O projeto adota uma metodologia aplicada, baseada em </w:t>
      </w:r>
      <w:r>
        <w:rPr>
          <w:i/>
          <w:iCs/>
        </w:rPr>
        <w:t>Research Through Design</w:t>
      </w:r>
      <w:r>
        <w:rPr/>
        <w:t xml:space="preserve">, que reconhece o ato de projetar como forma de gerar conhecimento. A metodologia compreende fases conceptual, metodológica e empírica, articuladas pelo modelo </w:t>
      </w:r>
      <w:r>
        <w:rPr>
          <w:i/>
          <w:iCs/>
        </w:rPr>
        <w:t>Double Diamond</w:t>
      </w:r>
      <w:r>
        <w:rPr/>
        <w:t xml:space="preserve"> através de ciclos iterativos de exploração, definição, desenvolvimento e avaliação.</w:t>
      </w:r>
    </w:p>
    <w:p>
      <w:pPr>
        <w:pStyle w:val="TextoNormal-IPCA"/>
        <w:rPr/>
      </w:pPr>
      <w:r>
        <w:rPr/>
        <w:t xml:space="preserve">Na fase conceptual, procede-se à revisão crítica da literatura e das plataformas, consolidando o quadro teórico e os requisitos técnicos. A fase metodológica define a arquitetura do sistema paramétrico apoiado por inteligência artificial e integra dados antropométricos e princípios de </w:t>
      </w:r>
      <w:r>
        <w:rPr>
          <w:i/>
          <w:iCs/>
        </w:rPr>
        <w:t>design</w:t>
      </w:r>
      <w:r>
        <w:rPr/>
        <w:t xml:space="preserve"> para fabrico aditivo. Na fase empírica, concretizam-se a modelação paramétrica, a produção de protótipos por impressão 3D e a avaliação técnica preliminar, sem recurso a dados pessoais nem envolvimento de participantes.</w:t>
      </w:r>
    </w:p>
    <w:p>
      <w:pPr>
        <w:pStyle w:val="TextoNormal-IPCA"/>
        <w:rPr/>
      </w:pPr>
      <w:r>
        <w:rPr/>
      </w:r>
    </w:p>
    <w:p>
      <w:pPr>
        <w:pStyle w:val="Heading2"/>
        <w:numPr>
          <w:ilvl w:val="0"/>
          <w:numId w:val="0"/>
        </w:numPr>
        <w:ind w:hanging="0" w:start="0"/>
        <w:rPr/>
      </w:pPr>
      <w:bookmarkStart w:id="26" w:name="_Toc235564919"/>
      <w:r>
        <w:rPr/>
        <w:t>1.5 Estrutura da investigação</w:t>
      </w:r>
      <w:bookmarkEnd w:id="26"/>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bookmarkStart w:id="27" w:name="_Toc235564920"/>
      <w:r>
        <w:rPr/>
        <w:t>Capítulo 2 — Enquadramento Teórico e Estado da Arte</w:t>
      </w:r>
      <w:bookmarkEnd w:id="27"/>
    </w:p>
    <w:p>
      <w:pPr>
        <w:pStyle w:val="TextoNormal-IPCA"/>
        <w:keepNext w:val="true"/>
        <w:rPr/>
      </w:pPr>
      <w:r>
        <w:rPr/>
      </w:r>
    </w:p>
    <w:p>
      <w:pPr>
        <w:pStyle w:val="Heading2"/>
        <w:numPr>
          <w:ilvl w:val="0"/>
          <w:numId w:val="0"/>
        </w:numPr>
        <w:ind w:hanging="0" w:start="0"/>
        <w:rPr/>
      </w:pPr>
      <w:bookmarkStart w:id="28" w:name="_Toc235564921"/>
      <w:r>
        <w:rPr/>
        <w:t>2.1 Prótese de membro superior e dispositivos médicos</w:t>
      </w:r>
      <w:bookmarkEnd w:id="28"/>
    </w:p>
    <w:p>
      <w:pPr>
        <w:pStyle w:val="TextoNormal-IPCA"/>
        <w:keepNext w:val="true"/>
        <w:rPr/>
      </w:pPr>
      <w:r>
        <w:rPr/>
      </w:r>
    </w:p>
    <w:p>
      <w:pPr>
        <w:pStyle w:val="TextoNormal-IPCA"/>
        <w:rPr/>
      </w:pPr>
      <w:r>
        <w:rPr/>
        <w:t xml:space="preserve">Uma prótese de membro superior é um dispositivo médico externo que substitui um segmento ausente devido a amputação ou deficiência congénita. A sua função não se limita à restituição formal: recupera funções, facilita atividades diárias, melhora a autonomia e reduz o impacto psicossocial da perda </w:t>
      </w:r>
      <w:sdt>
        <w:sdtPr>
          <w:tag w:val="MENDELEY_CITATION_v3_eyJjaXRhdGlvbklEIjoiTUVOREVMRVlfQ0lUQVRJT05fZTM4OTBmYTYtYWNhMC00OGM2LWI0MDAtNTI3ZTY5ZmQyZmE0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V9LH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1dfQ=="/>
          <w:id w:val="1011110932"/>
          <w:placeholder>
            <w:docPart w:val="DefaultPlaceholder_-1854013440"/>
          </w:placeholder>
        </w:sdtPr>
        <w:sdtContent>
          <w:r>
            <w:rPr/>
          </w:r>
          <w:r>
            <w:rPr>
              <w:rFonts w:eastAsia="Times New Roman"/>
              <w:color w:val="000000"/>
            </w:rPr>
            <w:t>(Fink &amp; Diamond, 2023; Segura et al., 2024)</w:t>
          </w:r>
        </w:sdtContent>
      </w:sdt>
      <w:r>
        <w:rPr/>
        <w:t>.</w:t>
      </w:r>
    </w:p>
    <w:p>
      <w:pPr>
        <w:pStyle w:val="TextoNormal-IPCA"/>
        <w:rPr/>
      </w:pPr>
      <w:r>
        <w:rPr/>
        <w:t>A perda total ou parcial de um membro superior tem consequências físicas, funcionais, sociais e emocionais profundas. "Perda total" refere-se à ausência completa do membro, enquanto "perda parcial" indica ausência apenas de parte dele. A mão humana reúne capacidades motoras e sensoriais complexas: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A reprodução artificial destas funções continua a constituir um desafio significativo nos dispositivos médicos e na reabilitação. O desenvolvimento e a prescrição de próteses implicam compromissos permanentes entre funcionalidade, peso, robustez, conforto, controlo intuitivo, manutenção e custo.</w:t>
      </w:r>
    </w:p>
    <w:p>
      <w:pPr>
        <w:pStyle w:val="TextoNormal-IPCA"/>
        <w:rPr/>
      </w:pPr>
      <w:r>
        <w:rPr/>
        <w:t>Nas últimas décadas, o sector evoluiu de soluções predominantemente cosméticas e mecânicas para sistemas com maior sofisticação eletromecânica, integração eletrónica e capacidade de configuração. Persistem, contudo, desafios estruturais, entre os quais o desconforto, a dificuldade de controlo, a ausência de resposta sensorial e as taxas elevadas de abandono. A tensão entre o potencial técnico e os resultados práticos é essencial para compreender o estado atual das próteses de membro superior enquanto dispositivos médicos.</w:t>
      </w:r>
    </w:p>
    <w:p>
      <w:pPr>
        <w:pStyle w:val="Heading3"/>
        <w:numPr>
          <w:ilvl w:val="0"/>
          <w:numId w:val="0"/>
        </w:numPr>
        <w:ind w:hanging="0" w:start="0"/>
        <w:rPr/>
      </w:pPr>
      <w:r>
        <w:rPr/>
      </w:r>
    </w:p>
    <w:p>
      <w:pPr>
        <w:pStyle w:val="Heading3"/>
        <w:numPr>
          <w:ilvl w:val="0"/>
          <w:numId w:val="0"/>
        </w:numPr>
        <w:ind w:hanging="0" w:start="0"/>
        <w:rPr/>
      </w:pPr>
      <w:bookmarkStart w:id="29" w:name="_Toc235564922"/>
      <w:r>
        <w:rPr/>
        <w:t>Tipologias de próteses de membro superior</w:t>
      </w:r>
      <w:bookmarkEnd w:id="29"/>
    </w:p>
    <w:p>
      <w:pPr>
        <w:pStyle w:val="TextoNormal-IPCA"/>
        <w:keepNext w:val="true"/>
        <w:rPr/>
      </w:pPr>
      <w:r>
        <w:rPr/>
      </w:r>
    </w:p>
    <w:p>
      <w:pPr>
        <w:pStyle w:val="TextoNormal-IPCA"/>
        <w:rPr/>
      </w:pPr>
      <w:r>
        <w:rPr/>
        <w:t xml:space="preserve">As próteses de membro superior podem ser classificadas de acordo com a fonte de energia e o mecanismo de controlo em quatro categorias principais: passivas (cosméticas), mecânicas acionadas pelo corpo, mioeléctricas (externamente alimentadas) e híbridas. As vantagens e limitações de cada tipo traduzem diferentes equilíbrios entre desempenho funcional, conforto, durabilidade e custo </w:t>
      </w:r>
      <w:sdt>
        <w:sdtPr>
          <w:tag w:val="MENDELEY_CITATION_v3_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"/>
          <w:id w:val="577571014"/>
          <w:placeholder>
            <w:docPart w:val="DefaultPlaceholder_-1854013440"/>
          </w:placeholder>
        </w:sdtPr>
        <w:sdtContent>
          <w:r>
            <w:rPr/>
          </w:r>
          <w:r>
            <w:rPr>
              <w:rFonts w:eastAsia="Times New Roman"/>
              <w:color w:val="000000"/>
            </w:rPr>
            <w:t>(Brack &amp; Amalu, 2021)</w:t>
          </w:r>
        </w:sdtContent>
      </w:sdt>
      <w:r>
        <w:rPr/>
        <w:t>.</w:t>
      </w:r>
    </w:p>
    <w:p>
      <w:pPr>
        <w:pStyle w:val="TextoNormal-IPCA"/>
        <w:rPr/>
      </w:pPr>
      <w:r>
        <w:rPr/>
        <w:t xml:space="preserve">As próteses passivas destinam-se a fins estéticos e ao apoio estático em tarefas simples, sem preensão ativa. Podem ser rígidas ou ajustáveis, permitindo, neste último caso, mover manualmente os dedos ou os terminais. São leves, simples e silenciosas, além de exigirem pouca manutenção. A sua utilidade funcional é limitada, pelo que são preferidas quando a estética é prioritária ou o utilizador procura um dispositivo discreto </w:t>
      </w:r>
      <w:sdt>
        <w:sdtPr>
          <w:tag w:val="MENDELEY_CITATION_v3_eyJjaXRhdGlvbklEIjoiTUVOREVMRVlfQ0lUQVRJT05fMGE0NDdmZjItM2Q3My00ZjUxLWEzNjMtZTRmZjQ3Yzg5MDkw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0s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V19"/>
          <w:id w:val="-205267701"/>
          <w:placeholder>
            <w:docPart w:val="DefaultPlaceholder_-1854013440"/>
          </w:placeholder>
        </w:sdtPr>
        <w:sdtContent>
          <w:r>
            <w:rPr/>
          </w:r>
          <w:r>
            <w:rPr>
              <w:rFonts w:eastAsia="Times New Roman"/>
              <w:color w:val="000000"/>
            </w:rPr>
            <w:t>(Fink &amp; Diamond, 2023; Segura et al., 2024)</w:t>
          </w:r>
        </w:sdtContent>
      </w:sdt>
      <w:r>
        <w:rPr/>
        <w:t>.</w:t>
      </w:r>
    </w:p>
    <w:p>
      <w:pPr>
        <w:pStyle w:val="Heading3"/>
        <w:numPr>
          <w:ilvl w:val="0"/>
          <w:numId w:val="0"/>
        </w:numPr>
        <w:ind w:hanging="0" w:start="0"/>
        <w:rPr/>
      </w:pPr>
      <w:bookmarkStart w:id="30" w:name="_Toc235564923"/>
      <w:r>
        <w:rPr/>
        <w:t>Próteses mecânicas acionadas pelo corpo (</w:t>
      </w:r>
      <w:r>
        <w:rPr>
          <w:i/>
          <w:iCs/>
        </w:rPr>
        <w:t>body-powered</w:t>
      </w:r>
      <w:r>
        <w:rPr/>
        <w:t>)</w:t>
      </w:r>
      <w:bookmarkEnd w:id="30"/>
    </w:p>
    <w:p>
      <w:pPr>
        <w:pStyle w:val="TextoNormal-IPCA"/>
        <w:keepNext w:val="true"/>
        <w:rPr/>
      </w:pPr>
      <w:r>
        <w:rPr/>
      </w:r>
    </w:p>
    <w:p>
      <w:pPr>
        <w:pStyle w:val="TextoNormal-IPCA"/>
        <w:rPr/>
      </w:pPr>
      <w:r>
        <w:rPr/>
        <w:t>As próteses mecânicas recorrem a um sistema de arnês e cabos que converte os movimentos do ombro, do tronco ou da cintura escapular em ações do dispositivo terminal, geralmente um gancho ou uma mão mecânica. Estas soluções são tradicionalmente valorizadas pela robustez, pelo comportamento mecânico previsível, pelo menor custo e pela relativa facilidade de manutenção.</w:t>
      </w:r>
    </w:p>
    <w:p>
      <w:pPr>
        <w:pStyle w:val="TextoNormal-IPCA"/>
        <w:rPr/>
      </w:pPr>
      <w:r>
        <w:rPr/>
        <w:t>A</w:t>
      </w:r>
      <w:r>
        <w:rPr>
          <w:rStyle w:val="FootnoteReference"/>
        </w:rPr>
        <w:footnoteReference w:id="2"/>
      </w:r>
      <w:r>
        <w:rPr/>
        <w:t xml:space="preserve"> tensão transmitida pelo sistema de cabos proporciona informação propriocetiva indireta, que pode contribuir para um controlo mais previsível em determinadas tarefas. Estas próteses apresentam, contudo, limitações expressivas: o arnês pode ser desconfortável e restritivo, os padrões de preensão tendem a ser mais limitados e a utilização exige esforço físico contínuo e aprendizagem motora específica </w:t>
      </w:r>
      <w:sdt>
        <w:sdtPr>
          <w:tag w:val="MENDELEY_CITATION_v3_eyJjaXRhdGlvbklEIjoiTUVOREVMRVlfQ0lUQVRJT05fMzBlODVhNTgtZjJhNC00YzA1LWI3MGUtYTFhODk3YTk5ZjFkIiwicHJvcGVydGllcyI6eyJub3RlSW5kZXgiOjB9LCJpc0VkaXRlZCI6ZmFsc2UsIm1hbnVhbE92ZXJyaWRlIjp7ImlzTWFudWFsbHlPdmVycmlkZGVuIjpmYWxzZSwiY2l0ZXByb2NUZXh0IjoiKEVuZ2RhaGwgZXQgYWwuLCAyMDI0OyBGaW5rICYjMzg7IERpYW1vbmQsIDIwMjMpIiwibWFudWFsT3ZlcnJpZGVUZXh0IjoiIn0sImNpdGF0aW9uSXRlbXMiOlt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0s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1dfQ=="/>
          <w:id w:val="1664201849"/>
          <w:placeholder>
            <w:docPart w:val="DefaultPlaceholder_-1854013440"/>
          </w:placeholder>
        </w:sdtPr>
        <w:sdtContent>
          <w:r>
            <w:rPr/>
          </w:r>
          <w:r>
            <w:rPr>
              <w:rFonts w:eastAsia="Times New Roman"/>
              <w:color w:val="000000"/>
            </w:rPr>
            <w:t>(Engdahl et al., 2024; Fink &amp; Diamond, 2023)</w:t>
          </w:r>
        </w:sdtContent>
      </w:sdt>
      <w:r>
        <w:rPr/>
        <w:t>.</w:t>
      </w:r>
    </w:p>
    <w:p>
      <w:pPr>
        <w:pStyle w:val="Heading3"/>
        <w:numPr>
          <w:ilvl w:val="0"/>
          <w:numId w:val="0"/>
        </w:numPr>
        <w:ind w:hanging="0" w:start="0"/>
        <w:rPr/>
      </w:pPr>
      <w:r>
        <w:rPr/>
      </w:r>
    </w:p>
    <w:p>
      <w:pPr>
        <w:pStyle w:val="Heading3"/>
        <w:numPr>
          <w:ilvl w:val="0"/>
          <w:numId w:val="0"/>
        </w:numPr>
        <w:ind w:hanging="0" w:start="0"/>
        <w:rPr/>
      </w:pPr>
      <w:bookmarkStart w:id="31" w:name="_Toc235564924"/>
      <w:r>
        <w:rPr/>
        <w:t>Próteses mioeléctricas</w:t>
      </w:r>
      <w:bookmarkEnd w:id="31"/>
    </w:p>
    <w:p>
      <w:pPr>
        <w:pStyle w:val="TextoNormal-IPCA"/>
        <w:keepNext w:val="true"/>
        <w:rPr/>
      </w:pPr>
      <w:r>
        <w:rPr/>
      </w:r>
    </w:p>
    <w:p>
      <w:pPr>
        <w:pStyle w:val="TextoNormal-IPCA"/>
        <w:rPr/>
      </w:pPr>
      <w:r>
        <w:rPr/>
        <w:t xml:space="preserve">As próteses mioeléctricas são dispositivos alimentados eletricamente que utilizam sinais electromiográficos (EMG), captados por elétrodos de superfície aplicados no membro residual. Estes sinais são processados eletronicamente para ativar os motores responsáveis pelo movimento da mão, do punho ou do cotovelo. Comparativamente às soluções mecânicas, apresentam habitualmente maior integração estética, dispensam o arnês e permitem padrões de movimento potencialmente mais sofisticados. Em alguns casos, a sua utilização tem sido associada à redução da dor fantasma e a uma experiência de uso mais aceitável em contextos sociais. Entre as limitações contam-se o maior peso, o custo mais elevado, a dependência de baterias, a maior sensibilidade à humidade e a interferências, a necessidade de calibração e a ausência de resposta sensorial direta </w:t>
      </w:r>
      <w:sdt>
        <w:sdtPr>
          <w:tag w:val="MENDELEY_CITATION_v3_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1dfQ=="/>
          <w:id w:val="1883816356"/>
          <w:placeholder>
            <w:docPart w:val="DefaultPlaceholder_-1854013440"/>
          </w:placeholder>
        </w:sdtPr>
        <w:sdtContent>
          <w:r>
            <w:rPr/>
          </w:r>
          <w:r>
            <w:rPr>
              <w:color w:val="000000"/>
            </w:rPr>
            <w:t>(Bates et al., 2020; Engdahl et al., 2024)</w:t>
          </w:r>
        </w:sdtContent>
      </w:sdt>
      <w:r>
        <w:rPr/>
        <w:t>.</w:t>
      </w:r>
    </w:p>
    <w:p>
      <w:pPr>
        <w:pStyle w:val="Heading3"/>
        <w:numPr>
          <w:ilvl w:val="0"/>
          <w:numId w:val="0"/>
        </w:numPr>
        <w:ind w:hanging="0" w:start="0"/>
        <w:rPr/>
      </w:pPr>
      <w:r>
        <w:rPr/>
      </w:r>
    </w:p>
    <w:p>
      <w:pPr>
        <w:pStyle w:val="Heading3"/>
        <w:numPr>
          <w:ilvl w:val="0"/>
          <w:numId w:val="0"/>
        </w:numPr>
        <w:ind w:hanging="0" w:start="0"/>
        <w:rPr/>
      </w:pPr>
      <w:bookmarkStart w:id="32" w:name="_Toc235564925"/>
      <w:r>
        <w:rPr/>
        <w:t>Sistemas híbridos</w:t>
      </w:r>
      <w:bookmarkEnd w:id="32"/>
    </w:p>
    <w:p>
      <w:pPr>
        <w:pStyle w:val="TextoNormal-IPCA"/>
        <w:keepNext w:val="true"/>
        <w:rPr/>
      </w:pPr>
      <w:r>
        <w:rPr/>
      </w:r>
    </w:p>
    <w:p>
      <w:pPr>
        <w:pStyle w:val="TextoNormal-IPCA"/>
        <w:rPr/>
      </w:pPr>
      <w:r>
        <w:rPr/>
        <w:t xml:space="preserve">As próteses híbridas combinam mecanismos mecânicos e elétricos no mesmo dispositivo. São particularmente frequentes em amputações proximais, como as amputações transumerais ou as desarticulações do ombro, e podem associar, por exemplo, o controlo mecânico do cotovelo ao controlo mioelétrico do terminal. Esta configuração procura aproveitar as vantagens específicas de cada sistema, distribuindo o peso, as exigências funcionais e a complexidade do controlo. Em contrapartida, a aprendizagem, a adaptação e a manutenção podem tornar-se mais exigentes </w:t>
      </w:r>
      <w:sdt>
        <w:sdtPr>
          <w:tag w:val="MENDELEY_CITATION_v3_eyJjaXRhdGlvbklEIjoiTUVOREVMRVlfQ0lUQVRJT05fNDc3NTM0MzctOTU2Yy00NGMxLWE0ZTAtNTBjMjNkMDM3ZDMwIiwicHJvcGVydGllcyI6eyJub3RlSW5kZXgiOjB9LCJpc0VkaXRlZCI6ZmFsc2UsIm1hbnVhbE92ZXJyaWRlIjp7ImlzTWFudWFsbHlPdmVycmlkZGVuIjpmYWxzZSwiY2l0ZXByb2NUZXh0IjoiKFNlZ3VyYSBldCBhbC4sIDIwMjQ7IFdhbHRlcnMgZXQgYWwuLCAyMDI1KSIsIm1hbnVhbE92ZXJyaWRlVGV4dCI6Ii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"/>
          <w:id w:val="174072"/>
          <w:placeholder>
            <w:docPart w:val="DefaultPlaceholder_-1854013440"/>
          </w:placeholder>
        </w:sdtPr>
        <w:sdtContent>
          <w:r>
            <w:rPr/>
          </w:r>
          <w:r>
            <w:rPr>
              <w:color w:val="000000"/>
            </w:rPr>
            <w:t>(Segura et al., 2024; Walters et al., 2025)</w:t>
          </w:r>
        </w:sdtContent>
      </w:sdt>
      <w:r>
        <w:rPr/>
        <w:t>.</w:t>
      </w:r>
    </w:p>
    <w:p>
      <w:pPr>
        <w:pStyle w:val="TextoNormal-IPCA"/>
        <w:rPr/>
      </w:pPr>
      <w:r>
        <w:rPr/>
        <w:t>A Figura 2 representa esta diversidade tipológica através de exemplos de próteses impressas em 3D com diferentes soluções morfológicas e mecânicas, mostrando como as opções de configuração concretizam compromissos distintos entre simplicidade, função e custo.</w:t>
      </w:r>
    </w:p>
    <w:p>
      <w:pPr>
        <w:pStyle w:val="TextoNormal-IPCA"/>
        <w:keepNext w:val="true"/>
        <w:rPr/>
      </w:pPr>
      <w:r>
        <w:rPr/>
      </w:r>
    </w:p>
    <w:p>
      <w:pPr>
        <w:pStyle w:val="Normal"/>
        <w:keepNext w:val="true"/>
        <w:jc w:val="center"/>
        <w:rPr/>
      </w:pPr>
      <w:r>
        <w:rPr/>
        <w:drawing>
          <wp:inline distT="0" distB="0" distL="0" distR="0">
            <wp:extent cx="5579745" cy="5337810"/>
            <wp:effectExtent l="0" t="0" r="0" b="0"/>
            <wp:docPr id="20"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 descr="Image 2"/>
                    <pic:cNvPicPr>
                      <a:picLocks noChangeAspect="1" noChangeArrowheads="1"/>
                    </pic:cNvPicPr>
                  </pic:nvPicPr>
                  <pic:blipFill>
                    <a:blip r:embed="rId61"/>
                    <a:stretch>
                      <a:fillRect/>
                    </a:stretch>
                  </pic:blipFill>
                  <pic:spPr bwMode="auto">
                    <a:xfrm>
                      <a:off x="0" y="0"/>
                      <a:ext cx="5579745" cy="5337810"/>
                    </a:xfrm>
                    <a:prstGeom prst="rect">
                      <a:avLst/>
                    </a:prstGeom>
                    <a:noFill/>
                  </pic:spPr>
                </pic:pic>
              </a:graphicData>
            </a:graphic>
          </wp:inline>
        </w:drawing>
      </w:r>
    </w:p>
    <w:p>
      <w:pPr>
        <w:pStyle w:val="Caption"/>
        <w:rPr/>
      </w:pPr>
      <w:bookmarkStart w:id="33" w:name="_Toc235562496"/>
      <w:r>
        <w:rPr/>
        <w:t xml:space="preserve">Figura </w:t>
      </w:r>
      <w:r>
        <w:rPr/>
        <w:fldChar w:fldCharType="begin"/>
      </w:r>
      <w:r>
        <w:rPr/>
        <w:instrText xml:space="preserve"> SEQ Figura \* ARABIC </w:instrText>
      </w:r>
      <w:r>
        <w:rPr/>
        <w:fldChar w:fldCharType="separate"/>
      </w:r>
      <w:r>
        <w:rPr/>
        <w:t>2</w:t>
      </w:r>
      <w:r>
        <w:rPr/>
        <w:fldChar w:fldCharType="end"/>
      </w:r>
      <w:r>
        <w:rPr/>
        <w:t>— Exemplos de próteses de membro superior impressas em 3D, ilustrando diversidade tipológica e construtiva.</w:t>
      </w:r>
      <w:bookmarkEnd w:id="33"/>
    </w:p>
    <w:p>
      <w:pPr>
        <w:pStyle w:val="Nota-IPCA"/>
        <w:rPr>
          <w:lang w:val="en-US"/>
        </w:rPr>
      </w:pPr>
      <w:r>
        <w:rPr>
          <w:lang w:val="en-US"/>
        </w:rPr>
        <w:t xml:space="preserve">Reproduzido de </w:t>
      </w:r>
      <w:sdt>
        <w:sdtPr>
          <w:tag w:val="MENDELEY_CITATION_v3_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"/>
          <w:id w:val="513893078"/>
          <w:placeholder>
            <w:docPart w:val="DefaultPlaceholder_-1854013440"/>
          </w:placeholder>
        </w:sdtPr>
        <w:sdtContent>
          <w:r>
            <w:rPr>
              <w:lang w:val="en-US"/>
            </w:rPr>
          </w:r>
          <w:r>
            <w:rPr>
              <w:rFonts w:cs="Arial"/>
              <w:color w:val="000000"/>
              <w:lang w:val="en-US"/>
            </w:rPr>
            <w:t>ten Kate et al. (2017)</w:t>
          </w:r>
        </w:sdtContent>
      </w:sdt>
      <w:r>
        <w:rPr>
          <w:lang w:val="en-US"/>
        </w:rPr>
        <w:t xml:space="preserve">. </w:t>
      </w:r>
      <w:r>
        <w:rPr>
          <w:lang w:val="en-US"/>
        </w:rPr>
        <w:t>3D-printed upper limb prostheses: A review. Disability and Rehabilitation: Assistive Technology, 12(3), 300-314. https://doi.org/10.1080/17483107.2016.1253117</w:t>
      </w:r>
    </w:p>
    <w:p>
      <w:pPr>
        <w:pStyle w:val="Caption"/>
        <w:rPr>
          <w:lang w:val="en-US"/>
        </w:rPr>
      </w:pPr>
      <w:r>
        <w:rPr>
          <w:lang w:val="en-US"/>
        </w:rPr>
      </w:r>
    </w:p>
    <w:p>
      <w:pPr>
        <w:pStyle w:val="Heading3"/>
        <w:numPr>
          <w:ilvl w:val="0"/>
          <w:numId w:val="0"/>
        </w:numPr>
        <w:ind w:hanging="0" w:start="0"/>
        <w:rPr/>
      </w:pPr>
      <w:bookmarkStart w:id="34" w:name="_Toc235564926"/>
      <w:r>
        <w:rPr/>
        <w:t>Considerações clínicas e funcionais</w:t>
      </w:r>
      <w:bookmarkEnd w:id="34"/>
    </w:p>
    <w:p>
      <w:pPr>
        <w:pStyle w:val="TextoNormal-IPCA"/>
        <w:keepNext w:val="true"/>
        <w:rPr/>
      </w:pPr>
      <w:r>
        <w:rPr/>
      </w:r>
    </w:p>
    <w:p>
      <w:pPr>
        <w:pStyle w:val="TextoNormal-IPCA"/>
        <w:rPr/>
      </w:pPr>
      <w:r>
        <w:rPr/>
        <w:t xml:space="preserve">A prescrição de uma prótese de membro superior é um processo clínico complexo e centrado no utilizador, conduzido por uma equipa multidisciplinar que integra médicos, técnicos de ortoprotesia, terapeutas e a própria pessoa. A escolha do dispositivo terminal requer uma avaliação articulada de fatores físicos, funcionais, ocupacionais e psicossociais </w:t>
      </w:r>
      <w:sdt>
        <w:sdtPr>
          <w:tag w:val="MENDELEY_CITATION_v3_eyJjaXRhdGlvbklEIjoiTUVOREVMRVlfQ0lUQVRJT05fYTFjOTBhMzMtN2EyZi00ZTU0LTllNDYtNDY3MTZmZmU3NWM2IiwicHJvcGVydGllcyI6eyJub3RlSW5kZXgiOjB9LCJpc0VkaXRlZCI6ZmFsc2UsIm1hbnVhbE92ZXJyaWRlIjp7ImlzTWFudWFsbHlPdmVycmlkZGVuIjpmYWxzZSwiY2l0ZXByb2NUZXh0IjoiKEZpbmsgJiMzODsgRGlhbW9uZCwgMjAyMzsgU295ZXIgZXQgYWwuLCAyMDE2KSIsIm1hbnVhbE92ZXJyaWRlVGV4dCI6IiJ9LCJjaXRhdGlvbkl0ZW1zIjpb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1663613541"/>
          <w:placeholder>
            <w:docPart w:val="DefaultPlaceholder_-1854013440"/>
          </w:placeholder>
        </w:sdtPr>
        <w:sdtContent>
          <w:r>
            <w:rPr/>
          </w:r>
          <w:r>
            <w:rPr>
              <w:rFonts w:eastAsia="Times New Roman"/>
              <w:color w:val="000000"/>
            </w:rPr>
            <w:t>(Fink &amp; Diamond, 2023; Soyer et al., 2016)</w:t>
          </w:r>
        </w:sdtContent>
      </w:sdt>
      <w:r>
        <w:rPr/>
        <w:t>.</w:t>
      </w:r>
    </w:p>
    <w:p>
      <w:pPr>
        <w:pStyle w:val="TextoNormal-IPCA"/>
        <w:rPr/>
      </w:pPr>
      <w:r>
        <w:rPr/>
        <w:t>Os fatores físicos abrangem o nível de amputação, o comprimento e a condição do membro residual, a integridade cutânea, a amplitude articular e a força muscular. As amputações mais proximais colocam desafios acrescidos quanto ao controlo e ao peso do sistema protésico.</w:t>
      </w:r>
    </w:p>
    <w:p>
      <w:pPr>
        <w:pStyle w:val="TextoNormal-IPCA"/>
        <w:rPr/>
      </w:pPr>
      <w:r>
        <w:rPr/>
        <w:t>A escolha da tipologia protésica é significativamente influenciada por fatores individuais como a idade, as comorbilidades, a dominância manual, a literacia técnica, o contexto profissional e as atividades recreativas. Os utilizadores que realizam trabalho manual intensivo ou atuam em ambientes mais exigentes, por exemplo, podem beneficiar de soluções mecânicas mais robustas. Já os contextos profissionais e sociais em que se valorizam mais a integração estética e a diversidade funcional podem favorecer os dispositivos mioelétricos.</w:t>
      </w:r>
    </w:p>
    <w:p>
      <w:pPr>
        <w:pStyle w:val="TextoNormal-IPCA"/>
        <w:rPr/>
      </w:pPr>
      <w:r>
        <w:rPr/>
        <w:t>A motivação, as expectativas, a imagem corporal, o suporte social e a capacidade cognitiva constituem fatores psicossociais igualmente determinantes. Expectativas irrealistas quanto às capacidades do dispositivo podem resultar em insatisfação, uso intermitente e eventual abandono.</w:t>
      </w:r>
    </w:p>
    <w:p>
      <w:pPr>
        <w:pStyle w:val="TextoNormal-IPCA"/>
        <w:rPr/>
      </w:pPr>
      <w:r>
        <w:rPr/>
        <w:t xml:space="preserve">A reabilitação protésica decorre em várias fases: cuidados perioperatórios, preparação pré-protésica, treino com a prótese definitiva e acompanhamento a longo prazo. Nos sistemas mioelétricos, o treino funcional é particularmente relevante, pois requer fortalecimento muscular específico, aprendizagem da produção de sinais consistentes e integração progressiva do dispositivo em tarefas reais. A literatura salienta repetidamente a importância do acompanhamento continuado, da educação do utilizador e do ajuste iterativo do dispositivo ao longo do tempo </w:t>
      </w:r>
      <w:sdt>
        <w:sdtPr>
          <w:tag w:val="MENDELEY_CITATION_v3_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782493867"/>
          <w:placeholder>
            <w:docPart w:val="DefaultPlaceholder_-1854013440"/>
          </w:placeholder>
        </w:sdtPr>
        <w:sdtContent>
          <w:r>
            <w:rPr/>
          </w:r>
          <w:r>
            <w:rPr>
              <w:color w:val="000000"/>
            </w:rPr>
            <w:t>(Bates et al., 2020; Soyer et al., 2016)</w:t>
          </w:r>
        </w:sdtContent>
      </w:sdt>
      <w:r>
        <w:rPr/>
        <w:t>.</w:t>
      </w:r>
    </w:p>
    <w:p>
      <w:pPr>
        <w:pStyle w:val="TextoNormal-IPCA"/>
        <w:rPr/>
      </w:pPr>
      <w:r>
        <w:rPr/>
      </w:r>
    </w:p>
    <w:p>
      <w:pPr>
        <w:pStyle w:val="Heading3"/>
        <w:numPr>
          <w:ilvl w:val="0"/>
          <w:numId w:val="0"/>
        </w:numPr>
        <w:ind w:hanging="0" w:start="0"/>
        <w:rPr/>
      </w:pPr>
      <w:bookmarkStart w:id="35" w:name="_Toc235564927"/>
      <w:r>
        <w:rPr/>
        <w:t>Medição de resultados e abandono protésico</w:t>
      </w:r>
      <w:bookmarkEnd w:id="35"/>
    </w:p>
    <w:p>
      <w:pPr>
        <w:pStyle w:val="TextoNormal-IPCA"/>
        <w:keepNext w:val="true"/>
        <w:rPr/>
      </w:pPr>
      <w:r>
        <w:rPr/>
      </w:r>
    </w:p>
    <w:p>
      <w:pPr>
        <w:pStyle w:val="TextoNormal-IPCA"/>
        <w:rPr/>
      </w:pPr>
      <w:r>
        <w:rPr/>
        <w:t xml:space="preserve">A avaliação objetiva do sucesso protésico permanece difícil. A escassez de instrumentos padronizados e a heterogeneidade das métricas dificultam a comparação entre estudos, dispositivos e estratégias de reabilitação. Utilizam-se ferramentas de avaliação registadas pelo utilizador, centradas na funcionalidade percebida, na satisfação e na qualidade de vida, assim como testes de desempenho orientados para a destreza, a velocidade de execução e o controlo funcional em tarefas estruturadas </w:t>
      </w:r>
      <w:sdt>
        <w:sdtPr>
          <w:tag w:val="MENDELEY_CITATION_v3_eyJjaXRhdGlvbklEIjoiTUVOREVMRVlfQ0lUQVRJT05fMWI0ZWYyZTAtODlkZC00YjEyLWE1NDUtZTY0NmY5ZWI4ODlhIiwicHJvcGVydGllcyI6eyJub3RlSW5kZXgiOjB9LCJpc0VkaXRlZCI6ZmFsc2UsIm1hbnVhbE92ZXJyaWRlIjp7ImlzTWFudWFsbHlPdmVycmlkZGVuIjpmYWxzZSwiY2l0ZXByb2NUZXh0IjoiKFNlZ3VyYSBldCBhbC4sIDIwMjQ7IFNveWVyIGV0IGFsLiwgMjAxNikiLCJtYW51YWxPdmVycmlkZVRleHQiOiIifSwiY2l0YXRpb25JdGVtcyI6W3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555517280"/>
          <w:placeholder>
            <w:docPart w:val="DefaultPlaceholder_-1854013440"/>
          </w:placeholder>
        </w:sdtPr>
        <w:sdtContent>
          <w:r>
            <w:rPr/>
          </w:r>
          <w:r>
            <w:rPr>
              <w:color w:val="000000"/>
            </w:rPr>
            <w:t>(Segura et al., 2024; Soyer et al., 2016)</w:t>
          </w:r>
        </w:sdtContent>
      </w:sdt>
      <w:r>
        <w:rPr/>
        <w:t>.</w:t>
      </w:r>
    </w:p>
    <w:p>
      <w:pPr>
        <w:pStyle w:val="TextoNormal-IPCA"/>
        <w:rPr/>
      </w:pPr>
      <w:r>
        <w:rPr/>
        <w:t xml:space="preserve">Apesar da evolução tecnológica, o abandono das próteses de membro superior continua a ter expressão. </w:t>
      </w:r>
      <w:sdt>
        <w:sdtPr>
          <w:tag w:val="MENDELEY_CITATION_v3_eyJjaXRhdGlvbklEIjoiTUVOREVMRVlfQ0lUQVRJT05fYzlhZWZmYWUtY2MwNC00ZDI0LTg1N2YtMDc0YzJlNzhkM2NhIiwicHJvcGVydGllcyI6eyJub3RlSW5kZXgiOjB9LCJpc0VkaXRlZCI6ZmFsc2UsIm1hbnVhbE92ZXJyaWRlIjp7ImlzTWFudWFsbHlPdmVycmlkZGVuIjp0cnVlLCJjaXRlcHJvY1RleHQiOiIoU21haWwgZXQgYWwuLCAyMDIxKSIsIm1hbnVhbE92ZXJyaWRlVGV4dCI6IlNtYWlsIGV0IGFsLiAoMjAyMSk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Swic3VwcHJlc3MtYXV0aG9yIjpmYWxzZSwiY29tcG9zaXRlIjpmYWxzZSwiYXV0aG9yLW9ubHkiOmZhbHNlfV19"/>
          <w:id w:val="1921830067"/>
          <w:placeholder>
            <w:docPart w:val="DefaultPlaceholder_-1854013440"/>
          </w:placeholder>
        </w:sdtPr>
        <w:sdtContent>
          <w:r>
            <w:rPr/>
          </w:r>
          <w:r>
            <w:rPr>
              <w:color w:val="000000"/>
            </w:rPr>
            <w:t>Smail et al. (2021)</w:t>
          </w:r>
        </w:sdtContent>
      </w:sdt>
      <w:r>
        <w:rPr/>
        <w:t xml:space="preserve"> agrupam as razões identificadas sobretudo em duas áreas — conforto e função — e apontam o peso, a temperatura e a transpiração como alguns dos problemas de conforto mais persistentes. </w:t>
      </w:r>
      <w:sdt>
        <w:sdtPr>
          <w:tag w:val="MENDELEY_CITATION_v3_eyJjaXRhdGlvbklEIjoiTUVOREVMRVlfQ0lUQVRJT05fODYwN2UxNTMtZDAzYy00ZTU4LTk0NjEtYjdhZmY1YzA2ZmU1IiwicHJvcGVydGllcyI6eyJub3RlSW5kZXgiOjB9LCJpc0VkaXRlZCI6ZmFsc2UsIm1hbnVhbE92ZXJyaWRlIjp7ImlzTWFudWFsbHlPdmVycmlkZGVuIjpmYWxzZSwiY2l0ZXByb2NUZXh0IjoiKEJpZGRpc3MgZXQgYWwuLCAyMDA3KSIsIm1hbnVhbE92ZXJyaWRlVGV4dCI6Ii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LCJzdXBwcmVzcy1hdXRob3IiOmZhbHNlLCJjb21wb3NpdGUiOmZhbHNlLCJhdXRob3Itb25seSI6ZmFsc2V9XX0="/>
          <w:id w:val="7032017"/>
          <w:placeholder>
            <w:docPart w:val="DefaultPlaceholder_-1854013440"/>
          </w:placeholder>
        </w:sdtPr>
        <w:sdtContent>
          <w:r>
            <w:rPr/>
          </w:r>
          <w:r>
            <w:rPr>
              <w:color w:val="000000"/>
            </w:rPr>
            <w:t>(Biddiss et al., 2007)</w:t>
          </w:r>
        </w:sdtContent>
      </w:sdt>
      <w:r>
        <w:rPr/>
        <w:t xml:space="preserve"> e </w:t>
      </w:r>
      <w:sdt>
        <w:sdtPr>
          <w:tag w:val="MENDELEY_CITATION_v3_eyJjaXRhdGlvbklEIjoiTUVOREVMRVlfQ0lUQVRJT05fYzJlNzI5NDQtYjgxZS00ODNjLThlN2EtMjFlZmM5MGYyODA1IiwicHJvcGVydGllcyI6eyJub3RlSW5kZXgiOjB9LCJpc0VkaXRlZCI6ZmFsc2UsIm1hbnVhbE92ZXJyaWRlIjp7ImlzTWFudWFsbHlPdmVycmlkZGVuIjp0cnVlLCJjaXRlcHJvY1RleHQiOiIoRmluayAmIzM4OyBEaWFtb25kLCAyMDIzKSIsIm1hbnVhbE92ZXJyaWRlVGV4dCI6IkZpbmsgJiBEaWFtb25kLCAo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
          <w:id w:val="359855536"/>
          <w:placeholder>
            <w:docPart w:val="DefaultPlaceholder_-1854013440"/>
          </w:placeholder>
        </w:sdtPr>
        <w:sdtContent>
          <w:r>
            <w:rPr/>
          </w:r>
          <w:r>
            <w:rPr>
              <w:rFonts w:eastAsia="Times New Roman"/>
              <w:color w:val="000000"/>
            </w:rPr>
            <w:t>Fink &amp; Diamond, (2023)</w:t>
          </w:r>
        </w:sdtContent>
      </w:sdt>
      <w:r>
        <w:rPr/>
        <w:t xml:space="preserve"> acrescentam que o peso, o conforto, o controlo e o ajuste do encaixe são aspetos relevantes para as prioridades dos utilizadores e para o processo de escolha e acompanhamento da prótese. Estes resultados indicam que a melhoria tecnológica não garante, por si só, a utilização continuada e que as decisões de </w:t>
      </w:r>
      <w:r>
        <w:rPr>
          <w:i/>
          <w:iCs/>
        </w:rPr>
        <w:t>design</w:t>
      </w:r>
      <w:r>
        <w:rPr/>
        <w:t xml:space="preserve"> devem atender à experiência física e funcional do utilizador.</w:t>
      </w:r>
    </w:p>
    <w:p>
      <w:pPr>
        <w:pStyle w:val="TextoNormal-IPCA"/>
        <w:rPr/>
      </w:pPr>
      <w:r>
        <w:rPr/>
        <w:t xml:space="preserve">A Figura 3 mostra a distribuição observada por </w:t>
      </w:r>
      <w:sdt>
        <w:sdtPr>
          <w:tag w:val="MENDELEY_CITATION_v3_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"/>
          <w:id w:val="-1167861002"/>
          <w:placeholder>
            <w:docPart w:val="DefaultPlaceholder_-1854013440"/>
          </w:placeholder>
        </w:sdtPr>
        <w:sdtContent>
          <w:r>
            <w:rPr/>
          </w:r>
          <w:r>
            <w:rPr>
              <w:color w:val="000000"/>
            </w:rPr>
            <w:t>Østlie et al. (2011)</w:t>
          </w:r>
        </w:sdtContent>
      </w:sdt>
      <w:r>
        <w:rPr/>
        <w:t xml:space="preserve"> numa amostra populacional de 224 adultos com amputação adquirida do membro superior. Nesse estudo, 4,5% dos participantes apresentavam rejeição primária da prótese; dos 209 participantes que tinham começado a utilizá-la, 13,4% interromperam posteriormente o seu uso. Estes dados permitem distinguir a rejeição anterior à primeira utilização daquela que ocorre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21"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restaurada 41" descr="Image 3"/>
                    <pic:cNvPicPr>
                      <a:picLocks noChangeAspect="1" noChangeArrowheads="1"/>
                    </pic:cNvPicPr>
                  </pic:nvPicPr>
                  <pic:blipFill>
                    <a:blip r:embed="rId62"/>
                    <a:stretch>
                      <a:fillRect/>
                    </a:stretch>
                  </pic:blipFill>
                  <pic:spPr bwMode="auto">
                    <a:xfrm>
                      <a:off x="0" y="0"/>
                      <a:ext cx="5579745" cy="3989705"/>
                    </a:xfrm>
                    <a:prstGeom prst="rect">
                      <a:avLst/>
                    </a:prstGeom>
                    <a:noFill/>
                  </pic:spPr>
                </pic:pic>
              </a:graphicData>
            </a:graphic>
          </wp:inline>
        </w:drawing>
      </w:r>
    </w:p>
    <w:p>
      <w:pPr>
        <w:pStyle w:val="Caption"/>
        <w:rPr/>
      </w:pPr>
      <w:bookmarkStart w:id="36" w:name="_Toc235562497"/>
      <w:r>
        <w:rPr/>
        <w:t xml:space="preserve">Figura </w:t>
      </w:r>
      <w:r>
        <w:rPr/>
        <w:fldChar w:fldCharType="begin"/>
      </w:r>
      <w:r>
        <w:rPr/>
        <w:instrText xml:space="preserve"> SEQ Figura \* ARABIC </w:instrText>
      </w:r>
      <w:r>
        <w:rPr/>
        <w:fldChar w:fldCharType="separate"/>
      </w:r>
      <w:r>
        <w:rPr/>
        <w:t>3</w:t>
      </w:r>
      <w:r>
        <w:rPr/>
        <w:fldChar w:fldCharType="end"/>
      </w:r>
      <w:r>
        <w:rPr/>
        <w:t xml:space="preserve"> — Utilização continuada, rejeição primária e rejeição secundária de próteses numa amostra de adultos com amputação adquirida do membro superior.</w:t>
      </w:r>
      <w:bookmarkEnd w:id="36"/>
    </w:p>
    <w:p>
      <w:pPr>
        <w:pStyle w:val="Nota-IPCA"/>
        <w:rPr>
          <w:lang w:val="pt-PT"/>
        </w:rPr>
      </w:pPr>
      <w:r>
        <w:rPr>
          <w:lang w:val="pt-PT"/>
        </w:rPr>
        <w:t xml:space="preserve">Adaptado da Figura 1 de </w:t>
      </w:r>
      <w:sdt>
        <w:sdtPr>
          <w:tag w:val="MENDELEY_CITATION_v3_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"/>
          <w:id w:val="1784309065"/>
          <w:placeholder>
            <w:docPart w:val="DefaultPlaceholder_-1854013440"/>
          </w:placeholder>
        </w:sdtPr>
        <w:sdtContent>
          <w:r>
            <w:rPr>
              <w:lang w:val="pt-PT"/>
            </w:rPr>
          </w:r>
          <w:r>
            <w:rPr>
              <w:rFonts w:cs="Arial"/>
              <w:color w:val="000000"/>
              <w:lang w:val="pt-PT"/>
            </w:rPr>
            <w:t xml:space="preserve">Østlie et al. </w:t>
          </w:r>
          <w:r>
            <w:rPr>
              <w:rFonts w:cs="Arial"/>
              <w:color w:val="000000"/>
              <w:lang w:val="en-US"/>
            </w:rPr>
            <w:t>(2012)</w:t>
          </w:r>
        </w:sdtContent>
      </w:sdt>
      <w:r>
        <w:rPr>
          <w:lang w:val="en-US"/>
        </w:rPr>
        <w:t xml:space="preserve">. </w:t>
      </w:r>
      <w:r>
        <w:rPr>
          <w:lang w:val="en-US"/>
        </w:rPr>
        <w:t xml:space="preserve">Prosthesis rejection in acquired major upper-limb amputees: A population-based survey. </w:t>
      </w:r>
      <w:r>
        <w:rPr>
          <w:i/>
          <w:lang w:val="pt-PT"/>
        </w:rPr>
        <w:t>Disability and Rehabilitation: Assistive Technology, 7</w:t>
      </w:r>
      <w:r>
        <w:rPr>
          <w:lang w:val="pt-PT"/>
        </w:rPr>
        <w:t>(4), 294–303. https://doi.org/10.3109/17483107.2011.635405</w:t>
      </w:r>
    </w:p>
    <w:p>
      <w:pPr>
        <w:pStyle w:val="TextoNormal-IPCA"/>
        <w:rPr/>
      </w:pPr>
      <w:r>
        <w:rPr/>
      </w:r>
    </w:p>
    <w:p>
      <w:pPr>
        <w:pStyle w:val="Heading3"/>
        <w:numPr>
          <w:ilvl w:val="0"/>
          <w:numId w:val="0"/>
        </w:numPr>
        <w:ind w:hanging="0" w:start="0"/>
        <w:rPr/>
      </w:pPr>
      <w:bookmarkStart w:id="37" w:name="_Toc235564928"/>
      <w:r>
        <w:rPr/>
        <w:t>Enquadramento regulatório enquanto dispositivo médico</w:t>
      </w:r>
      <w:bookmarkEnd w:id="37"/>
    </w:p>
    <w:p>
      <w:pPr>
        <w:pStyle w:val="TextoNormal-IPCA"/>
        <w:keepNext w:val="true"/>
        <w:rPr/>
      </w:pPr>
      <w:r>
        <w:rPr/>
      </w:r>
    </w:p>
    <w:p>
      <w:pPr>
        <w:pStyle w:val="TextoNormal-IPCA"/>
        <w:rPr/>
      </w:pPr>
      <w:r>
        <w:rPr/>
        <w:t xml:space="preserve">As próteses de membro superior são classificadas como dispositivos médicos e estão sujeitas a regulamentação específica, destinada a garantir a segurança, o desempenho e a vigilância durante todo o ciclo de vida. Na União Europeia, este enquadramento é estabelecido pelo </w:t>
      </w:r>
      <w:sdt>
        <w:sdtPr>
          <w:tag w:val="MENDELEY_CITATION_v3_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"/>
          <w:id w:val="2061815665"/>
          <w:placeholder>
            <w:docPart w:val="DefaultPlaceholder_-1854013440"/>
          </w:placeholder>
        </w:sdtPr>
        <w:sdtContent>
          <w:r>
            <w:rPr/>
          </w:r>
          <w:r>
            <w:rPr>
              <w:rFonts w:eastAsia="Times New Roman"/>
              <w:color w:val="000000"/>
            </w:rPr>
            <w:t>Regulamento (UE) 2017/745 (2017)</w:t>
          </w:r>
        </w:sdtContent>
      </w:sdt>
      <w:r>
        <w:rPr/>
        <w:t>, habitualmente designado pela sigla inglesa MDR (</w:t>
      </w:r>
      <w:r>
        <w:rPr>
          <w:i/>
          <w:iCs/>
        </w:rPr>
        <w:t>Medical Device Regulation</w:t>
      </w:r>
      <w:r>
        <w:rPr/>
        <w:t xml:space="preserve">). Nos termos do artigo 51.º, os dispositivos são integrados nas classes I, IIa, IIb e III, consoante a finalidade prevista e os riscos intrínsecos, de acordo com as regras do Anexo VIII. A classe de uma prótese de membro superior, incluindo uma prótese mioeléctrica, não depende, portanto, apenas do tipo de acionamento, mas também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w:t>
      </w:r>
      <w:sdt>
        <w:sdtPr>
          <w:tag w:val="MENDELEY_CITATION_v3_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"/>
          <w:id w:val="1527288059"/>
          <w:placeholder>
            <w:docPart w:val="DefaultPlaceholder_-1854013440"/>
          </w:placeholder>
        </w:sdtPr>
        <w:sdtContent>
          <w:r>
            <w:rPr/>
          </w:r>
          <w:r>
            <w:rPr>
              <w:color w:val="000000"/>
            </w:rPr>
            <w:t>(Parlamento Europeu e do Conselho Europeu, 2017)</w:t>
          </w:r>
        </w:sdtContent>
      </w:sdt>
      <w:r>
        <w:rPr/>
        <w:t>.</w:t>
      </w:r>
    </w:p>
    <w:p>
      <w:pPr>
        <w:pStyle w:val="TextoNormal-IPCA"/>
        <w:rPr/>
      </w:pPr>
      <w:r>
        <w:rPr/>
        <w:t xml:space="preserve">Nos Estados Unidos, a </w:t>
      </w:r>
      <w:r>
        <w:rPr>
          <w:i/>
          <w:iCs/>
        </w:rPr>
        <w:t>Food and Drug Administration</w:t>
      </w:r>
      <w:r>
        <w:rPr/>
        <w:t xml:space="preserve"> (FDA) assegura a regulação através de um sistema de classificação de risco. A maioria dos componentes protésicos convencionais pertence às classes de menor risco, enquanto os sistemas mais complexos, como as próteses mioeléctricas avançadas, podem exigir controlos, documentação técnica mais extensa e, em certos casos, evidência clínica adicional </w:t>
      </w:r>
      <w:sdt>
        <w:sdtPr>
          <w:tag w:val="MENDELEY_CITATION_v3_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"/>
          <w:id w:val="-155075688"/>
          <w:placeholder>
            <w:docPart w:val="DefaultPlaceholder_-1854013440"/>
          </w:placeholder>
        </w:sdtPr>
        <w:sdtContent>
          <w:r>
            <w:rPr/>
          </w:r>
          <w:r>
            <w:rPr>
              <w:color w:val="000000"/>
            </w:rPr>
            <w:t>(Resnik et al., 2022)</w:t>
          </w:r>
        </w:sdtContent>
      </w:sdt>
      <w:r>
        <w:rPr/>
        <w:t>.</w:t>
      </w:r>
    </w:p>
    <w:p>
      <w:pPr>
        <w:pStyle w:val="TextoNormal-IPCA"/>
        <w:rPr/>
      </w:pPr>
      <w:r>
        <w:rPr/>
        <w:t xml:space="preserve">A demonstração da segurança e do desempenho requer uma avaliação clínica sistemática, testes de biocompatibilidade, avaliação da segurança mecânica e elétrica, validação de </w:t>
      </w:r>
      <w:r>
        <w:rPr>
          <w:i/>
          <w:iCs/>
        </w:rPr>
        <w:t>software</w:t>
      </w:r>
      <w:r>
        <w:rPr/>
        <w:t xml:space="preserve"> e consideração explícita dos fatores humanos e da usabilidade. O comité técnico ISO/TC 168 normaliza aspetos como o desempenho, a segurança, os fatores ambientais e a possibilidade de intercâmbio entre componentes de próteses e ortóteses. Preparada por este comité, a ISO 8549-1:2020 estabelece a terminologia geral do domínio </w:t>
      </w:r>
      <w:sdt>
        <w:sdtPr>
          <w:tag w:val="MENDELEY_CITATION_v3_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110903948"/>
          <w:placeholder>
            <w:docPart w:val="DefaultPlaceholder_-1854013440"/>
          </w:placeholder>
        </w:sdtPr>
        <w:sdtContent>
          <w:r>
            <w:rPr/>
          </w:r>
          <w:r>
            <w:rPr>
              <w:color w:val="000000"/>
            </w:rPr>
            <w:t>(International Organization for Standardization, 2020</w:t>
          </w:r>
        </w:sdtContent>
      </w:sdt>
      <w:r>
        <w:rPr/>
        <w:t>). Os fabricantes devem ainda implementar sistemas de vigilância pós-comercialização e recolher dados de uso real durante o ciclo de vida do dispositivo. Esta exigência reforça a natureza regulada e iterativa do domínio, bem como a necessidade de sustentar a sua evolução em evidência (Parlamento Europeu &amp; Conselho da União Europeia, 2017).</w:t>
      </w:r>
    </w:p>
    <w:p>
      <w:pPr>
        <w:pStyle w:val="TextoNormal-IPCA"/>
        <w:rPr/>
      </w:pPr>
      <w:r>
        <w:rPr/>
      </w:r>
    </w:p>
    <w:p>
      <w:pPr>
        <w:pStyle w:val="Heading2"/>
        <w:numPr>
          <w:ilvl w:val="0"/>
          <w:numId w:val="0"/>
        </w:numPr>
        <w:ind w:hanging="0" w:start="0"/>
        <w:rPr/>
      </w:pPr>
      <w:bookmarkStart w:id="38" w:name="_Toc235564929"/>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bookmarkEnd w:id="38"/>
    </w:p>
    <w:p>
      <w:pPr>
        <w:pStyle w:val="TextoNormal-IPCA"/>
        <w:keepNext w:val="true"/>
        <w:rPr/>
      </w:pPr>
      <w:r>
        <w:rPr/>
      </w:r>
    </w:p>
    <w:p>
      <w:pPr>
        <w:pStyle w:val="TextoNormal-IPCA"/>
        <w:rPr/>
      </w:pPr>
      <w:r>
        <w:rPr/>
        <w:t>No contexto da saúde e das tecnologias de apoio, o design industrial é progressivamente reconhecido como uma disciplina de mediação entre as necessidades humanas, os contextos de utilização e os sistemas técnicos regulados.</w:t>
      </w:r>
    </w:p>
    <w:p>
      <w:pPr>
        <w:pStyle w:val="TextoNormal-IPCA"/>
        <w:rPr/>
      </w:pPr>
      <w:r>
        <w:rPr/>
        <w:t xml:space="preserve">A literatura revista atribui ao </w:t>
      </w:r>
      <w:r>
        <w:rPr>
          <w:i/>
          <w:iCs/>
        </w:rPr>
        <w:t>design</w:t>
      </w:r>
      <w:r>
        <w:rPr/>
        <w:t xml:space="preserve"> um papel estruturante na promoção da inclusão, da autonomia e da participação social, mediante a articulação da configuração formal dos produtos com a relação entre indivíduos, ambientes, artefactos e sistemas.</w:t>
      </w:r>
    </w:p>
    <w:p>
      <w:pPr>
        <w:pStyle w:val="TextoNormal-IPCA"/>
        <w:rPr/>
      </w:pPr>
      <w:r>
        <w:rPr/>
        <w:t xml:space="preserve">Nas tecnologias de apoio, em particular, o </w:t>
      </w:r>
      <w:r>
        <w:rPr>
          <w:i/>
          <w:iCs/>
        </w:rPr>
        <w:t>design</w:t>
      </w:r>
      <w:r>
        <w:rPr/>
        <w:t xml:space="preserve"> é descrito como um mediador da interação entre os utilizadores e o meio envolvente, contribuindo para reduzir barreiras funcionais e sociais e, por conseguinte, para melhorar os resultados de participação e a qualidade de vida </w:t>
      </w:r>
      <w:sdt>
        <w:sdtPr>
          <w:tag w:val="MENDELEY_CITATION_v3_eyJjaXRhdGlvbklEIjoiTUVOREVMRVlfQ0lUQVRJT05fNWVlZGQ3OGQtMjExZC00ZGZjLTk4ZTQtZWYyNTI3ZmYxNjQwIiwicHJvcGVydGllcyI6eyJub3RlSW5kZXgiOjB9LCJpc0VkaXRlZCI6ZmFsc2UsIm1hbnVhbE92ZXJyaWRlIjp7ImlzTWFudWFsbHlPdmVycmlkZGVuIjpmYWxzZSwiY2l0ZXByb2NUZXh0IjoiKENsYXJrc29uICYjMzg7IENvbGVtYW4sIDIwMTA7IFNoYWggJiMzODsgUm9iaW5zb24sIDIwMDY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409433249"/>
          <w:placeholder>
            <w:docPart w:val="DefaultPlaceholder_-1854013440"/>
          </w:placeholder>
        </w:sdtPr>
        <w:sdtContent>
          <w:r>
            <w:rPr/>
          </w:r>
          <w:r>
            <w:rPr>
              <w:rFonts w:eastAsia="Times New Roman"/>
              <w:color w:val="000000"/>
            </w:rPr>
            <w:t>(Clarkson &amp; Coleman, 2010; Shah &amp; Robinson, 2006)</w:t>
          </w:r>
        </w:sdtContent>
      </w:sdt>
      <w:r>
        <w:rPr/>
        <w:t>.</w:t>
      </w:r>
    </w:p>
    <w:p>
      <w:pPr>
        <w:pStyle w:val="TextoNormal-IPCA"/>
        <w:rPr/>
      </w:pPr>
      <w:r>
        <w:rPr/>
        <w:t xml:space="preserve">O </w:t>
      </w:r>
      <w:r>
        <w:rPr>
          <w:i/>
          <w:iCs/>
        </w:rPr>
        <w:t>design</w:t>
      </w:r>
      <w:r>
        <w:rPr/>
        <w:t xml:space="preserve"> inclusivo é também apresentado como um imperativo contemporâneo, orientado para minimizar a exclusão evitável resultante de decisões de projeto que desconsideram a diversidade populacional e as alterações das capacidades ao longo do tempo. Esta perspetiva converge com a responsabilidade dos sistemas de saúde de responder a utilizadores heterogéneos, com diferentes condições físicas, cognitivas e contextuais </w:t>
      </w:r>
      <w:sdt>
        <w:sdtPr>
          <w:tag w:val="MENDELEY_CITATION_v3_eyJjaXRhdGlvbklEIjoiTUVOREVMRVlfQ0lUQVRJT05fOWQwNDk1ZTEtOGJiNS00ZGEwLTgwZDgtNzI5MGRhNmE1YmU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736161996"/>
          <w:placeholder>
            <w:docPart w:val="DefaultPlaceholder_-1854013440"/>
          </w:placeholder>
        </w:sdtPr>
        <w:sdtContent>
          <w:r>
            <w:rPr/>
          </w:r>
          <w:r>
            <w:rPr>
              <w:rFonts w:eastAsia="Times New Roman"/>
              <w:color w:val="000000"/>
            </w:rPr>
            <w:t>(Clarkson &amp; Coleman, 2010)</w:t>
          </w:r>
        </w:sdtContent>
      </w:sdt>
      <w:r>
        <w:rPr/>
        <w:t>.</w:t>
      </w:r>
    </w:p>
    <w:p>
      <w:pPr>
        <w:pStyle w:val="Heading3"/>
        <w:numPr>
          <w:ilvl w:val="0"/>
          <w:numId w:val="0"/>
        </w:numPr>
        <w:ind w:hanging="0" w:start="0"/>
        <w:rPr/>
      </w:pPr>
      <w:bookmarkStart w:id="39" w:name="_Toc235564930"/>
      <w:r>
        <w:rPr>
          <w:i/>
          <w:iCs/>
        </w:rPr>
        <w:t>Design</w:t>
      </w:r>
      <w:r>
        <w:rPr/>
        <w:t xml:space="preserve"> industrial em dispositivos médicos</w:t>
      </w:r>
      <w:bookmarkEnd w:id="39"/>
    </w:p>
    <w:p>
      <w:pPr>
        <w:pStyle w:val="TextoNormal-IPCA"/>
        <w:keepNext w:val="true"/>
        <w:rPr/>
      </w:pPr>
      <w:r>
        <w:rPr/>
      </w:r>
    </w:p>
    <w:p>
      <w:pPr>
        <w:pStyle w:val="TextoNormal-IPCA"/>
        <w:rPr/>
      </w:pPr>
      <w:r>
        <w:rPr/>
        <w:t xml:space="preserve">No domínio dos dispositivos médicos, o </w:t>
      </w:r>
      <w:r>
        <w:rPr>
          <w:i/>
          <w:iCs/>
        </w:rPr>
        <w:t>design</w:t>
      </w:r>
      <w:r>
        <w:rPr/>
        <w:t xml:space="preserve"> industrial é uma prática metodológica centrada no utilizador, com uma função colaborativa em equipas multidisciplinares de desenvolvimento. A literatura identifica, porém, uma lacuna estrutural: muitos dispositivos médicos continuam a ser desenvolvidos sobretudo a partir de abordagens de engenharia e de requisitos regulatórios, com participação limitada de profissionais especificamente formados em metodologias de </w:t>
      </w:r>
      <w:r>
        <w:rPr>
          <w:i/>
          <w:iCs/>
        </w:rPr>
        <w:t>design</w:t>
      </w:r>
      <w:r>
        <w:rPr/>
        <w:t xml:space="preserve"> centrado no uso. Esta assimetria favorece soluções tecnicamente robustas, mas nem sempre otimizadas quanto à ergonomia, à usabilidade ou à integração na vida quotidiana </w:t>
      </w:r>
      <w:sdt>
        <w:sdtPr>
          <w:tag w:val="MENDELEY_CITATION_v3_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"/>
          <w:id w:val="-537667432"/>
          <w:placeholder>
            <w:docPart w:val="DefaultPlaceholder_-1854013440"/>
          </w:placeholder>
        </w:sdtPr>
        <w:sdtContent>
          <w:r>
            <w:rPr/>
          </w:r>
          <w:r>
            <w:rPr>
              <w:rFonts w:eastAsia="Times New Roman"/>
              <w:color w:val="000000"/>
            </w:rPr>
            <w:t>(Fisher &amp; Johansen, 2020; Wilke et al., 2020)</w:t>
          </w:r>
        </w:sdtContent>
      </w:sdt>
      <w:r>
        <w:rPr/>
        <w:t>.</w:t>
      </w:r>
    </w:p>
    <w:p>
      <w:pPr>
        <w:pStyle w:val="TextoNormal-IPCA"/>
        <w:rPr/>
      </w:pPr>
      <w:r>
        <w:rPr/>
        <w:t xml:space="preserve">Neste contexto, o </w:t>
      </w:r>
      <w:r>
        <w:rPr>
          <w:i/>
          <w:iCs/>
        </w:rPr>
        <w:t>design</w:t>
      </w:r>
      <w:r>
        <w:rPr/>
        <w:t xml:space="preserve"> industrial intervém na conceptualização, na definição dos requisitos de utilização, na tradução das necessidades clínicas em soluções tangíveis e na articulação entre os requisitos regulamentares e a experiência do utilizador </w:t>
      </w:r>
      <w:sdt>
        <w:sdtPr>
          <w:tag w:val="MENDELEY_CITATION_v3_eyJjaXRhdGlvbklEIjoiTUVOREVMRVlfQ0lUQVRJT05fYmUwODczMjAtOWZlNy00Zjg3LWE2NTQtYmU1OWVlOWJkOTkx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4728252"/>
          <w:placeholder>
            <w:docPart w:val="DefaultPlaceholder_-1854013440"/>
          </w:placeholder>
        </w:sdtPr>
        <w:sdtContent>
          <w:r>
            <w:rPr/>
          </w:r>
          <w:r>
            <w:rPr>
              <w:rFonts w:eastAsia="Times New Roman"/>
              <w:color w:val="000000"/>
            </w:rPr>
            <w:t>(Fisher &amp; Johansen, 2020; Shah &amp; Robinson, 2006)</w:t>
          </w:r>
        </w:sdtContent>
      </w:sdt>
      <w:r>
        <w:rPr/>
        <w:t>.</w:t>
      </w:r>
    </w:p>
    <w:p>
      <w:pPr>
        <w:pStyle w:val="TextoNormal-IPCA"/>
        <w:rPr/>
      </w:pPr>
      <w:r>
        <w:rPr/>
        <w:t xml:space="preserve">A posição intermédia do </w:t>
      </w:r>
      <w:r>
        <w:rPr>
          <w:i/>
          <w:iCs/>
        </w:rPr>
        <w:t>design</w:t>
      </w:r>
      <w:r>
        <w:rPr/>
        <w:t xml:space="preserve"> torna-se mais clara quando se considera a multiplicidade de papéis que os profissionais de saúde podem assumir nos processos de desenvolvimento. Além de validarem soluções, podem participar como parceiros empresariais, utilizadores peritos, mediadores entre as áreas clínica e tecnológica, ou profissionais clínicos e investigadores, conforme sintetizado na Tabela 1.</w:t>
      </w:r>
    </w:p>
    <w:p>
      <w:pPr>
        <w:pStyle w:val="TextoNormal-IPCA"/>
        <w:keepNext w:val="true"/>
        <w:rPr/>
      </w:pPr>
      <w:r>
        <w:rPr/>
      </w:r>
    </w:p>
    <w:p>
      <w:pPr>
        <w:pStyle w:val="Caption"/>
        <w:rPr/>
      </w:pPr>
      <w:bookmarkStart w:id="40" w:name="_Toc235562525"/>
      <w:r>
        <w:rPr/>
        <w:t xml:space="preserve">Tabela </w:t>
      </w:r>
      <w:r>
        <w:rPr/>
        <w:fldChar w:fldCharType="begin"/>
      </w:r>
      <w:r>
        <w:rPr/>
        <w:instrText xml:space="preserve"> SEQ Tabela \* ARABIC </w:instrText>
      </w:r>
      <w:r>
        <w:rPr/>
        <w:fldChar w:fldCharType="separate"/>
      </w:r>
      <w:r>
        <w:rPr/>
        <w:t>1</w:t>
      </w:r>
      <w:r>
        <w:rPr/>
        <w:fldChar w:fldCharType="end"/>
      </w:r>
      <w:r>
        <w:rPr/>
        <w:t>— Papéis dos profissionais de saúde no desenvolvimento de dispositivos médicos</w:t>
      </w:r>
      <w:bookmarkEnd w:id="40"/>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sz w:val="20"/>
                <w:szCs w:val="20"/>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sz w:val="20"/>
                <w:szCs w:val="20"/>
              </w:rPr>
              <w:t xml:space="preserve">Atuam como clientes ou defensores da equipa de </w:t>
            </w:r>
            <w:r>
              <w:rPr>
                <w:i/>
                <w:iCs/>
                <w:sz w:val="20"/>
                <w:szCs w:val="20"/>
              </w:rPr>
              <w:t>design</w:t>
            </w:r>
            <w:r>
              <w:rPr>
                <w:sz w:val="20"/>
                <w:szCs w:val="20"/>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sz w:val="20"/>
                <w:szCs w:val="20"/>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Resultados clínicos, ensaios e usabilidade</w:t>
            </w:r>
          </w:p>
        </w:tc>
      </w:tr>
    </w:tbl>
    <w:p>
      <w:pPr>
        <w:pStyle w:val="Nota-IPCA"/>
        <w:rPr>
          <w:lang w:val="pt-PT"/>
        </w:rPr>
      </w:pPr>
      <w:r>
        <w:rPr>
          <w:lang w:val="pt-PT"/>
        </w:rPr>
      </w:r>
    </w:p>
    <w:p>
      <w:pPr>
        <w:pStyle w:val="Nota-IPCA"/>
        <w:rPr>
          <w:lang w:val="pt-PT"/>
        </w:rPr>
      </w:pPr>
      <w:r>
        <w:rPr>
          <w:lang w:val="en-US"/>
        </w:rPr>
        <w:t xml:space="preserve">Adaptado de </w:t>
      </w:r>
      <w:sdt>
        <w:sdtPr>
          <w:tag w:val="MENDELEY_CITATION_v3_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"/>
          <w:id w:val="1797331290"/>
          <w:placeholder>
            <w:docPart w:val="DefaultPlaceholder_-1854013440"/>
          </w:placeholder>
        </w:sdtPr>
        <w:sdtContent>
          <w:r>
            <w:rPr>
              <w:lang w:val="en-US"/>
            </w:rPr>
          </w:r>
          <w:r>
            <w:rPr>
              <w:rFonts w:eastAsia="Times New Roman" w:cs="Arial"/>
              <w:color w:val="000000"/>
              <w:lang w:val="en-US"/>
            </w:rPr>
            <w:t>Kaygan &amp; Kaygan, (2025)</w:t>
          </w:r>
        </w:sdtContent>
      </w:sdt>
      <w:r>
        <w:rPr>
          <w:lang w:val="en-US"/>
        </w:rPr>
        <w:t xml:space="preserve">. Clients and carers: Healthcare professionals’ roles in medical device development processes in SMEs. </w:t>
      </w:r>
      <w:r>
        <w:rPr>
          <w:lang w:val="pt-PT"/>
        </w:rPr>
        <w:t>The Design Journal, 28(2), 213-231. https://doi.org/10.1080/14606925.2024.2420152</w:t>
      </w:r>
    </w:p>
    <w:p>
      <w:pPr>
        <w:pStyle w:val="Nota-IPCA"/>
        <w:rPr>
          <w:lang w:val="pt-PT"/>
        </w:rPr>
      </w:pPr>
      <w:r>
        <w:rPr>
          <w:lang w:val="pt-PT"/>
        </w:rPr>
      </w:r>
    </w:p>
    <w:p>
      <w:pPr>
        <w:pStyle w:val="Heading3"/>
        <w:numPr>
          <w:ilvl w:val="0"/>
          <w:numId w:val="0"/>
        </w:numPr>
        <w:ind w:hanging="0" w:start="0"/>
        <w:rPr/>
      </w:pPr>
      <w:bookmarkStart w:id="41" w:name="_Toc235564931"/>
      <w:r>
        <w:rPr>
          <w:i/>
          <w:iCs/>
        </w:rPr>
        <w:t>Design</w:t>
      </w:r>
      <w:r>
        <w:rPr/>
        <w:t xml:space="preserve"> inclusivo e </w:t>
      </w:r>
      <w:r>
        <w:rPr>
          <w:i/>
          <w:iCs/>
        </w:rPr>
        <w:t>design</w:t>
      </w:r>
      <w:r>
        <w:rPr/>
        <w:t xml:space="preserve"> universal</w:t>
      </w:r>
      <w:bookmarkEnd w:id="41"/>
    </w:p>
    <w:p>
      <w:pPr>
        <w:pStyle w:val="TextoNormal-IPCA"/>
        <w:keepNext w:val="true"/>
        <w:rPr/>
      </w:pPr>
      <w:r>
        <w:rPr/>
      </w:r>
    </w:p>
    <w:p>
      <w:pPr>
        <w:pStyle w:val="TextoNormal-IPCA"/>
        <w:rPr/>
      </w:pPr>
      <w:r>
        <w:rPr/>
        <w:t xml:space="preserve">O </w:t>
      </w:r>
      <w:r>
        <w:rPr>
          <w:i/>
          <w:iCs/>
        </w:rPr>
        <w:t>design</w:t>
      </w:r>
      <w:r>
        <w:rPr/>
        <w:t xml:space="preserve"> inclusivo introduz uma mudança conceptual significativa: em vez de considerar a limitação funcional um atributo individual, compreende a exclusão como resultado de desajustes entre as capacidades humanas e os ambientes projetados </w:t>
      </w:r>
      <w:sdt>
        <w:sdtPr>
          <w:tag w:val="MENDELEY_CITATION_v3_eyJjaXRhdGlvbklEIjoiTUVOREVMRVlfQ0lUQVRJT05fZmZhZGJkYmUtYjQyYy00YjQ5LWFlYWUtY2UxYzU5NGNmYzg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341545535"/>
          <w:placeholder>
            <w:docPart w:val="DefaultPlaceholder_-1854013440"/>
          </w:placeholder>
        </w:sdtPr>
        <w:sdtContent>
          <w:r>
            <w:rPr/>
          </w:r>
          <w:r>
            <w:rPr>
              <w:rFonts w:eastAsia="Times New Roman"/>
              <w:color w:val="000000"/>
            </w:rPr>
            <w:t>(Clarkson &amp; Coleman, 2010)</w:t>
          </w:r>
        </w:sdtContent>
      </w:sdt>
      <w:r>
        <w:rPr/>
        <w:t>.</w:t>
      </w:r>
    </w:p>
    <w:p>
      <w:pPr>
        <w:pStyle w:val="TextoNormal-IPCA"/>
        <w:rPr/>
      </w:pPr>
      <w:r>
        <w:rPr/>
        <w:t xml:space="preserve">Esta perspetiva aproxima-se dos modelos sociais e relacionais da deficiência ao salientar que a exclusão pode resultar de decisões de projeto que não contemplam a diversidade dos utilizadores </w:t>
      </w:r>
      <w:sdt>
        <w:sdtPr>
          <w:tag w:val="MENDELEY_CITATION_v3_eyJjaXRhdGlvbklEIjoiTUVOREVMRVlfQ0lUQVRJT05fN2UzYjU2OTktZjQ2Mi00ZGZlLWI0OWEtZjU1MWQxZDA0MmY1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1059550281"/>
          <w:placeholder>
            <w:docPart w:val="DefaultPlaceholder_-1854013440"/>
          </w:placeholder>
        </w:sdtPr>
        <w:sdtContent>
          <w:r>
            <w:rPr/>
          </w:r>
          <w:r>
            <w:rPr>
              <w:rFonts w:eastAsia="Times New Roman"/>
              <w:color w:val="000000"/>
            </w:rPr>
            <w:t>(Clarkson &amp; Coleman, 2010)</w:t>
          </w:r>
        </w:sdtContent>
      </w:sdt>
      <w:r>
        <w:rPr/>
        <w:t>.</w:t>
      </w:r>
    </w:p>
    <w:p>
      <w:pPr>
        <w:pStyle w:val="TextoNormal-IPCA"/>
        <w:rPr/>
      </w:pPr>
      <w:r>
        <w:rPr/>
        <w:t xml:space="preserve">Enquanto campo de prática e investigação, o </w:t>
      </w:r>
      <w:r>
        <w:rPr>
          <w:i/>
          <w:iCs/>
        </w:rPr>
        <w:t>design</w:t>
      </w:r>
      <w:r>
        <w:rPr/>
        <w:t xml:space="preserve"> inclusivo desenvolveu ferramentas e orientações para apoiar as equipas de projeto na consideração sistemática da diversidade populacional. Entre elas encontram-se estratégias de segmentação, análises de capacidades e critérios de acessibilidade aplicáveis a produtos e sistemas, incluindo tecnologias digitais em saúde </w:t>
      </w:r>
      <w:sdt>
        <w:sdtPr>
          <w:tag w:val="MENDELEY_CITATION_v3_eyJjaXRhdGlvbklEIjoiTUVOREVMRVlfQ0lUQVRJT05fYzE2ZjEzMmYtMGMwYi00MDQyLWFjZTgtZjQ3OWZkNWU4NWE5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230616986"/>
          <w:placeholder>
            <w:docPart w:val="DefaultPlaceholder_-1854013440"/>
          </w:placeholder>
        </w:sdtPr>
        <w:sdtContent>
          <w:r>
            <w:rPr/>
          </w:r>
          <w:r>
            <w:rPr>
              <w:rFonts w:eastAsia="Times New Roman"/>
              <w:color w:val="000000"/>
            </w:rPr>
            <w:t>(Clarkson &amp; Coleman, 2010)</w:t>
          </w:r>
        </w:sdtContent>
      </w:sdt>
      <w:r>
        <w:rPr/>
        <w:t>.</w:t>
      </w:r>
    </w:p>
    <w:p>
      <w:pPr>
        <w:pStyle w:val="TextoNormal-IPCA"/>
        <w:rPr/>
      </w:pPr>
      <w:r>
        <w:rPr/>
        <w:t xml:space="preserve">O </w:t>
      </w:r>
      <w:r>
        <w:rPr>
          <w:i/>
          <w:iCs/>
        </w:rPr>
        <w:t>design</w:t>
      </w:r>
      <w:r>
        <w:rPr/>
        <w:t xml:space="preserve"> universal é frequentemente apresentado como uma abordagem de ampla aplicação no </w:t>
      </w:r>
      <w:r>
        <w:rPr>
          <w:i/>
          <w:iCs/>
        </w:rPr>
        <w:t>design</w:t>
      </w:r>
      <w:r>
        <w:rPr/>
        <w:t xml:space="preserve"> industrial, orientada para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foram compilados por um grupo de dez investigadores e profissionais, entre os quais Ron Mace, e publicados em 1997 pelo </w:t>
      </w:r>
      <w:r>
        <w:rPr>
          <w:i/>
          <w:iCs/>
        </w:rPr>
        <w:t>Center for Universal Design</w:t>
      </w:r>
      <w:r>
        <w:rPr/>
        <w:t xml:space="preserve"> da </w:t>
      </w:r>
      <w:r>
        <w:rPr>
          <w:i/>
          <w:iCs/>
        </w:rPr>
        <w:t>North Carolina State University</w:t>
      </w:r>
      <w:r>
        <w:rPr/>
        <w:t>. O quadro abrange uso equitativo, flexibilidade no uso, utilização simples e intuitiva, informação percetível, tolerância ao erro, baixo esforço físico, dimensão e espaço adequados à aproximação e à utilização (Center for Universal Design, 1997).</w:t>
      </w:r>
    </w:p>
    <w:p>
      <w:pPr>
        <w:pStyle w:val="TextoNormal-IPCA"/>
        <w:rPr/>
      </w:pPr>
      <w:r>
        <w:rPr/>
        <w:t xml:space="preserve">Na área da saúde, a operacionalização do </w:t>
      </w:r>
      <w:r>
        <w:rPr>
          <w:i/>
          <w:iCs/>
        </w:rPr>
        <w:t>design</w:t>
      </w:r>
      <w:r>
        <w:rPr/>
        <w:t xml:space="preserve"> universal recorre a critérios de usabilidade, funcionalidade, segurança, orientação espacial, compreensão, fatores ambientais, bem-estar e inclusão social </w:t>
      </w:r>
      <w:sdt>
        <w:sdtPr>
          <w:tag w:val="MENDELEY_CITATION_v3_eyJjaXRhdGlvbklEIjoiTUVOREVMRVlfQ0lUQVRJT05fODMyNWRjMmMtYWE3OS00ZjdmLTlmMTAtODYzNWFiM2VhMGVk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
          <w:id w:val="-689292955"/>
          <w:placeholder>
            <w:docPart w:val="DefaultPlaceholder_-1854013440"/>
          </w:placeholder>
        </w:sdtPr>
        <w:sdtContent>
          <w:r>
            <w:rPr/>
          </w:r>
          <w:r>
            <w:rPr>
              <w:rFonts w:eastAsia="Times New Roman"/>
              <w:color w:val="000000"/>
            </w:rPr>
            <w:t>(White &amp; Mosca, 2022)</w:t>
          </w:r>
        </w:sdtContent>
      </w:sdt>
      <w:r>
        <w:rPr/>
        <w:t xml:space="preserve">. Nesta dissertação, esta aplicação é interpretada como um ponto de convergência entre </w:t>
      </w:r>
      <w:r>
        <w:rPr>
          <w:i/>
          <w:iCs/>
        </w:rPr>
        <w:t>o design</w:t>
      </w:r>
      <w:r>
        <w:rPr/>
        <w:t xml:space="preserve"> universal e </w:t>
      </w:r>
      <w:r>
        <w:rPr>
          <w:i/>
          <w:iCs/>
        </w:rPr>
        <w:t>o design</w:t>
      </w:r>
      <w:r>
        <w:rPr/>
        <w:t xml:space="preserve"> inclusivo, uma vez que relaciona a redução de barreiras com a usabilidade e a inclusão.</w:t>
      </w:r>
    </w:p>
    <w:p>
      <w:pPr>
        <w:pStyle w:val="TextoNormal-IPCA"/>
        <w:rPr/>
      </w:pPr>
      <w:r>
        <w:rPr/>
      </w:r>
    </w:p>
    <w:p>
      <w:pPr>
        <w:pStyle w:val="Heading3"/>
        <w:numPr>
          <w:ilvl w:val="0"/>
          <w:numId w:val="0"/>
        </w:numPr>
        <w:ind w:hanging="0" w:start="0"/>
        <w:rPr/>
      </w:pPr>
      <w:bookmarkStart w:id="42" w:name="_Toc235564932"/>
      <w:r>
        <w:rPr>
          <w:i/>
          <w:iCs/>
        </w:rPr>
        <w:t>Design</w:t>
      </w:r>
      <w:r>
        <w:rPr/>
        <w:t xml:space="preserve"> centrado no utilizador e </w:t>
      </w:r>
      <w:r>
        <w:rPr>
          <w:i/>
          <w:iCs/>
        </w:rPr>
        <w:t>design</w:t>
      </w:r>
      <w:r>
        <w:rPr/>
        <w:t xml:space="preserve"> centrado no humano</w:t>
      </w:r>
      <w:bookmarkEnd w:id="42"/>
    </w:p>
    <w:p>
      <w:pPr>
        <w:pStyle w:val="TextoNormal-IPCA"/>
        <w:keepNext w:val="true"/>
        <w:rPr/>
      </w:pPr>
      <w:r>
        <w:rPr/>
      </w:r>
    </w:p>
    <w:p>
      <w:pPr>
        <w:pStyle w:val="TextoNormal-IPCA"/>
        <w:rPr/>
      </w:pPr>
      <w:r>
        <w:rPr/>
        <w:t xml:space="preserve">O </w:t>
      </w:r>
      <w:r>
        <w:rPr>
          <w:i/>
          <w:iCs/>
        </w:rPr>
        <w:t>design</w:t>
      </w:r>
      <w:r>
        <w:rPr/>
        <w:t xml:space="preserve"> centrado no utilizador (</w:t>
      </w:r>
      <w:r>
        <w:rPr>
          <w:i/>
          <w:iCs/>
        </w:rPr>
        <w:t>User-Centred Design</w:t>
      </w:r>
      <w:r>
        <w:rPr/>
        <w:t xml:space="preserve"> – UCD) procura envolver os utilizadores finais em diferentes fases do desenvolvimento, de modo que as suas necessidades, competências e contextos de utilização sejam considerados na definição e na avaliação do produto </w:t>
      </w:r>
      <w:sdt>
        <w:sdtPr>
          <w:tag w:val="MENDELEY_CITATION_v3_eyJjaXRhdGlvbklEIjoiTUVOREVMRVlfQ0lUQVRJT05fMzU2YWM0NzUtZGQ0Zi00OWI1LWIxZjEtNTg4MmRjMjdhODc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970095502"/>
          <w:placeholder>
            <w:docPart w:val="DefaultPlaceholder_-1854013440"/>
          </w:placeholder>
        </w:sdtPr>
        <w:sdtContent>
          <w:r>
            <w:rPr/>
          </w:r>
          <w:r>
            <w:rPr>
              <w:rFonts w:eastAsia="Times New Roman"/>
              <w:color w:val="000000"/>
            </w:rPr>
            <w:t>(Fisher &amp; Johansen, 2020; Shah &amp; Robinson, 2006)</w:t>
          </w:r>
        </w:sdtContent>
      </w:sdt>
      <w:r>
        <w:rPr/>
        <w:t>.</w:t>
      </w:r>
    </w:p>
    <w:p>
      <w:pPr>
        <w:pStyle w:val="TextoNormal-IPCA"/>
        <w:rPr/>
      </w:pPr>
      <w:r>
        <w:rPr/>
        <w:t xml:space="preserve">O </w:t>
      </w:r>
      <w:r>
        <w:rPr>
          <w:i/>
          <w:iCs/>
        </w:rPr>
        <w:t>design</w:t>
      </w:r>
      <w:r>
        <w:rPr/>
        <w:t xml:space="preserve"> centrado no humano (</w:t>
      </w:r>
      <w:r>
        <w:rPr>
          <w:i/>
          <w:iCs/>
        </w:rPr>
        <w:t>Human-Centred Design</w:t>
      </w:r>
      <w:r>
        <w:rPr/>
        <w:t xml:space="preserve"> – HCD) alarga esta perspetiva ao integrar dimensões culturais, contextuais e sistémicas. No desenvolvimento de dispositivos médicos, o HCD associa-se a práticas como a etnografia, o </w:t>
      </w:r>
      <w:r>
        <w:rPr>
          <w:i/>
          <w:iCs/>
        </w:rPr>
        <w:t>design</w:t>
      </w:r>
      <w:r>
        <w:rPr/>
        <w:t xml:space="preserve"> participativo, o mapeamento de jornadas (</w:t>
      </w:r>
      <w:r>
        <w:rPr>
          <w:i/>
          <w:iCs/>
        </w:rPr>
        <w:t>journey maps</w:t>
      </w:r>
      <w:r>
        <w:rPr/>
        <w:t xml:space="preserve">), o mapeamento de </w:t>
      </w:r>
      <w:r>
        <w:rPr>
          <w:i/>
          <w:iCs/>
        </w:rPr>
        <w:t>stakeholders</w:t>
      </w:r>
      <w:r>
        <w:rPr/>
        <w:t xml:space="preserve"> e a avaliação de fatores humanos. A norma IEC 62366-1:2015 estabelece um processo de engenharia de usabilidade para analisar, especificar, desenvolver e avaliar a utilização segura de dispositivos médicos </w:t>
      </w:r>
      <w:sdt>
        <w:sdtPr>
          <w:tag w:val="MENDELEY_CITATION_v3_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"/>
          <w:id w:val="696595651"/>
          <w:placeholder>
            <w:docPart w:val="DefaultPlaceholder_-1854013440"/>
          </w:placeholder>
        </w:sdtPr>
        <w:sdtContent>
          <w:r>
            <w:rPr/>
          </w:r>
          <w:r>
            <w:rPr>
              <w:color w:val="000000"/>
            </w:rPr>
            <w:t>(International Electrotechnical Commission., 2015)</w:t>
          </w:r>
        </w:sdtContent>
      </w:sdt>
      <w:r>
        <w:rPr/>
        <w:t xml:space="preserve">. Este processo inclui avaliações </w:t>
      </w:r>
      <w:r>
        <w:rPr/>
        <w:t xml:space="preserve">realizadas durante o desenvolvimento para orientar melhorias, bem como uma avaliação final da interface no contexto de utilização previsto </w:t>
      </w:r>
      <w:sdt>
        <w:sdtPr>
          <w:tag w:val="MENDELEY_CITATION_v3_eyJjaXRhdGlvbklEIjoiTUVOREVMRVlfQ0lUQVRJT05fNmJhMGRkZGMtZDBkYS00MTgwLWEzMWUtZjY2YjFmNGJhNTgwIiwicHJvcGVydGllcyI6eyJub3RlSW5kZXgiOjB9LCJpc0VkaXRlZCI6ZmFsc2UsIm1hbnVhbE92ZXJyaWRlIjp7ImlzTWFudWFsbHlPdmVycmlkZGVuIjpmYWxzZSwiY2l0ZXByb2NUZXh0IjoiKEZpc2hlciAmIzM4OyBKb2hhbnNlbiwgMjAyMDsgTWlsbGV0IGV0IGFsLiwgMjAxOC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"/>
          <w:id w:val="-1463962306"/>
          <w:placeholder>
            <w:docPart w:val="DefaultPlaceholder_-1854013440"/>
          </w:placeholder>
        </w:sdtPr>
        <w:sdtContent>
          <w:r>
            <w:rPr/>
          </w:r>
          <w:r>
            <w:rPr>
              <w:rFonts w:eastAsia="Times New Roman"/>
              <w:color w:val="000000"/>
            </w:rPr>
            <w:t>(Fisher &amp; Johansen, 2020; Millet et al., 2018)</w:t>
          </w:r>
        </w:sdtContent>
      </w:sdt>
      <w:r>
        <w:rPr/>
        <w:t>.</w:t>
      </w:r>
    </w:p>
    <w:p>
      <w:pPr>
        <w:pStyle w:val="TextoNormal-IPCA"/>
        <w:rPr/>
      </w:pPr>
      <w:r>
        <w:rPr/>
        <w:t xml:space="preserve">A incorporação de fatores humanos é também reforçada por diretivas e normas que exigem a redução dos riscos de uso inadequado e articulam a segurança, a ergonomia e a usabilidade como dimensões indissociáveis do desenvolvimento de dispositivos médicos </w:t>
      </w:r>
      <w:sdt>
        <w:sdtPr>
          <w:tag w:val="MENDELEY_CITATION_v3_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"/>
          <w:id w:val="-1910073869"/>
          <w:placeholder>
            <w:docPart w:val="DefaultPlaceholder_-1854013440"/>
          </w:placeholder>
        </w:sdtPr>
        <w:sdtContent>
          <w:r>
            <w:rPr/>
          </w:r>
          <w:r>
            <w:rPr>
              <w:color w:val="000000"/>
            </w:rPr>
            <w:t>(Millet et al., 2018)</w:t>
          </w:r>
        </w:sdtContent>
      </w:sdt>
      <w:r>
        <w:rPr/>
        <w:t>.</w:t>
      </w:r>
    </w:p>
    <w:p>
      <w:pPr>
        <w:pStyle w:val="TextoNormal-IPCA"/>
        <w:ind w:hanging="0"/>
        <w:rPr/>
      </w:pPr>
      <w:r>
        <w:rPr/>
      </w:r>
    </w:p>
    <w:p>
      <w:pPr>
        <w:pStyle w:val="Heading3"/>
        <w:numPr>
          <w:ilvl w:val="0"/>
          <w:numId w:val="0"/>
        </w:numPr>
        <w:ind w:hanging="0" w:start="0"/>
        <w:rPr/>
      </w:pPr>
      <w:bookmarkStart w:id="43" w:name="_Toc235564933"/>
      <w:r>
        <w:rPr>
          <w:i/>
          <w:iCs/>
        </w:rPr>
        <w:t>Design</w:t>
      </w:r>
      <w:r>
        <w:rPr/>
        <w:t xml:space="preserve"> Participativo e </w:t>
      </w:r>
      <w:r>
        <w:rPr>
          <w:i/>
          <w:iCs/>
        </w:rPr>
        <w:t>Co-design</w:t>
      </w:r>
      <w:bookmarkEnd w:id="43"/>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aprofundam as abordagens centradas no utilizador ao privilegiar a participação ativa e o envolvimento dos utilizadores no processo de projeto. Nestes modelos, os utilizadores contribuem para definir problemas, gerar soluções e avaliar protótipos </w:t>
      </w:r>
      <w:sdt>
        <w:sdtPr>
          <w:tag w:val="MENDELEY_CITATION_v3_eyJjaXRhdGlvbklEIjoiTUVOREVMRVlfQ0lUQVRJT05fNTI3YjY3NGYtZGMwNC00YjJmLWFhN2UtZTIyYWUwZThmODIz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049042540"/>
          <w:placeholder>
            <w:docPart w:val="DefaultPlaceholder_-1854013440"/>
          </w:placeholder>
        </w:sdtPr>
        <w:sdtContent>
          <w:r>
            <w:rPr/>
          </w:r>
          <w:r>
            <w:rPr>
              <w:color w:val="000000"/>
            </w:rPr>
            <w:t>(Chapman et al., 2025)</w:t>
          </w:r>
        </w:sdtContent>
      </w:sdt>
      <w:r>
        <w:rPr/>
        <w:t>.</w:t>
      </w:r>
    </w:p>
    <w:p>
      <w:pPr>
        <w:pStyle w:val="TextoNormal-IPCA"/>
        <w:rPr/>
      </w:pPr>
      <w:r>
        <w:rPr/>
        <w:t xml:space="preserve">As revisões sistemáticas assinalam a necessidade de descrever os processos de co-design com maior transparência e rigor, de modo a reforçar a sua validade metodológica e eficácia prática. Nas tecnologias de apoio, observa-se uma evolução discursiva dos modelos centrados no utilizador para paradigmas de cocriação, nos quais as experiências dos utilizadores ocupam uma posição central na tomada de decisão </w:t>
      </w:r>
      <w:sdt>
        <w:sdtPr>
          <w:tag w:val="MENDELEY_CITATION_v3_eyJjaXRhdGlvbklEIjoiTUVOREVMRVlfQ0lUQVRJT05fZDVkZjRmZTAtZWIwOC00M2RhLWI0MDYtMDBlNTYyNzdmNGJi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944311879"/>
          <w:placeholder>
            <w:docPart w:val="DefaultPlaceholder_-1854013440"/>
          </w:placeholder>
        </w:sdtPr>
        <w:sdtContent>
          <w:r>
            <w:rPr/>
          </w:r>
          <w:r>
            <w:rPr>
              <w:color w:val="000000"/>
            </w:rPr>
            <w:t>(Chapman et al., 2025)</w:t>
          </w:r>
        </w:sdtContent>
      </w:sdt>
      <w:r>
        <w:rPr/>
        <w:t xml:space="preserve">. Contudo, persistem tensões entre os ideais participativos e os contextos regulatórios altamente estruturados, em que o poder de decisão permanece frequentemente concentrado nos profissionais clínicos e nas equipas técnicas </w:t>
      </w:r>
      <w:sdt>
        <w:sdtPr>
          <w:tag w:val="MENDELEY_CITATION_v3_eyJjaXRhdGlvbklEIjoiTUVOREVMRVlfQ0lUQVRJT05fMzJmNDM1NWUtZmEyMC00MTE5LTgyMjQtYjIzMjBjODFjNzQ2IiwicHJvcGVydGllcyI6eyJub3RlSW5kZXgiOjB9LCJpc0VkaXRlZCI6ZmFsc2UsIm1hbnVhbE92ZXJyaWRlIjp7ImlzTWFudWFsbHlPdmVycmlkZGVuIjpmYWxzZSwiY2l0ZXByb2NUZXh0IjoiKENoYXBtYW4gZXQgYWwuLCAyMDI1OyBXaWxrZSBldCBhbC4sIDIwMjApIiwibWFudWFsT3ZlcnJpZGVUZXh0Ijoi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"/>
          <w:id w:val="810519513"/>
          <w:placeholder>
            <w:docPart w:val="DefaultPlaceholder_-1854013440"/>
          </w:placeholder>
        </w:sdtPr>
        <w:sdtContent>
          <w:r>
            <w:rPr/>
          </w:r>
          <w:r>
            <w:rPr>
              <w:color w:val="000000"/>
            </w:rPr>
            <w:t>(Chapman et al., 2025; Wilke et al., 2020)</w:t>
          </w:r>
        </w:sdtContent>
      </w:sdt>
      <w:r>
        <w:rPr/>
        <w:t>.</w:t>
      </w:r>
    </w:p>
    <w:p>
      <w:pPr>
        <w:pStyle w:val="TextoNormal-IPCA"/>
        <w:rPr/>
      </w:pPr>
      <w:r>
        <w:rPr/>
      </w:r>
    </w:p>
    <w:p>
      <w:pPr>
        <w:pStyle w:val="Heading3"/>
        <w:numPr>
          <w:ilvl w:val="0"/>
          <w:numId w:val="0"/>
        </w:numPr>
        <w:ind w:hanging="0" w:start="0"/>
        <w:rPr/>
      </w:pPr>
      <w:bookmarkStart w:id="44" w:name="_Toc235564934"/>
      <w:r>
        <w:rPr/>
        <w:t>Metodologias, instrumentos e avaliação</w:t>
      </w:r>
      <w:bookmarkEnd w:id="44"/>
    </w:p>
    <w:p>
      <w:pPr>
        <w:pStyle w:val="TextoNormal-IPCA"/>
        <w:keepNext w:val="true"/>
        <w:rPr/>
      </w:pPr>
      <w:r>
        <w:rPr/>
      </w:r>
    </w:p>
    <w:p>
      <w:pPr>
        <w:pStyle w:val="TextoNormal-IPCA"/>
        <w:rPr/>
      </w:pPr>
      <w:sdt>
        <w:sdtPr>
          <w:tag w:val="MENDELEY_CITATION_v3_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"/>
          <w:id w:val="637696096"/>
          <w:placeholder>
            <w:docPart w:val="DefaultPlaceholder_-1854013440"/>
          </w:placeholder>
        </w:sdtPr>
        <w:sdtContent>
          <w:r>
            <w:rPr>
              <w:rFonts w:eastAsia="Times New Roman"/>
              <w:color w:val="000000"/>
            </w:rPr>
          </w:r>
          <w:r>
            <w:rPr>
              <w:rFonts w:eastAsia="Times New Roman"/>
              <w:color w:val="000000"/>
            </w:rPr>
            <w:t>Shah &amp; Robinson (2006)</w:t>
          </w:r>
        </w:sdtContent>
      </w:sdt>
      <w:r>
        <w:rPr/>
        <w:t xml:space="preserve"> mostram que os utilizadores podem participar no desenvolvimento de tecnologias de saúde durante as fases de definição do conceito, desenvolvimento, teste e implementação. Para esse envolvimento, podem ser utilizados métodos como entrevistas, questionários, testes de usabilidade, simulações, atividades colaborativas de definição e desenvolvimento de soluções e discussões orientadas em grupo.</w:t>
      </w:r>
    </w:p>
    <w:p>
      <w:pPr>
        <w:pStyle w:val="TextoNormal-IPCA"/>
        <w:rPr/>
      </w:pPr>
      <w:r>
        <w:rPr/>
        <w:t xml:space="preserve">No domínio hospitalar e dos serviços de saúde, as ferramentas de avaliação baseadas em critérios de </w:t>
      </w:r>
      <w:r>
        <w:rPr>
          <w:i/>
          <w:iCs/>
        </w:rPr>
        <w:t>design</w:t>
      </w:r>
      <w:r>
        <w:rPr/>
        <w:t xml:space="preserve"> universal e de </w:t>
      </w:r>
      <w:r>
        <w:rPr>
          <w:i/>
          <w:iCs/>
        </w:rPr>
        <w:t>design</w:t>
      </w:r>
      <w:r>
        <w:rPr/>
        <w:t xml:space="preserve"> para todos (</w:t>
      </w:r>
      <w:r>
        <w:rPr>
          <w:i/>
          <w:iCs/>
        </w:rPr>
        <w:t>Design for All</w:t>
      </w:r>
      <w:r>
        <w:rPr/>
        <w:t xml:space="preserve">) recorrem a sistemas de análise multicritério e a listas de verificação estruturadas para aferir os níveis de inclusão </w:t>
      </w:r>
      <w:sdt>
        <w:sdtPr>
          <w:tag w:val="MENDELEY_CITATION_v3_eyJjaXRhdGlvbklEIjoiTUVOREVMRVlfQ0lUQVRJT05fZWFmYzE0MTAtMGQ4My00N2Y1LTg5MzItYzU3YjQzNGJmZmU1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
          <w:id w:val="-990702104"/>
          <w:placeholder>
            <w:docPart w:val="DefaultPlaceholder_-1854013440"/>
          </w:placeholder>
        </w:sdtPr>
        <w:sdtContent>
          <w:r>
            <w:rPr/>
          </w:r>
          <w:r>
            <w:rPr>
              <w:rFonts w:eastAsia="Times New Roman"/>
              <w:color w:val="000000"/>
            </w:rPr>
            <w:t>(White &amp; Mosca, 2022)</w:t>
          </w:r>
        </w:sdtContent>
      </w:sdt>
      <w:r>
        <w:rPr/>
        <w:t>.</w:t>
      </w:r>
    </w:p>
    <w:p>
      <w:pPr>
        <w:pStyle w:val="TextoNormal-IPCA"/>
        <w:rPr/>
      </w:pPr>
      <w:r>
        <w:rPr/>
        <w:t xml:space="preserve">Na seleção de tecnologias de apoio, o modelo </w:t>
      </w:r>
      <w:r>
        <w:rPr>
          <w:i/>
          <w:iCs/>
        </w:rPr>
        <w:t>Matching Person and Technology</w:t>
      </w:r>
      <w:r>
        <w:rPr/>
        <w:t xml:space="preserve"> (MPT) procura relacionar as capacidades e perspetivas da pessoa com uma tecnologia específica e com o ambiente em que esta será utilizada </w:t>
      </w:r>
      <w:sdt>
        <w:sdtPr>
          <w:tag w:val="MENDELEY_CITATION_v3_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"/>
          <w:id w:val="1422521106"/>
          <w:placeholder>
            <w:docPart w:val="DefaultPlaceholder_-1854013440"/>
          </w:placeholder>
        </w:sdtPr>
        <w:sdtContent>
          <w:r>
            <w:rPr/>
          </w:r>
          <w:r>
            <w:rPr>
              <w:color w:val="000000"/>
            </w:rPr>
            <w:t>(Van Niekerk et al., 2021)</w:t>
          </w:r>
        </w:sdtContent>
      </w:sdt>
      <w:r>
        <w:rPr/>
        <w:t xml:space="preserve">. A Classificação Internacional de Funcionalidade, Incapacidade e Saúde (ICF), por sua vez, considera a interação entre a condição de saúde e os fatores pessoais e ambientais, que incluem os produtos e as tecnologias </w:t>
      </w:r>
      <w:sdt>
        <w:sdtPr>
          <w:tag w:val="MENDELEY_CITATION_v3_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AuMTc4ODE4MSIsImlzc3VlZCI6eyJkYXRlLXBhcnRzIjpbWzIwMjBdXX0sImNvbnRhaW5lci10aXRsZS1zaG9ydCI6IkRpc2FiaWwuIFJlaGFiaWwuIEFzc2lzdC4gVGVjaG5vbC4ifSwiaXNUZW1wb3JhcnkiOmZhbHNlLCJzdXBwcmVzcy1hdXRob3IiOmZhbHNlLCJjb21wb3NpdGUiOmZhbHNlLCJhdXRob3Itb25seSI6ZmFsc2V9XX0="/>
          <w:id w:val="-1023781945"/>
          <w:placeholder>
            <w:docPart w:val="DefaultPlaceholder_-1854013440"/>
          </w:placeholder>
        </w:sdtPr>
        <w:sdtContent>
          <w:r>
            <w:rPr/>
          </w:r>
          <w:r>
            <w:rPr>
              <w:color w:val="000000"/>
            </w:rPr>
            <w:t>(Howard et al., 2020)</w:t>
          </w:r>
        </w:sdtContent>
      </w:sdt>
      <w:r>
        <w:rPr/>
        <w:t xml:space="preserve">. No âmbito do </w:t>
      </w:r>
      <w:r>
        <w:rPr>
          <w:i/>
          <w:iCs/>
        </w:rPr>
        <w:t>design</w:t>
      </w:r>
      <w:r>
        <w:rPr/>
        <w:t>, estes enquadramentos mostram que a adequação do dispositivo depende não só das suas características técnicas, mas também da correspondência com as necessidades da pessoa e o seu contexto de utilização.</w:t>
      </w:r>
    </w:p>
    <w:p>
      <w:pPr>
        <w:pStyle w:val="TextoNormal-IPCA"/>
        <w:rPr/>
      </w:pPr>
      <w:sdt>
        <w:sdtPr>
          <w:tag w:val="MENDELEY_CITATION_v3_eyJjaXRhdGlvbklEIjoiTUVOREVMRVlfQ0lUQVRJT05fZjk4NGFiZjEtNjdhMi00MThiLWFkZDAtNzYzZDI4NWQ2MDAyIiwicHJvcGVydGllcyI6eyJub3RlSW5kZXgiOjB9LCJpc0VkaXRlZCI6ZmFsc2UsIm1hbnVhbE92ZXJyaWRlIjp7ImlzTWFudWFsbHlPdmVycmlkZGVuIjp0cnVlLCJjaXRlcHJvY1RleHQiOiIoQ2hhcG1hbiBldCBhbC4sIDIwMjUpIiwibWFudWFsT3ZlcnJpZGVUZXh0IjoiQ2hhcG1hbiBldCBhbC4gKDIwMjUp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622304255"/>
          <w:placeholder>
            <w:docPart w:val="DefaultPlaceholder_-1854013440"/>
          </w:placeholder>
        </w:sdtPr>
        <w:sdtContent>
          <w:r>
            <w:rPr>
              <w:color w:val="000000"/>
            </w:rPr>
          </w:r>
          <w:r>
            <w:rPr>
              <w:color w:val="000000"/>
            </w:rPr>
            <w:t>Chapman et al. (2025)</w:t>
          </w:r>
        </w:sdtContent>
      </w:sdt>
      <w:r>
        <w:rPr/>
        <w:t xml:space="preserve"> explicitam as etapas de identificação e seleção dos estudos incluídos na sua revisão, mediante uma adaptação das orientações PRISMA</w:t>
      </w:r>
      <w:r>
        <w:rPr>
          <w:rStyle w:val="FootnoteReference"/>
        </w:rPr>
        <w:footnoteReference w:id="3"/>
      </w:r>
      <w:r>
        <w:rPr/>
        <w:t xml:space="preserve">. Este registo permite compreender a constituição do conjunto de estudos analisados e clarifica a fundamentação bibliográfica utilizada para apoiar decisões de </w:t>
      </w:r>
      <w:r>
        <w:rPr>
          <w:i/>
          <w:iCs/>
        </w:rPr>
        <w:t>design</w:t>
      </w:r>
      <w:r>
        <w:rPr/>
        <w:t>.</w:t>
      </w:r>
    </w:p>
    <w:p>
      <w:pPr>
        <w:pStyle w:val="TextoNormal-IPCA"/>
        <w:rPr/>
      </w:pPr>
      <w:r>
        <w:rPr/>
      </w:r>
    </w:p>
    <w:p>
      <w:pPr>
        <w:pStyle w:val="Heading3"/>
        <w:numPr>
          <w:ilvl w:val="0"/>
          <w:numId w:val="0"/>
        </w:numPr>
        <w:ind w:hanging="0" w:start="0"/>
        <w:rPr/>
      </w:pPr>
      <w:bookmarkStart w:id="45" w:name="_Toc235564935"/>
      <w:r>
        <w:rPr/>
        <w:t>Desafios e lacunas</w:t>
      </w:r>
      <w:bookmarkEnd w:id="45"/>
    </w:p>
    <w:p>
      <w:pPr>
        <w:pStyle w:val="TextoNormal-IPCA"/>
        <w:keepNext w:val="true"/>
        <w:rPr/>
      </w:pPr>
      <w:r>
        <w:rPr/>
      </w:r>
    </w:p>
    <w:p>
      <w:pPr>
        <w:pStyle w:val="TextoNormal-IPCA"/>
        <w:rPr/>
      </w:pPr>
      <w:r>
        <w:rPr/>
        <w:t xml:space="preserve">Os desafios identificados incluem o desfasamento entre os princípios do </w:t>
      </w:r>
      <w:r>
        <w:rPr>
          <w:i/>
          <w:iCs/>
        </w:rPr>
        <w:t>design</w:t>
      </w:r>
      <w:r>
        <w:rPr/>
        <w:t xml:space="preserve"> centrado no utilizador e as condições institucionais em que os dispositivos médicos são desenvolvidos, assim como a necessidade de atender à diversidade de necessidades, competências e contextos de utilização </w:t>
      </w:r>
      <w:sdt>
        <w:sdtPr>
          <w:tag w:val="MENDELEY_CITATION_v3_eyJjaXRhdGlvbklEIjoiTUVOREVMRVlfQ0lUQVRJT05fYTM5MmY2NTMtMGY4MC00ZDVlLWI3ODctODFiMjM1ZDNmMDU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1742203197"/>
          <w:placeholder>
            <w:docPart w:val="DefaultPlaceholder_-1854013440"/>
          </w:placeholder>
        </w:sdtPr>
        <w:sdtContent>
          <w:r>
            <w:rPr/>
          </w:r>
          <w:r>
            <w:rPr>
              <w:rFonts w:eastAsia="Times New Roman"/>
              <w:color w:val="000000"/>
            </w:rPr>
            <w:t>(Fisher &amp; Johansen, 2020; Shah &amp; Robinson, 2006)</w:t>
          </w:r>
        </w:sdtContent>
      </w:sdt>
      <w:r>
        <w:rPr/>
        <w:t xml:space="preserve">. Na transição da investigação para a aplicação, persistem limitações na evidência disponível e na colaboração entre equipas académicas, industriais e clínicas ao longo do desenvolvimento e da introdução das tecnologias no mercado </w:t>
      </w:r>
      <w:sdt>
        <w:sdtPr>
          <w:tag w:val="MENDELEY_CITATION_v3_eyJjaXRhdGlvbklEIjoiTUVOREVMRVlfQ0lUQVRJT05fY2FlZGQ5MTYtNjgyZC00ZTRjLWIwNjQtZjRhMWM3Y2Y5YmEyIiwicHJvcGVydGllcyI6eyJub3RlSW5kZXgiOjB9LCJpc0VkaXRlZCI6ZmFsc2UsIm1hbnVhbE92ZXJyaWRlIjp7ImlzTWFudWFsbHlPdmVycmlkZGVuIjpmYWxzZSwiY2l0ZXByb2NUZXh0IjoiKE9sZGZyZXkgZXQgYWwuLCAyMDI0KSIsIm1hbnVhbE92ZXJyaWRlVGV4dCI6Ii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
          <w:id w:val="-2094158204"/>
          <w:placeholder>
            <w:docPart w:val="DefaultPlaceholder_-1854013440"/>
          </w:placeholder>
        </w:sdtPr>
        <w:sdtContent>
          <w:r>
            <w:rPr/>
          </w:r>
          <w:r>
            <w:rPr>
              <w:color w:val="000000"/>
            </w:rPr>
            <w:t>(Oldfrey et al., 2024)</w:t>
          </w:r>
        </w:sdtContent>
      </w:sdt>
      <w:r>
        <w:rPr/>
        <w:t>.</w:t>
      </w:r>
    </w:p>
    <w:p>
      <w:pPr>
        <w:pStyle w:val="TextoNormal-IPCA"/>
        <w:rPr/>
      </w:pPr>
      <w:r>
        <w:rPr/>
        <w:t xml:space="preserve">Estas lacunas mostram que o </w:t>
      </w:r>
      <w:r>
        <w:rPr>
          <w:i/>
          <w:iCs/>
        </w:rPr>
        <w:t>design</w:t>
      </w:r>
      <w:r>
        <w:rPr/>
        <w:t xml:space="preserve"> industrial de dispositivos médicos não pode ser entendido apenas como uma prática formal ou estética. Trata-se também de uma disciplina estratégica que articula inclusão, regulação, implementação e experiência do utilizador.</w:t>
      </w:r>
    </w:p>
    <w:p>
      <w:pPr>
        <w:pStyle w:val="TextoNormal-IPCA"/>
        <w:rPr/>
      </w:pPr>
      <w:r>
        <w:rPr/>
      </w:r>
    </w:p>
    <w:p>
      <w:pPr>
        <w:pStyle w:val="Heading2"/>
        <w:numPr>
          <w:ilvl w:val="0"/>
          <w:numId w:val="0"/>
        </w:numPr>
        <w:ind w:hanging="0" w:start="0"/>
        <w:rPr/>
      </w:pPr>
      <w:bookmarkStart w:id="46" w:name="_Toc235564936"/>
      <w:r>
        <w:rPr/>
        <w:t xml:space="preserve">2.3 Fabrico Aditivo e parametrização no </w:t>
      </w:r>
      <w:r>
        <w:rPr>
          <w:i/>
          <w:iCs/>
        </w:rPr>
        <w:t>design</w:t>
      </w:r>
      <w:r>
        <w:rPr/>
        <w:t xml:space="preserve"> de produto</w:t>
      </w:r>
      <w:bookmarkEnd w:id="46"/>
    </w:p>
    <w:p>
      <w:pPr>
        <w:pStyle w:val="Normal"/>
        <w:keepNext w:val="true"/>
        <w:rPr/>
      </w:pPr>
      <w:r>
        <w:rPr/>
      </w:r>
    </w:p>
    <w:p>
      <w:pPr>
        <w:pStyle w:val="TextoNormal-IPCA"/>
        <w:rPr/>
      </w:pPr>
      <w:r>
        <w:rPr/>
        <w:t xml:space="preserve">A convergência entre a modelação paramétrica e o fabrico aditivo (FdA) tem sido amplamente reconhecida como um dos principais vetores de transformação do </w:t>
      </w:r>
      <w:r>
        <w:rPr>
          <w:i/>
          <w:iCs/>
        </w:rPr>
        <w:t>design</w:t>
      </w:r>
      <w:r>
        <w:rPr/>
        <w:t xml:space="preserve"> contemporâneo, sobretudo em contextos que exigem personalização, adaptação morfológica e produção de variantes em pequena escala. A literatura considera estas abordagens complementares: a modelação paramétrica permite gerar múltiplas variações controladas a partir de um modelo-base, enquanto o fabrico aditivo possibilita a materialização de geometrias complexas sem moldes ou ferramentas dedicadas</w:t>
      </w:r>
      <w:r>
        <w:rPr>
          <w:color w:val="000000"/>
        </w:rPr>
        <w:t xml:space="preserve"> </w:t>
      </w:r>
      <w:sdt>
        <w:sdtPr>
          <w:tag w:val="MENDELEY_CITATION_v3_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
          <w:id w:val="-95879230"/>
          <w:placeholder>
            <w:docPart w:val="DefaultPlaceholder_-1854013440"/>
          </w:placeholder>
        </w:sdtPr>
        <w:sdtContent>
          <w:r>
            <w:rPr>
              <w:color w:val="000000"/>
            </w:rPr>
          </w:r>
          <w:r>
            <w:rPr>
              <w:color w:val="000000"/>
            </w:rPr>
            <w:t>(Lei et al., 2016; Ozdemir et al., 2022; van Stralen, 2018)</w:t>
          </w:r>
        </w:sdtContent>
      </w:sdt>
      <w:r>
        <w:rPr/>
        <w:t>.</w:t>
      </w:r>
    </w:p>
    <w:p>
      <w:pPr>
        <w:pStyle w:val="TextoNormal-IPCA"/>
        <w:rPr/>
      </w:pPr>
      <w:r>
        <w:rPr/>
        <w:t>A Figura 4 representa esta articulação ao resumir o encadeamento entre a aquisição digital, a modelação/retificação e o fabrico, mostrando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22"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2" descr="Image 4"/>
                    <pic:cNvPicPr>
                      <a:picLocks noChangeAspect="1" noChangeArrowheads="1"/>
                    </pic:cNvPicPr>
                  </pic:nvPicPr>
                  <pic:blipFill>
                    <a:blip r:embed="rId63"/>
                    <a:stretch>
                      <a:fillRect/>
                    </a:stretch>
                  </pic:blipFill>
                  <pic:spPr bwMode="auto">
                    <a:xfrm>
                      <a:off x="0" y="0"/>
                      <a:ext cx="5579745" cy="3831590"/>
                    </a:xfrm>
                    <a:prstGeom prst="rect">
                      <a:avLst/>
                    </a:prstGeom>
                    <a:noFill/>
                  </pic:spPr>
                </pic:pic>
              </a:graphicData>
            </a:graphic>
          </wp:inline>
        </w:drawing>
      </w:r>
    </w:p>
    <w:p>
      <w:pPr>
        <w:pStyle w:val="Caption"/>
        <w:rPr/>
      </w:pPr>
      <w:bookmarkStart w:id="47" w:name="_Toc235562498"/>
      <w:r>
        <w:rPr/>
        <w:t xml:space="preserve">Figura </w:t>
      </w:r>
      <w:r>
        <w:rPr/>
        <w:fldChar w:fldCharType="begin"/>
      </w:r>
      <w:r>
        <w:rPr/>
        <w:instrText xml:space="preserve"> SEQ Figura \* ARABIC </w:instrText>
      </w:r>
      <w:r>
        <w:rPr/>
        <w:fldChar w:fldCharType="separate"/>
      </w:r>
      <w:r>
        <w:rPr/>
        <w:t>4</w:t>
      </w:r>
      <w:r>
        <w:rPr/>
        <w:fldChar w:fldCharType="end"/>
      </w:r>
      <w:r>
        <w:rPr/>
        <w:t xml:space="preserve"> — Comparação entre os fluxos tradicional, CAD/CAM e de fabrico aditivo na produção de dispositivos protésicos.</w:t>
      </w:r>
      <w:bookmarkEnd w:id="47"/>
    </w:p>
    <w:p>
      <w:pPr>
        <w:pStyle w:val="Nota-IPCA"/>
        <w:rPr>
          <w:lang w:val="pt-PT"/>
        </w:rPr>
      </w:pPr>
      <w:r>
        <w:rPr>
          <w:lang w:val="pt-PT"/>
        </w:rPr>
        <w:t xml:space="preserve">Adaptado da Figura 1 de </w:t>
      </w:r>
      <w:sdt>
        <w:sdtPr>
          <w:tag w:val="MENDELEY_CITATION_v3_eyJjaXRhdGlvbklEIjoiTUVOREVMRVlfQ0lUQVRJT05fMDgwMWQ0YmMtNTIwMS00MTZlLWI4OGItYmRjODdlYTZhZTYyIiwicHJvcGVydGllcyI6eyJub3RlSW5kZXgiOjB9LCJpc0VkaXRlZCI6ZmFsc2UsIm1hbnVhbE92ZXJyaWRlIjp7ImlzTWFudWFsbHlPdmVycmlkZGVuIjp0cnVlLCJjaXRlcHJvY1RleHQiOiIoT2xkZnJleSBldCBhbC4sIDIwMjQpIiwibWFudWFsT3ZlcnJpZGVUZXh0IjoiKE9sZGZyZXkgZXQgYWwuLCAyMDI0IHAuIDU3NS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
          <w:id w:val="-765842957"/>
          <w:placeholder>
            <w:docPart w:val="DefaultPlaceholder_-1854013440"/>
          </w:placeholder>
        </w:sdtPr>
        <w:sdtContent>
          <w:r>
            <w:rPr>
              <w:lang w:val="pt-PT"/>
            </w:rPr>
          </w:r>
          <w:r>
            <w:rPr>
              <w:rFonts w:cs="Arial"/>
              <w:color w:val="000000"/>
              <w:lang w:val="pt-PT"/>
            </w:rPr>
            <w:t>(Oldfrey et al., 2024 p. 575</w:t>
          </w:r>
        </w:sdtContent>
      </w:sdt>
      <w:r>
        <w:rPr>
          <w:lang w:val="pt-PT"/>
        </w:rPr>
        <w:t>).</w:t>
      </w:r>
    </w:p>
    <w:p>
      <w:pPr>
        <w:pStyle w:val="TextoNormal-IPCA"/>
        <w:rPr/>
      </w:pPr>
      <w:r>
        <w:rPr/>
      </w:r>
    </w:p>
    <w:p>
      <w:pPr>
        <w:pStyle w:val="TextoNormal-IPCA"/>
        <w:rPr/>
      </w:pPr>
      <w:r>
        <w:rPr/>
        <w:t xml:space="preserve">Neste enquadramento, a personalização deixa de ser tratada como exceção e torna-se uma estratégia estruturada, operacionalizada por meio de modelos-base parametrizados. Estes modelos preservam uma arquitetura estável e expõem um conjunto limitado de variáveis ajustáveis, frequentemente acessíveis por meio de interfaces digitais ou de configuradores destinados a utilizadores não especialistas </w:t>
      </w:r>
      <w:sdt>
        <w:sdtPr>
          <w:tag w:val="MENDELEY_CITATION_v3_eyJjaXRhdGlvbklEIjoiTUVOREVMRVlfQ0lUQVRJT05fMWUzY2JlNmItMTQwNS00NmYwLTg1M2YtY2IxMjQzZTk0OTlm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
          <w:id w:val="37934370"/>
          <w:placeholder>
            <w:docPart w:val="DefaultPlaceholder_-1854013440"/>
          </w:placeholder>
        </w:sdtPr>
        <w:sdtContent>
          <w:r>
            <w:rPr/>
          </w:r>
          <w:r>
            <w:rPr>
              <w:color w:val="000000"/>
            </w:rPr>
            <w:t>(Ozdemir et al., 2022; van Stralen, 2018)</w:t>
          </w:r>
        </w:sdtContent>
      </w:sdt>
      <w:r>
        <w:rPr/>
        <w:t>.</w:t>
      </w:r>
    </w:p>
    <w:p>
      <w:pPr>
        <w:pStyle w:val="TextoNormal-IPCA"/>
        <w:rPr/>
      </w:pPr>
      <w:r>
        <w:rPr/>
      </w:r>
    </w:p>
    <w:p>
      <w:pPr>
        <w:pStyle w:val="Heading3"/>
        <w:numPr>
          <w:ilvl w:val="0"/>
          <w:numId w:val="0"/>
        </w:numPr>
        <w:ind w:hanging="0" w:start="0"/>
        <w:rPr/>
      </w:pPr>
      <w:bookmarkStart w:id="48" w:name="_Toc235564937"/>
      <w:r>
        <w:rPr/>
        <w:t>Modelação Paramétrica e Espaços de Variação</w:t>
      </w:r>
      <w:bookmarkEnd w:id="48"/>
    </w:p>
    <w:p>
      <w:pPr>
        <w:pStyle w:val="TextoNormal-IPCA"/>
        <w:keepNext w:val="true"/>
        <w:rPr/>
      </w:pPr>
      <w:r>
        <w:rPr/>
      </w:r>
    </w:p>
    <w:p>
      <w:pPr>
        <w:pStyle w:val="TextoNormal-IPCA"/>
        <w:rPr/>
      </w:pPr>
      <w:r>
        <w:rPr/>
        <w:t xml:space="preserve">Os modelos paramétricos desempenham duas funções centrais. Por um lado, codificam a lógica geométrica do produto — relações, restrições e regras —, assegurando que as alterações dos valores dos parâmetros geram novas variantes sem comprometer a integridade estrutural nem a coerência funcional. Por outro, permitem explorar espaços de variação extensos, frequentemente descritos como quase contínuos, possibilitando a criação de famílias de produtos ajustáveis mediante a modificação de variáveis dimensionais ou funcionais </w:t>
      </w:r>
      <w:sdt>
        <w:sdtPr>
          <w:tag w:val="MENDELEY_CITATION_v3_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"/>
          <w:id w:val="-88848618"/>
          <w:placeholder>
            <w:docPart w:val="DefaultPlaceholder_-1854013440"/>
          </w:placeholder>
        </w:sdtPr>
        <w:sdtContent>
          <w:r>
            <w:rPr/>
          </w:r>
          <w:r>
            <w:rPr>
              <w:color w:val="000000"/>
            </w:rPr>
            <w:t>(Lei et al., 2016; Ozdemir et al., 2022)</w:t>
          </w:r>
        </w:sdtContent>
      </w:sdt>
      <w:r>
        <w:rPr/>
        <w:t>.</w:t>
      </w:r>
    </w:p>
    <w:p>
      <w:pPr>
        <w:pStyle w:val="TextoNormal-IPCA"/>
        <w:rPr/>
      </w:pPr>
      <w:r>
        <w:rPr/>
        <w:t>No contexto da adaptação ao utilizador, a literatura salienta que a parametrização é particularmente eficaz quando associada a dados mensuráveis, como os dados antropométricos ou as digitalizações tridimensionais.</w:t>
      </w:r>
    </w:p>
    <w:p>
      <w:pPr>
        <w:pStyle w:val="TextoNormal-IPCA"/>
        <w:rPr/>
      </w:pPr>
      <w:r>
        <w:rPr/>
        <w:t xml:space="preserve">A definição de parâmetros independentes, como o comprimento e a largura, permite ajustes mais precisos e maior controlo dimensional em intervalos reduzidos, ao contrário do escalonamento uniforme, que pode introduzir desvios significativos. Em aplicações protésicas, esta abordagem revelou maior proximidade às cinemáticas naturais e melhor adequação morfológica do que os modelos ajustados apenas por escala global. </w:t>
      </w:r>
      <w:sdt>
        <w:sdtPr>
          <w:tag w:val="MENDELEY_CITATION_v3_eyJjaXRhdGlvbklEIjoiTUVOREVMRVlfQ0lUQVRJT05fNDdiNjJlM2UtMzliNi00MTlkLWJhYzQtYmI1ODljMThjNjQ1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470734513"/>
          <w:placeholder>
            <w:docPart w:val="DefaultPlaceholder_-1854013440"/>
          </w:placeholder>
        </w:sdtPr>
        <w:sdtContent>
          <w:r>
            <w:rPr/>
          </w:r>
          <w:r>
            <w:rPr>
              <w:color w:val="000000"/>
            </w:rPr>
            <w:t>(Lim et al., 2018)</w:t>
          </w:r>
        </w:sdtContent>
      </w:sdt>
      <w:r>
        <w:rPr/>
        <w:t>.</w:t>
      </w:r>
    </w:p>
    <w:p>
      <w:pPr>
        <w:pStyle w:val="TextoNormal-IPCA"/>
        <w:rPr/>
      </w:pPr>
      <w:r>
        <w:rPr/>
      </w:r>
    </w:p>
    <w:p>
      <w:pPr>
        <w:pStyle w:val="Heading3"/>
        <w:numPr>
          <w:ilvl w:val="0"/>
          <w:numId w:val="0"/>
        </w:numPr>
        <w:ind w:hanging="0" w:start="0"/>
        <w:rPr/>
      </w:pPr>
      <w:bookmarkStart w:id="49" w:name="_Toc235564938"/>
      <w:r>
        <w:rPr/>
        <w:t xml:space="preserve">Integração com Fabrico Aditivo e </w:t>
      </w:r>
      <w:r>
        <w:rPr>
          <w:i/>
          <w:iCs/>
        </w:rPr>
        <w:t>Design for Additive Manufacturing</w:t>
      </w:r>
      <w:bookmarkEnd w:id="49"/>
    </w:p>
    <w:p>
      <w:pPr>
        <w:pStyle w:val="TextoNormal-IPCA"/>
        <w:keepNext w:val="true"/>
        <w:rPr/>
      </w:pPr>
      <w:r>
        <w:rPr/>
      </w:r>
    </w:p>
    <w:p>
      <w:pPr>
        <w:pStyle w:val="TextoNormal-IPCA"/>
        <w:rPr/>
      </w:pPr>
      <w:r>
        <w:rPr/>
        <w:t xml:space="preserve">A eficácia da personalização depende da integração precoce dos constrangimentos do fabrico aditivo no processo de projeto. A literatura sobre </w:t>
      </w:r>
      <w:r>
        <w:rPr>
          <w:i/>
          <w:iCs/>
        </w:rPr>
        <w:t>Design for Additive Manufacturing</w:t>
      </w:r>
      <w:r>
        <w:rPr/>
        <w:t xml:space="preserve"> (DfAM) sublinha que a incorporação antecipada de limitações do processo — tolerâncias, resistência mecânica, espessuras mínimas, orientação de impressão — reduz as falhas de fabrico e encurta os ciclos iterativos </w:t>
      </w:r>
      <w:sdt>
        <w:sdtPr>
          <w:tag w:val="MENDELEY_CITATION_v3_eyJjaXRhdGlvbklEIjoiTUVOREVMRVlfQ0lUQVRJT05fMDFkOGZjMjctYzIyNC00NzFiLTg5YWMtMGQwZjE3ODFhMjBi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
          <w:id w:val="261036861"/>
          <w:placeholder>
            <w:docPart w:val="DefaultPlaceholder_-1854013440"/>
          </w:placeholder>
        </w:sdtPr>
        <w:sdtContent>
          <w:r>
            <w:rPr/>
          </w:r>
          <w:r>
            <w:rPr>
              <w:color w:val="000000"/>
            </w:rPr>
            <w:t>(Chtioui et al., 2023; Wiberg et al., 2019)</w:t>
          </w:r>
        </w:sdtContent>
      </w:sdt>
      <w:r>
        <w:rPr/>
        <w:t>.</w:t>
      </w:r>
    </w:p>
    <w:p>
      <w:pPr>
        <w:pStyle w:val="TextoNormal-IPCA"/>
        <w:rPr/>
      </w:pPr>
      <w:r>
        <w:rPr/>
        <w:t xml:space="preserve">A revisão de </w:t>
      </w:r>
      <w:sdt>
        <w:sdtPr>
          <w:tag w:val="MENDELEY_CITATION_v3_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"/>
          <w:id w:val="1088274240"/>
          <w:placeholder>
            <w:docPart w:val="DefaultPlaceholder_-1854013440"/>
          </w:placeholder>
        </w:sdtPr>
        <w:sdtContent>
          <w:r>
            <w:rPr/>
          </w:r>
          <w:r>
            <w:rPr>
              <w:color w:val="000000"/>
            </w:rPr>
            <w:t>(Wiberg et al., 2019)</w:t>
          </w:r>
        </w:sdtContent>
      </w:sdt>
      <w:r>
        <w:rPr/>
        <w:t xml:space="preserve"> organiza os métodos e as ferramentas de apoio ao </w:t>
      </w:r>
      <w:r>
        <w:rPr/>
        <w:t>DfAM segundo as diferentes etapas do processo de desenvolvimento, relacionando o apoio disponível com o momento em que este é necessário.</w:t>
      </w:r>
    </w:p>
    <w:p>
      <w:pPr>
        <w:pStyle w:val="TextoNormal-IPCA"/>
        <w:rPr/>
      </w:pPr>
      <w:r>
        <w:rPr/>
        <w:t xml:space="preserve">Esta estrutura reforça a necessidade de ligar sistematicamente as fases de </w:t>
      </w:r>
      <w:r>
        <w:rPr>
          <w:i/>
          <w:iCs/>
        </w:rPr>
        <w:t>design</w:t>
      </w:r>
      <w:r>
        <w:rPr/>
        <w:t xml:space="preserve"> e fabrico, contrariando as abordagens que tratam o fabrico como uma etapa posterior e corretiva </w:t>
      </w:r>
      <w:sdt>
        <w:sdtPr>
          <w:tag w:val="MENDELEY_CITATION_v3_eyJjaXRhdGlvbklEIjoiTUVOREVMRVlfQ0lUQVRJT05fZDI5OWYwYzItYjI2ZC00MGY4LWFhZjQtYzJmZTllZWVjZGE1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
          <w:id w:val="1681008292"/>
          <w:placeholder>
            <w:docPart w:val="DefaultPlaceholder_-1854013440"/>
          </w:placeholder>
        </w:sdtPr>
        <w:sdtContent>
          <w:r>
            <w:rPr/>
          </w:r>
          <w:r>
            <w:rPr>
              <w:color w:val="000000"/>
            </w:rPr>
            <w:t>(Chtioui et al., 2023; Wiberg et al., 2019)</w:t>
          </w:r>
        </w:sdtContent>
      </w:sdt>
      <w:r>
        <w:rPr/>
        <w:t>.</w:t>
      </w:r>
    </w:p>
    <w:p>
      <w:pPr>
        <w:pStyle w:val="TextoNormal-IPCA"/>
        <w:rPr/>
      </w:pPr>
      <w:r>
        <w:rPr/>
        <w:t xml:space="preserve">As tecnologias de fabrico aditivo utilizam materiais e mecanismos de consolidação distintos. A modelação por deposição fundida (FDM) e o fabrico por filamento fundido (FFF) depositam sucessivamente camadas de termoplástico extrudido; a sinterização seletiva a laser (SLS) consolida material em pó;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Por esse motivo, a tecnologia deve ser considerada desde a definição do modelo paramétrico, e não apenas no momento da produção </w:t>
      </w:r>
      <w:sdt>
        <w:sdtPr>
          <w:tag w:val="MENDELEY_CITATION_v3_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XX0="/>
          <w:id w:val="1022519547"/>
          <w:placeholder>
            <w:docPart w:val="DefaultPlaceholder_-1854013440"/>
          </w:placeholder>
        </w:sdtPr>
        <w:sdtContent>
          <w:r>
            <w:rPr/>
          </w:r>
          <w:r>
            <w:rPr>
              <w:color w:val="000000"/>
            </w:rPr>
            <w:t>(Chtioui et al., 2023; Wiberg et al., 2019)</w:t>
          </w:r>
        </w:sdtContent>
      </w:sdt>
      <w:r>
        <w:rPr/>
        <w:t>.</w:t>
      </w:r>
    </w:p>
    <w:p>
      <w:pPr>
        <w:pStyle w:val="TextoNormal-IPCA"/>
        <w:rPr/>
      </w:pPr>
      <w:r>
        <w:rPr/>
      </w:r>
    </w:p>
    <w:p>
      <w:pPr>
        <w:pStyle w:val="Heading3"/>
        <w:numPr>
          <w:ilvl w:val="0"/>
          <w:numId w:val="0"/>
        </w:numPr>
        <w:ind w:hanging="0" w:start="0"/>
        <w:rPr/>
      </w:pPr>
      <w:bookmarkStart w:id="50" w:name="_Toc235564939"/>
      <w:r>
        <w:rPr/>
        <w:t>Configuradores e Cocriação Digital</w:t>
      </w:r>
      <w:bookmarkEnd w:id="50"/>
    </w:p>
    <w:p>
      <w:pPr>
        <w:pStyle w:val="TextoNormal-IPCA"/>
        <w:keepNext w:val="true"/>
        <w:rPr/>
      </w:pPr>
      <w:r>
        <w:rPr/>
      </w:r>
    </w:p>
    <w:p>
      <w:pPr>
        <w:pStyle w:val="TextoNormal-IPCA"/>
        <w:rPr/>
      </w:pPr>
      <w:r>
        <w:rPr/>
        <w:t xml:space="preserve">A articulação da modelação paramétrica com interfaces digitais possibilita novos modelos de cocriação e produção distribuída. </w:t>
      </w:r>
    </w:p>
    <w:p>
      <w:pPr>
        <w:pStyle w:val="TextoNormal-IPCA"/>
        <w:rPr/>
      </w:pPr>
      <w:r>
        <w:rPr/>
        <w:t xml:space="preserve">Os sistemas de configuração em ambiente </w:t>
      </w:r>
      <w:r>
        <w:rPr>
          <w:i/>
          <w:iCs/>
        </w:rPr>
        <w:t>web</w:t>
      </w:r>
      <w:r>
        <w:rPr/>
        <w:t xml:space="preserve"> ou as interfaces baseadas em CAD disponibilizam um conjunto delimitado de parâmetros, através dos quais o utilizador pode ajustar dimensões ou características dentro dos intervalos válidos, frequentemente com </w:t>
      </w:r>
      <w:r>
        <w:rPr>
          <w:i/>
          <w:iCs/>
        </w:rPr>
        <w:t>feedback</w:t>
      </w:r>
      <w:r>
        <w:rPr/>
        <w:t xml:space="preserve"> em tempo real sobre a viabilidade </w:t>
      </w:r>
      <w:sdt>
        <w:sdtPr>
          <w:tag w:val="MENDELEY_CITATION_v3_eyJjaXRhdGlvbklEIjoiTUVOREVMRVlfQ0lUQVRJT05fYWUyNzdjNDAtODg0MC00ODAyLTlhZmItY2UwY2Q5M2QzOTUyIiwicHJvcGVydGllcyI6eyJub3RlSW5kZXgiOjB9LCJpc0VkaXRlZCI6ZmFsc2UsIm1hbnVhbE92ZXJyaWRlIjp7ImlzTWFudWFsbHlPdmVycmlkZGVuIjp0cnVlLCJjaXRlcHJvY1RleHQiOiIoT3pkZW1pciBldCBhbC4sIDIwMjI7IHZhbiBTdHJhbGVuLCAyMDE4KSIsIm1hbnVhbE92ZXJyaWRlVGV4dCI6IihPemRlbWlyIGV0IGFsLiwgMjAyMjsgdmFuIFN0cmFsZW4sIDIwMTgpL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
          <w:id w:val="-1770763828"/>
          <w:placeholder>
            <w:docPart w:val="DefaultPlaceholder_-1854013440"/>
          </w:placeholder>
        </w:sdtPr>
        <w:sdtContent>
          <w:r>
            <w:rPr/>
          </w:r>
          <w:r>
            <w:rPr>
              <w:color w:val="000000"/>
            </w:rPr>
            <w:t>(Ozdemir et al., 2022; van Stralen, 2018).</w:t>
          </w:r>
        </w:sdtContent>
      </w:sdt>
    </w:p>
    <w:p>
      <w:pPr>
        <w:pStyle w:val="TextoNormal-IPCA"/>
        <w:rPr/>
      </w:pPr>
      <w:r>
        <w:rPr/>
        <w:t>A Figura 5 apresenta um exemplo desta lógica: a personalização mediada por uma interface, na qual o utilizador atua sobre atributos visuais e formais num espaço de variação previamente estruturado. Este tipo de configurador permite compreender como a cocriação digital pode ser operacionalizada sem exigir o domínio direto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23"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5" descr="Image 5"/>
                    <pic:cNvPicPr>
                      <a:picLocks noChangeAspect="1" noChangeArrowheads="1"/>
                    </pic:cNvPicPr>
                  </pic:nvPicPr>
                  <pic:blipFill>
                    <a:blip r:embed="rId64"/>
                    <a:stretch>
                      <a:fillRect/>
                    </a:stretch>
                  </pic:blipFill>
                  <pic:spPr bwMode="auto">
                    <a:xfrm>
                      <a:off x="0" y="0"/>
                      <a:ext cx="5579745" cy="2948305"/>
                    </a:xfrm>
                    <a:prstGeom prst="rect">
                      <a:avLst/>
                    </a:prstGeom>
                    <a:noFill/>
                  </pic:spPr>
                </pic:pic>
              </a:graphicData>
            </a:graphic>
          </wp:inline>
        </w:drawing>
      </w:r>
    </w:p>
    <w:p>
      <w:pPr>
        <w:pStyle w:val="Caption"/>
        <w:rPr/>
      </w:pPr>
      <w:bookmarkStart w:id="51" w:name="_Toc235562499"/>
      <w:r>
        <w:rPr/>
        <w:t xml:space="preserve">Figura </w:t>
      </w:r>
      <w:r>
        <w:rPr/>
        <w:fldChar w:fldCharType="begin"/>
      </w:r>
      <w:r>
        <w:rPr/>
        <w:instrText xml:space="preserve"> SEQ Figura \* ARABIC </w:instrText>
      </w:r>
      <w:r>
        <w:rPr/>
        <w:fldChar w:fldCharType="separate"/>
      </w:r>
      <w:r>
        <w:rPr/>
        <w:t>5</w:t>
      </w:r>
      <w:r>
        <w:rPr/>
        <w:fldChar w:fldCharType="end"/>
      </w:r>
      <w:r>
        <w:rPr/>
        <w:t xml:space="preserve"> — Exemplo de configurador digital para personalização de uma prótese impressa em 3D</w:t>
      </w:r>
      <w:bookmarkEnd w:id="51"/>
    </w:p>
    <w:p>
      <w:pPr>
        <w:pStyle w:val="Nota-IPCA"/>
        <w:rPr>
          <w:lang w:val="en-US"/>
        </w:rPr>
      </w:pPr>
      <w:r>
        <w:rPr>
          <w:lang w:val="en-US"/>
        </w:rPr>
        <w:t xml:space="preserve">Reproduzido de </w:t>
      </w:r>
      <w:sdt>
        <w:sdtPr>
          <w:tag w:val="MENDELEY_CITATION_v3_eyJjaXRhdGlvbklEIjoiTUVOREVMRVlfQ0lUQVRJT05fNDQ2M2E1YjAtMDZiMC00ODZjLWI0YzQtYzhhZDU3MDdkODQy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
          <w:id w:val="1623421949"/>
          <w:placeholder>
            <w:docPart w:val="DefaultPlaceholder_-1854013440"/>
          </w:placeholder>
        </w:sdtPr>
        <w:sdtContent>
          <w:r>
            <w:rPr>
              <w:lang w:val="en-US"/>
            </w:rPr>
          </w:r>
          <w:r>
            <w:rPr>
              <w:rFonts w:cs="Arial"/>
              <w:color w:val="000000"/>
              <w:lang w:val="en-US"/>
            </w:rPr>
            <w:t>(Manero et al., 2019)</w:t>
          </w:r>
        </w:sdtContent>
      </w:sdt>
      <w:r>
        <w:rPr>
          <w:rFonts w:cs="Arial"/>
          <w:color w:val="000000"/>
          <w:lang w:val="en-US"/>
        </w:rPr>
        <w:t xml:space="preserve"> </w:t>
      </w:r>
      <w:r>
        <w:rPr>
          <w:lang w:val="en-US"/>
        </w:rPr>
        <w:t>Implementation of 3D printing technology in the field of prosthetics: Past, present, and future. International Journal of Environmental Research and Public Health, 16, 1641. https://doi.org/10.3390/ijerph16091641</w:t>
      </w:r>
    </w:p>
    <w:p>
      <w:pPr>
        <w:pStyle w:val="TextoNormal-IPCA"/>
        <w:rPr>
          <w:lang w:val="en-US"/>
        </w:rPr>
      </w:pPr>
      <w:r>
        <w:rPr>
          <w:lang w:val="en-US"/>
        </w:rPr>
      </w:r>
    </w:p>
    <w:p>
      <w:pPr>
        <w:pStyle w:val="TextoNormal-IPCA"/>
        <w:rPr/>
      </w:pPr>
      <w:r>
        <w:rPr/>
        <w:t>Este modelo “</w:t>
      </w:r>
      <w:r>
        <w:rPr>
          <w:i/>
          <w:iCs/>
        </w:rPr>
        <w:t>file-to-factory</w:t>
      </w:r>
      <w:r>
        <w:rPr/>
        <w:t>”</w:t>
      </w:r>
      <w:r>
        <w:rPr>
          <w:rStyle w:val="FootnoteReference"/>
        </w:rPr>
        <w:footnoteReference w:id="4"/>
      </w:r>
      <w:r>
        <w:rPr/>
        <w:t xml:space="preserve"> viabiliza um fluxo digital no qual o ficheiro parametrizado é convertido diretamente em instruções de fabrico. A produção pode ocorrer localmente, através de impressão 3D descentralizada, ou mediante o envio do ficheiro para um serviço externo de fabrico digital. Ao associar a variação digital à produção física, este fluxo apoia estratégias de padronização em massa (</w:t>
      </w:r>
      <w:r>
        <w:rPr>
          <w:i/>
          <w:iCs/>
        </w:rPr>
        <w:t>mass customization</w:t>
      </w:r>
      <w:r>
        <w:rPr/>
        <w:t>) e personalização em massa (</w:t>
      </w:r>
      <w:r>
        <w:rPr>
          <w:i/>
          <w:iCs/>
        </w:rPr>
        <w:t>mass personalization</w:t>
      </w:r>
      <w:r>
        <w:rPr/>
        <w:t>), nas quais diferentes configurações são produzidas a partir de uma estrutura comum.</w:t>
      </w:r>
    </w:p>
    <w:p>
      <w:pPr>
        <w:pStyle w:val="TextoNormal-IPCA"/>
        <w:rPr/>
      </w:pPr>
      <w:r>
        <w:rPr/>
        <w:t xml:space="preserve">Contudo, salienta-se que os configuradores eficazes devem limitar o número de parâmetros expostos e fornecer orientações claras sobre os limites válidos, evitando a complexidade excessiva ou escolhas superficiais </w:t>
      </w:r>
      <w:sdt>
        <w:sdtPr>
          <w:tag w:val="MENDELEY_CITATION_v3_eyJjaXRhdGlvbklEIjoiTUVOREVMRVlfQ0lUQVRJT05fZDdmMjZiZjctMThiMi00YTE2LTllYzYtMDZhY2E1Njc0MjNm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142095663"/>
          <w:placeholder>
            <w:docPart w:val="DefaultPlaceholder_-1854013440"/>
          </w:placeholder>
        </w:sdtPr>
        <w:sdtContent>
          <w:r>
            <w:rPr/>
          </w:r>
          <w:r>
            <w:rPr>
              <w:color w:val="000000"/>
            </w:rPr>
            <w:t>(Ozdemir et al., 2022)</w:t>
          </w:r>
        </w:sdtContent>
      </w:sdt>
      <w:r>
        <w:rPr/>
        <w:t>.</w:t>
      </w:r>
    </w:p>
    <w:p>
      <w:pPr>
        <w:pStyle w:val="TextoNormal-IPCA"/>
        <w:rPr/>
      </w:pPr>
      <w:r>
        <w:rPr/>
      </w:r>
    </w:p>
    <w:p>
      <w:pPr>
        <w:pStyle w:val="Heading3"/>
        <w:numPr>
          <w:ilvl w:val="0"/>
          <w:numId w:val="0"/>
        </w:numPr>
        <w:ind w:hanging="0" w:start="0"/>
        <w:rPr/>
      </w:pPr>
      <w:bookmarkStart w:id="52" w:name="_Toc235564940"/>
      <w:r>
        <w:rPr/>
        <w:t>Optimização, Geração e Avaliação de Desempenho</w:t>
      </w:r>
      <w:bookmarkEnd w:id="52"/>
    </w:p>
    <w:p>
      <w:pPr>
        <w:pStyle w:val="TextoNormal-IPCA"/>
        <w:keepNext w:val="true"/>
        <w:rPr/>
      </w:pPr>
      <w:r>
        <w:rPr/>
      </w:r>
    </w:p>
    <w:p>
      <w:pPr>
        <w:pStyle w:val="TextoNormal-IPCA"/>
        <w:rPr/>
      </w:pPr>
      <w:r>
        <w:rPr/>
        <w:t xml:space="preserve">Nas famílias de produtos destinadas ao fabrico aditivo, a parametrização pode definir o espaço de personalização através de variáveis dimensionais e dos respetivos intervalos. Lei et al. (2015) aplicaram esta lógica a uma família de bombas de deslocamento positivo para equipamentos portáteis de hemodiálise domiciliária. Nestas bombas, duas filas de elementos mecânicos, designados </w:t>
      </w:r>
      <w:r>
        <w:rPr>
          <w:i/>
          <w:iCs/>
        </w:rPr>
        <w:t>fingers</w:t>
      </w:r>
      <w:r>
        <w:rPr/>
        <w:t xml:space="preserve"> no artigo, impulsionam separadamente o sangue e o dialisante; o seu deslocamento é comandado por uma árvore de cames acionada por um motor elétrico. O modelo fez variar cinco parâmetros para produzir caudais entre 100 e 600 ml/min e otimizou conjuntamente a eficiência, o volume da bomba e o custo de fabrico por sinterização seletiva a laser (SLS). Outro modelo de famílias de produtos partiu de requisitos e restrições, recorreu à otimização topológica e comparou as alternativas através da análise por elementos finitos e da análise de custos </w:t>
      </w:r>
      <w:sdt>
        <w:sdtPr>
          <w:tag w:val="MENDELEY_CITATION_v3_eyJjaXRhdGlvbklEIjoiTUVOREVMRVlfQ0lUQVRJT05fMDczYjMxNDYtMThkYS00NjczLWIxMGMtMWMxNWU1MTJlO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V9XX0="/>
          <w:id w:val="-171949054"/>
          <w:placeholder>
            <w:docPart w:val="DefaultPlaceholder_-1854013440"/>
          </w:placeholder>
        </w:sdtPr>
        <w:sdtContent>
          <w:r>
            <w:rPr/>
          </w:r>
          <w:r>
            <w:rPr>
              <w:color w:val="000000"/>
            </w:rPr>
            <w:t>(Lei et al., 2016)</w:t>
          </w:r>
        </w:sdtContent>
      </w:sdt>
      <w:r>
        <w:rPr/>
        <w:t>.</w:t>
      </w:r>
    </w:p>
    <w:p>
      <w:pPr>
        <w:pStyle w:val="TextoNormal-IPCA"/>
        <w:rPr/>
      </w:pPr>
      <w:r>
        <w:rPr/>
        <w:t xml:space="preserve">Nas próteses impressas em 3D, a parametrização permite ajustar independentemente dimensões como o comprimento e a largura dos componentes, evitando as limitações do escalonamento uniforme </w:t>
      </w:r>
      <w:sdt>
        <w:sdtPr>
          <w:tag w:val="MENDELEY_CITATION_v3_eyJjaXRhdGlvbklEIjoiTUVOREVMRVlfQ0lUQVRJT05fMGRmNzYxYzctODZlMS00MjkxLTg2MDItYzYzMzAzOWY4MzI2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446759152"/>
          <w:placeholder>
            <w:docPart w:val="DefaultPlaceholder_-1854013440"/>
          </w:placeholder>
        </w:sdtPr>
        <w:sdtContent>
          <w:r>
            <w:rPr/>
          </w:r>
          <w:r>
            <w:rPr>
              <w:color w:val="000000"/>
            </w:rPr>
            <w:t>(Lim et al., 2018)</w:t>
          </w:r>
        </w:sdtContent>
      </w:sdt>
      <w:r>
        <w:rPr/>
        <w:t xml:space="preserve">. Nas famílias de produtos destinadas ao fabrico aditivo, a otimização topológica permite gerar geometrias a partir de requisitos e restrições, posteriormente avaliáveis pelo método dos elementos finitos (FEM) e por critérios de custo </w:t>
      </w:r>
      <w:sdt>
        <w:sdtPr>
          <w:tag w:val="MENDELEY_CITATION_v3_eyJjaXRhdGlvbklEIjoiTUVOREVMRVlfQ0lUQVRJT05fMDQ4NzM3YzAtNjFjNy00MGM2LTk4YzYtOGJjOWNmNTU4OTU3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
          <w:id w:val="645552934"/>
          <w:placeholder>
            <w:docPart w:val="DefaultPlaceholder_-1854013440"/>
          </w:placeholder>
        </w:sdtPr>
        <w:sdtContent>
          <w:r>
            <w:rPr/>
          </w:r>
          <w:r>
            <w:rPr>
              <w:color w:val="000000"/>
            </w:rPr>
            <w:t>(Lei et al., 2016)</w:t>
          </w:r>
        </w:sdtContent>
      </w:sdt>
      <w:r>
        <w:rPr/>
        <w:t>. No domínio específico das próteses de membros,</w:t>
      </w:r>
      <w:r>
        <w:rPr/>
        <w:t xml:space="preserve"> </w:t>
      </w:r>
      <w:sdt>
        <w:sdtPr>
          <w:tag w:val="MENDELEY_CITATION_v3_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"/>
          <w:id w:val="1671137400"/>
          <w:placeholder>
            <w:docPart w:val="DefaultPlaceholder_-1854013440"/>
          </w:placeholder>
        </w:sdtPr>
        <w:sdtContent>
          <w:r>
            <w:rPr/>
          </w:r>
          <w:r>
            <w:rPr>
              <w:rFonts w:eastAsia="Times New Roman"/>
              <w:color w:val="000000"/>
            </w:rPr>
            <w:t>Xu &amp; Qin (2022)</w:t>
          </w:r>
        </w:sdtContent>
      </w:sdt>
      <w:r>
        <w:rPr/>
        <w:t xml:space="preserve"> identificam aplicações de </w:t>
      </w:r>
      <w:r>
        <w:rPr>
          <w:i/>
          <w:iCs/>
        </w:rPr>
        <w:t>design</w:t>
      </w:r>
      <w:r>
        <w:rPr/>
        <w:t xml:space="preserve"> generativo que utilizam a otimização topológica para reduzir o peso e FEM para validar o desempenho estrutural. 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 xml:space="preserve">O modelo de Lei et al. (2015) explicita um fluxo de decisão em que os parâmetros delimitam as variantes admissíveis e a otimização procura as configurações com melhor desempenho segundo objetivos de eficiência, volume e custo. O trabalho complementar acrescenta a este fluxo a otimização topológica e a análise por elementos finitos </w:t>
      </w:r>
      <w:sdt>
        <w:sdtPr>
          <w:tag w:val="MENDELEY_CITATION_v3_eyJjaXRhdGlvbklEIjoiTUVOREVMRVlfQ0lUQVRJT05fMWE0OWQ2MjAtNWNkZS00OTIwLTkwNjktM2NmZGJlNDgxN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
          <w:id w:val="742997256"/>
          <w:placeholder>
            <w:docPart w:val="DefaultPlaceholder_-1854013440"/>
          </w:placeholder>
        </w:sdtPr>
        <w:sdtContent>
          <w:r>
            <w:rPr/>
          </w:r>
          <w:r>
            <w:rPr>
              <w:color w:val="000000"/>
            </w:rPr>
            <w:t>(Lei et al., 2016)</w:t>
          </w:r>
        </w:sdtContent>
      </w:sdt>
      <w:r>
        <w:rPr/>
        <w:t>. Estas abordagens articulam a parametrização, a simulação e a FA numa base quantitativa para a personalização, embora os resultados dependam das funções-objetivo, dos pressupostos de custo e do processo de fabrico adotado.</w:t>
      </w:r>
    </w:p>
    <w:p>
      <w:pPr>
        <w:pStyle w:val="TextoNormal-IPCA"/>
        <w:rPr/>
      </w:pPr>
      <w:r>
        <w:rPr/>
      </w:r>
    </w:p>
    <w:p>
      <w:pPr>
        <w:pStyle w:val="Heading3"/>
        <w:numPr>
          <w:ilvl w:val="0"/>
          <w:numId w:val="0"/>
        </w:numPr>
        <w:ind w:hanging="0" w:start="0"/>
        <w:rPr/>
      </w:pPr>
      <w:bookmarkStart w:id="53" w:name="_Toc235564941"/>
      <w:r>
        <w:rPr/>
        <w:t xml:space="preserve">Implicações para o </w:t>
      </w:r>
      <w:r>
        <w:rPr>
          <w:i/>
          <w:iCs/>
        </w:rPr>
        <w:t>design</w:t>
      </w:r>
      <w:r>
        <w:rPr/>
        <w:t xml:space="preserve"> industrial</w:t>
      </w:r>
      <w:bookmarkEnd w:id="53"/>
    </w:p>
    <w:p>
      <w:pPr>
        <w:pStyle w:val="TextoNormal-IPCA"/>
        <w:keepNext w:val="true"/>
        <w:rPr/>
      </w:pPr>
      <w:r>
        <w:rPr/>
      </w:r>
    </w:p>
    <w:p>
      <w:pPr>
        <w:pStyle w:val="TextoNormal-IPCA"/>
        <w:rPr/>
      </w:pPr>
      <w:r>
        <w:rPr/>
        <w:t xml:space="preserve">A personalização em escala depende de uma definição controlada do espaço de variação. Os parâmetros de </w:t>
      </w:r>
      <w:r>
        <w:rPr>
          <w:i/>
          <w:iCs/>
        </w:rPr>
        <w:t>design</w:t>
      </w:r>
      <w:r>
        <w:rPr/>
        <w:t xml:space="preserve">, as relações entre eles e os respetivos constrangimentos delimitam as combinações válidas, que devem ser caracterizadas através de simulação ou experimentação. No âmbito do </w:t>
      </w:r>
      <w:r>
        <w:rPr>
          <w:i/>
          <w:iCs/>
        </w:rPr>
        <w:t>design</w:t>
      </w:r>
      <w:r>
        <w:rPr/>
        <w:t xml:space="preserve">, esta estrutura permite ampliar a variedade de soluções sem gerar configurações inviáveis ou difíceis de fabricar </w:t>
      </w:r>
      <w:sdt>
        <w:sdtPr>
          <w:tag w:val="MENDELEY_CITATION_v3_eyJjaXRhdGlvbklEIjoiTUVOREVMRVlfQ0lUQVRJT05fNGM0M2NmMzctNDJiNS00ZjI0LWJkNTctNDI5ZmRmM2RhZjdl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317960745"/>
          <w:placeholder>
            <w:docPart w:val="DefaultPlaceholder_-1854013440"/>
          </w:placeholder>
        </w:sdtPr>
        <w:sdtContent>
          <w:r>
            <w:rPr/>
          </w:r>
          <w:r>
            <w:rPr>
              <w:color w:val="000000"/>
            </w:rPr>
            <w:t>(Ozdemir et al., 2022)</w:t>
          </w:r>
        </w:sdtContent>
      </w:sdt>
      <w:r>
        <w:rPr/>
        <w:t>.</w:t>
      </w:r>
    </w:p>
    <w:p>
      <w:pPr>
        <w:pStyle w:val="TextoNormal-IPCA"/>
        <w:rPr/>
      </w:pPr>
      <w:r>
        <w:rPr/>
        <w:t xml:space="preserve">A qualidade da definição paramétrica assume, assim, um papel estratégico na viabilidade dos sistemas adaptáveis </w:t>
      </w:r>
      <w:sdt>
        <w:sdtPr>
          <w:tag w:val="MENDELEY_CITATION_v3_eyJjaXRhdGlvbklEIjoiTUVOREVMRVlfQ0lUQVRJT05fZDI3MTlmYTctZmNmMi00N2U2LWI2MmEtOTJkYmY2NTUzNDE2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1549597232"/>
          <w:placeholder>
            <w:docPart w:val="54198A89CB7741099E2012955C9C944E"/>
          </w:placeholder>
        </w:sdtPr>
        <w:sdtContent>
          <w:r>
            <w:rPr/>
          </w:r>
          <w:r>
            <w:rPr>
              <w:color w:val="000000"/>
            </w:rPr>
            <w:t>(Ozdemir et al., 2022)</w:t>
          </w:r>
        </w:sdtContent>
      </w:sdt>
      <w:r>
        <w:rPr/>
        <w:t>.</w:t>
      </w:r>
    </w:p>
    <w:p>
      <w:pPr>
        <w:pStyle w:val="TextoNormal-IPCA"/>
        <w:rPr/>
      </w:pPr>
      <w:r>
        <w:rPr/>
        <w:t>Em termos económicos, o estudo de Lei et al. (2015) não demonstra que qualquer variação geométrica seja economicamente neutra. No caso analisado, porém, o custo por unidade permaneceu baixo, mesmo para pequenos volumes de produção, e tendeu a estabilizar nas três ou quatro bombas de maior dimensão. Em comparação com o método convencional usado como referência, a otimização de onze variantes para diferentes caudais resultou num aumento médio de 25,02% da eficiência e numa redução média de 26,12% do volume da bomba. Estes resultados mostram, apenas nas condições e segundo o modelo de custos estudados, que o fabrico aditivo pode ampliar a variedade de uma família de produtos sem impor automaticamente um aumento proporcional do custo.</w:t>
      </w:r>
    </w:p>
    <w:p>
      <w:pPr>
        <w:pStyle w:val="TextoNormal-IPCA"/>
        <w:rPr/>
      </w:pPr>
      <w:r>
        <w:rPr/>
        <w:t xml:space="preserve">No plano educativo e profissional, recomenda-se a integração do DfAM nos currículos de </w:t>
      </w:r>
      <w:r>
        <w:rPr>
          <w:i/>
          <w:iCs/>
        </w:rPr>
        <w:t>design</w:t>
      </w:r>
      <w:r>
        <w:rPr/>
        <w:t xml:space="preserve"> industrial, promovendo competências que articulem a conceção, a simulação e o fabrico digital num fluxo contínuo </w:t>
      </w:r>
      <w:sdt>
        <w:sdtPr>
          <w:tag w:val="MENDELEY_CITATION_v3_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"/>
          <w:id w:val="2133439251"/>
          <w:placeholder>
            <w:docPart w:val="DefaultPlaceholder_-1854013440"/>
          </w:placeholder>
        </w:sdtPr>
        <w:sdtContent>
          <w:r>
            <w:rPr/>
          </w:r>
          <w:r>
            <w:rPr>
              <w:color w:val="000000"/>
            </w:rPr>
            <w:t>(Kandikjan et al., 2022)</w:t>
          </w:r>
        </w:sdtContent>
      </w:sdt>
      <w:r>
        <w:rPr/>
        <w:t>.</w:t>
      </w:r>
    </w:p>
    <w:p>
      <w:pPr>
        <w:pStyle w:val="TextoNormal-IPCA"/>
        <w:rPr/>
      </w:pPr>
      <w:r>
        <w:rPr/>
      </w:r>
    </w:p>
    <w:p>
      <w:pPr>
        <w:pStyle w:val="Heading2"/>
        <w:numPr>
          <w:ilvl w:val="0"/>
          <w:numId w:val="0"/>
        </w:numPr>
        <w:ind w:hanging="0" w:start="0"/>
        <w:rPr/>
      </w:pPr>
      <w:bookmarkStart w:id="54" w:name="_Toc235564942"/>
      <w:r>
        <w:rPr/>
        <w:t xml:space="preserve">2.4 Próteses </w:t>
      </w:r>
      <w:r>
        <w:rPr>
          <w:i/>
          <w:iCs/>
        </w:rPr>
        <w:t>open source</w:t>
      </w:r>
      <w:r>
        <w:rPr/>
        <w:t xml:space="preserve"> de membro superior passíveis de impressão 3D</w:t>
      </w:r>
      <w:bookmarkEnd w:id="54"/>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pois articulam o fabrico aditivo, a partilha digital de ficheiros, a reprodução distribuída e a adaptação local. Estes modelos circulam frequentemente sob a forma de ficheiros digitais editáveis ou imprimíveis, acompanhados de documentação comunitária, como instruções de fabrico e montagem. A disponibilização de modelos tridimensionais através da Internet favoreceu a formação de comunidades de criadores capazes de reproduzir e avaliar estes dispositivos </w:t>
      </w:r>
      <w:sdt>
        <w:sdtPr>
          <w:tag w:val="MENDELEY_CITATION_v3_eyJjaXRhdGlvbklEIjoiTUVOREVMRVlfQ0lUQVRJT05fYzgzYmU3M2QtMWQwOS00OGYyLWE0MzItMGNjZDgwM2RhYjdk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
          <w:id w:val="415837730"/>
          <w:placeholder>
            <w:docPart w:val="DefaultPlaceholder_-1854013440"/>
          </w:placeholder>
        </w:sdtPr>
        <w:sdtContent>
          <w:r>
            <w:rPr/>
          </w:r>
          <w:r>
            <w:rPr>
              <w:color w:val="000000"/>
            </w:rPr>
            <w:t>(Manero et al., 2019)</w:t>
          </w:r>
        </w:sdtContent>
      </w:sdt>
      <w:r>
        <w:rPr/>
        <w:t xml:space="preserve">. Nas soluções abertas analisadas por </w:t>
      </w:r>
      <w:sdt>
        <w:sdtPr>
          <w:tag w:val="MENDELEY_CITATION_v3_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"/>
          <w:id w:val="1595675918"/>
          <w:placeholder>
            <w:docPart w:val="DefaultPlaceholder_-1854013440"/>
          </w:placeholder>
        </w:sdtPr>
        <w:sdtContent>
          <w:r>
            <w:rPr/>
          </w:r>
          <w:r>
            <w:rPr>
              <w:color w:val="000000"/>
            </w:rPr>
            <w:t>Wendo et al., (2022)</w:t>
          </w:r>
        </w:sdtContent>
      </w:sdt>
      <w:r>
        <w:rPr/>
        <w:t>, a disponibilidade dos ficheiros de desenho e impressão, bem como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projeto e-NABLE exemplifica este movimento e enquadra diretamente vários dos modelos analisados nesta investigação. Na revisão do catálogo e-NABLE, </w:t>
      </w:r>
      <w:sdt>
        <w:sdtPr>
          <w:tag w:val="MENDELEY_CITATION_v3_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"/>
          <w:id w:val="-1670013694"/>
          <w:placeholder>
            <w:docPart w:val="DefaultPlaceholder_-1854013440"/>
          </w:placeholder>
        </w:sdtPr>
        <w:sdtContent>
          <w:r>
            <w:rPr/>
          </w:r>
          <w:r>
            <w:rPr>
              <w:color w:val="000000"/>
            </w:rPr>
            <w:t>Wendo et al. (2022)</w:t>
          </w:r>
        </w:sdtContent>
      </w:sdt>
      <w:r>
        <w:rPr/>
        <w:t xml:space="preserve"> agruparam os dispositivos em duas categorias: modelos de mão e modelos de braço. Todos os modelos de mão incluídos na revisão eram acionados pelo corpo através do movimento de um punho funcional. Entre os modelos de braço </w:t>
      </w:r>
      <w:r>
        <w:rPr/>
        <w:t xml:space="preserve">analisados, o </w:t>
      </w:r>
      <w:r>
        <w:rPr>
          <w:i/>
          <w:iCs/>
        </w:rPr>
        <w:t>Unlimbited Arm v2.1</w:t>
      </w:r>
      <w:r>
        <w:rPr/>
        <w:t xml:space="preserve"> e o </w:t>
      </w:r>
      <w:r>
        <w:rPr>
          <w:i/>
          <w:iCs/>
        </w:rPr>
        <w:t>Kwawu Arm</w:t>
      </w:r>
      <w:r>
        <w:rPr/>
        <w:t xml:space="preserve"> eram acionados pelo movimento do cotovelo, enquanto o </w:t>
      </w:r>
      <w:r>
        <w:rPr>
          <w:i/>
          <w:iCs/>
        </w:rPr>
        <w:t>El Medallo Bionic Arm</w:t>
      </w:r>
      <w:r>
        <w:rPr/>
        <w:t xml:space="preserve"> utilizava acionamento elétrico controlado por sinais musculares. Para o </w:t>
      </w:r>
      <w:r>
        <w:rPr>
          <w:i/>
          <w:iCs/>
        </w:rPr>
        <w:t>design</w:t>
      </w:r>
      <w:r>
        <w:rPr/>
        <w:t xml:space="preserve"> de próteses de membro superior, esta distinção evidencia a necessidade de relacionar o tipo de dispositivo e o respetivo mecanismo de acionamento com o movimento conservado pela pessoa.</w:t>
      </w:r>
    </w:p>
    <w:p>
      <w:pPr>
        <w:pStyle w:val="TextoNormal-IPCA"/>
        <w:rPr/>
      </w:pPr>
      <w:r>
        <w:rPr/>
        <w:t>Vários modelos utilizados ou analisados nesta investigação pertencem diretamente a esta linhagem:</w:t>
      </w:r>
      <w:r>
        <w:rPr>
          <w:lang w:val="en-US"/>
        </w:rPr>
        <w:t xml:space="preserve"> </w:t>
      </w:r>
      <w:r>
        <w:rPr>
          <w:i/>
          <w:iCs/>
          <w:lang w:val="en-US"/>
        </w:rPr>
        <w:t xml:space="preserve">Cyborg Beast, Raptor Reloaded, Flexy Hand, Flexy Beast, Paraglider Hand/Flexible Flyer, Phoenix Hand </w:t>
      </w:r>
      <w:r>
        <w:rPr>
          <w:lang w:val="en-US"/>
        </w:rPr>
        <w:t xml:space="preserve">e </w:t>
      </w:r>
      <w:r>
        <w:rPr>
          <w:i/>
          <w:iCs/>
          <w:lang w:val="en-US"/>
        </w:rPr>
        <w:t>Unlimbited Phoenix Hand</w:t>
      </w:r>
      <w:r>
        <w:rPr>
          <w:lang w:val="en-US"/>
        </w:rPr>
        <w:t xml:space="preserve">. </w:t>
      </w:r>
      <w:r>
        <w:rPr/>
        <w:t xml:space="preserve">Estes modelos não devem ser entendidos como objetos isolados, mas como variações de um ecossistema e-NABLE, no qual cada um traduz compromissos distintos entre simplicidade de impressão, facilidade de montagem, robustez, custo, aparência e adequação anatómica. O </w:t>
      </w:r>
      <w:r>
        <w:rPr>
          <w:i/>
          <w:iCs/>
        </w:rPr>
        <w:t>Cyborg Beast</w:t>
      </w:r>
      <w:r>
        <w:rPr/>
        <w:t xml:space="preserve">, por exemplo, foi descrito como uma mão protésica infantil de baixo custo, acionada pelo punho e ajustável através de procedimentos remotos de medição e escala </w:t>
      </w:r>
      <w:sdt>
        <w:sdtPr>
          <w:tag w:val="MENDELEY_CITATION_v3_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"/>
          <w:id w:val="-1350400817"/>
          <w:placeholder>
            <w:docPart w:val="DefaultPlaceholder_-1854013440"/>
          </w:placeholder>
        </w:sdtPr>
        <w:sdtContent>
          <w:r>
            <w:rPr/>
          </w:r>
          <w:r>
            <w:rPr>
              <w:color w:val="000000"/>
            </w:rPr>
            <w:t>(Zuniga et al., 2015)</w:t>
          </w:r>
        </w:sdtContent>
      </w:sdt>
      <w:r>
        <w:rPr/>
        <w:t xml:space="preserve">. Modelos posteriores, como a </w:t>
      </w:r>
      <w:r>
        <w:rPr>
          <w:i/>
          <w:iCs/>
        </w:rPr>
        <w:t>Phoenix/Unlimbited Phoenix</w:t>
      </w:r>
      <w:r>
        <w:rPr/>
        <w:t xml:space="preserve">, e derivados como o </w:t>
      </w:r>
      <w:r>
        <w:rPr>
          <w:i/>
          <w:iCs/>
        </w:rPr>
        <w:t>Paraglider</w:t>
      </w:r>
      <w:r>
        <w:rPr/>
        <w:t>, procuram simplificar a montagem, melhorar a manutenção e estabilizar geometrias recorrentes. Para o presente projeto, esta filiação tem uma consequência direta: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constitui uma alternativa complementar ao modelo comunitário e </w:t>
      </w:r>
      <w:r>
        <w:rPr>
          <w:i/>
          <w:iCs/>
        </w:rPr>
        <w:t>maker</w:t>
      </w:r>
      <w:r>
        <w:rPr/>
        <w:t xml:space="preserve"> do e-NABLE. Em vez de depender sobretudo de voluntários dispersos, organiza-se como uma estrutura de prestação de cuidados assente em parcerias locais, formação técnica, fabrico descentralizado e acompanhamento por profissionais ou clínicas parceiras. A sua relevância reside em demonstrar que a impressão 3D pode ser integrada num modelo de serviço mais estruturado, no qual a criação digital de componentes, a seleção modular, a adaptação de encaixes e a circulação de </w:t>
      </w:r>
      <w:r>
        <w:rPr>
          <w:i/>
          <w:iCs/>
        </w:rPr>
        <w:t>feedback</w:t>
      </w:r>
      <w:r>
        <w:rPr/>
        <w:t xml:space="preserve"> entre os parceiros locais e a equipa central constituem uma infraestrutura de aprendizagem contínua </w:t>
      </w:r>
      <w:sdt>
        <w:sdtPr>
          <w:tag w:val="MENDELEY_CITATION_v3_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"/>
          <w:id w:val="-1174259587"/>
          <w:placeholder>
            <w:docPart w:val="DefaultPlaceholder_-1854013440"/>
          </w:placeholder>
        </w:sdtPr>
        <w:sdtContent>
          <w:r>
            <w:rPr/>
          </w:r>
          <w:r>
            <w:rPr>
              <w:color w:val="000000"/>
            </w:rPr>
            <w:t>(Dechev et al., 2023)</w:t>
          </w:r>
        </w:sdtContent>
      </w:sdt>
      <w:r>
        <w:rPr/>
        <w:t xml:space="preserve">. Enquanto o e-NABLE evidencia o potencial da comunidade aberta e da documentação partilhada, o Victoria </w:t>
      </w:r>
      <w:r>
        <w:rPr/>
        <w:t>Hand Project mostra a importância da mediação clínica, da formação e da qualidade controlada em contextos com acesso limitado a serviços de adaptação e acompanhamento protésico.</w:t>
      </w:r>
    </w:p>
    <w:p>
      <w:pPr>
        <w:pStyle w:val="TextoNormal-IPCA"/>
        <w:rPr/>
      </w:pPr>
      <w:r>
        <w:rPr/>
        <w:t xml:space="preserve">A evidência disponível obriga, contudo, a uma leitura cautelosa. As revisões sistemáticas sobre próteses de membro superior impressas em 3D indicam resultados promissores, ainda limitados por amostras pequenas, ausência de ensaios controlados, períodos curtos de acompanhamento e heterogeneidade dos instrumentos de avaliação. A literatura existente não demonstra uma superioridade robusta face às próteses convencionais, nem permite concluir sobre os efeitos de longo prazo no conforto, na durabilidade ou na qualidade de vida </w:t>
      </w:r>
      <w:sdt>
        <w:sdtPr>
          <w:tag w:val="MENDELEY_CITATION_v3_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"/>
          <w:id w:val="-2096692165"/>
          <w:placeholder>
            <w:docPart w:val="DefaultPlaceholder_-1854013440"/>
          </w:placeholder>
        </w:sdtPr>
        <w:sdtContent>
          <w:r>
            <w:rPr/>
          </w:r>
          <w:r>
            <w:rPr>
              <w:color w:val="000000"/>
            </w:rPr>
            <w:t>(Diment et al., 2018)</w:t>
          </w:r>
        </w:sdtContent>
      </w:sdt>
      <w:r>
        <w:rPr/>
        <w:t xml:space="preserve">. Uma revisão mais recente dos resultados clínicos de próteses impressas em 3D reforça esta cautela. Nos estudos sobre o membro superior, foram relatadas melhorias na preensão global, na destreza manual e na satisfação dos utilizadores; foram também avaliados o conforto, a facilidade de utilização e o uso quotidiano. Contudo, os estudos são geralmente pequenos, metodologicamente heterogéneos e difíceis de comparar entre si </w:t>
      </w:r>
      <w:sdt>
        <w:sdtPr>
          <w:tag w:val="MENDELEY_CITATION_v3_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"/>
          <w:id w:val="-685674889"/>
          <w:placeholder>
            <w:docPart w:val="DefaultPlaceholder_-1854013440"/>
          </w:placeholder>
        </w:sdtPr>
        <w:sdtContent>
          <w:r>
            <w:rPr/>
          </w:r>
          <w:r>
            <w:rPr>
              <w:color w:val="000000"/>
            </w:rPr>
            <w:t>(Atallah et al., 2025)</w:t>
          </w:r>
        </w:sdtContent>
      </w:sdt>
      <w:r>
        <w:rPr/>
        <w:t>.</w:t>
      </w:r>
    </w:p>
    <w:p>
      <w:pPr>
        <w:pStyle w:val="TextoNormal-IPCA"/>
        <w:rPr/>
      </w:pPr>
      <w:r>
        <w:rPr/>
        <w:t xml:space="preserve">As limitações técnicas são igualmente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em termos de desempenho, repertório de preensões, resistência, durabilidade e segurança funcional. No caso do Raptor Reloaded, por exemplo, uma mão corporalmente acionada pode ser útil em tarefas simples, mas permanece distante da diversidade de movimentos e preensões de uma mão humana </w:t>
      </w:r>
      <w:sdt>
        <w:sdtPr>
          <w:tag w:val="MENDELEY_CITATION_v3_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"/>
          <w:id w:val="804582372"/>
          <w:placeholder>
            <w:docPart w:val="DefaultPlaceholder_-1854013440"/>
          </w:placeholder>
        </w:sdtPr>
        <w:sdtContent>
          <w:r>
            <w:rPr/>
          </w:r>
          <w:r>
            <w:rPr>
              <w:color w:val="000000"/>
            </w:rPr>
            <w:t>(Cabibihan et al., 2021)</w:t>
          </w:r>
        </w:sdtContent>
      </w:sdt>
      <w:r>
        <w:rPr/>
        <w:t>. Esta constatação não diminui o valor social destes modelos, mas impede a sua apresentação como substitutos clínicos universais. Reforça, antes, a necessidade de os tratar como plataformas de desenvolvimento, aprendizagem e personalização progressiva.</w:t>
      </w:r>
    </w:p>
    <w:p>
      <w:pPr>
        <w:pStyle w:val="TextoNormal-IPCA"/>
        <w:rPr/>
      </w:pPr>
      <w:r>
        <w:rPr/>
        <w:t xml:space="preserve">Nesta investigação, o interesse das próteses </w:t>
      </w:r>
      <w:r>
        <w:rPr>
          <w:i/>
          <w:iCs/>
        </w:rPr>
        <w:t>open source</w:t>
      </w:r>
      <w:r>
        <w:rPr/>
        <w:t xml:space="preserve"> impressas em 3D reside precisamente nessa tensão. Modelos como o Flexy Beast, o Paraglider Hand e a Unlimbited Phoenix Hand oferecem bases abertas, documentadas e compatíveis com o fabrico distribuído, mas a sua configuração continua frequentemente dependente de escalonamento, adaptação manual e conhecimento tácito da comunidade. A proposta de um sistema paramétrico apoiado por inteligência artificial situa-se nesse intervalo, procurando transformar modelos abertos em objetos configuráveis mediante regras explícitas, limites dimensionais visíveis, apoio à escolha do modelo e uma ligação mais clara entre dados antropométricos, geometria gerada e critérios de fabrico. O ecossistema e-NABLE e o Victoria Hand Project constituem, assim,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bookmarkStart w:id="55" w:name="_Toc235564943"/>
      <w:r>
        <w:rPr/>
        <w:t xml:space="preserve">2.5 Antropometria aplicada ao </w:t>
      </w:r>
      <w:r>
        <w:rPr>
          <w:i/>
          <w:iCs/>
        </w:rPr>
        <w:t>design</w:t>
      </w:r>
      <w:r>
        <w:rPr/>
        <w:t xml:space="preserve"> protésico</w:t>
      </w:r>
      <w:bookmarkEnd w:id="55"/>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uma vez que a adequação geométrica do dispositivo ao corpo do utilizador condiciona diretamente o conforto, a segurança, o desempenho funcional e a aceitação. Nas próteses de membro superior, é crescente a utilização de processos digitais para captar 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w:t>
      </w:r>
      <w:sdt>
        <w:sdtPr>
          <w:tag w:val="MENDELEY_CITATION_v3_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"/>
          <w:id w:val="64770497"/>
          <w:placeholder>
            <w:docPart w:val="DefaultPlaceholder_-1854013440"/>
          </w:placeholder>
        </w:sdtPr>
        <w:sdtContent>
          <w:r>
            <w:rPr/>
          </w:r>
          <w:r>
            <w:rPr>
              <w:color w:val="000000"/>
            </w:rPr>
            <w:t>(Chainando et al., 2025)</w:t>
          </w:r>
        </w:sdtContent>
      </w:sdt>
      <w:r>
        <w:rPr/>
        <w:t>. Nesta investigação, estes passos são organizados numa cadeia de trabalho que compreende a aquisição anatómica, a modelação ou retificação em CAD, o fabrico aditivo e o pós-processamento. Esta cadeia corresponde à organização metodológica adotada no projeto, não a um protocolo único estabelecido pela revisão.</w:t>
      </w:r>
    </w:p>
    <w:p>
      <w:pPr>
        <w:pStyle w:val="TextoNormal-IPCA"/>
        <w:rPr/>
      </w:pPr>
      <w:r>
        <w:rPr/>
      </w:r>
    </w:p>
    <w:p>
      <w:pPr>
        <w:pStyle w:val="Heading3"/>
        <w:numPr>
          <w:ilvl w:val="0"/>
          <w:numId w:val="0"/>
        </w:numPr>
        <w:ind w:hanging="0" w:start="0"/>
        <w:rPr/>
      </w:pPr>
      <w:bookmarkStart w:id="56" w:name="_Toc235564944"/>
      <w:r>
        <w:rPr/>
        <w:t>Da dimensão linear à “forma” como dado de projeto</w:t>
      </w:r>
      <w:bookmarkEnd w:id="56"/>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w:t>
      </w:r>
      <w:sdt>
        <w:sdtPr>
          <w:tag w:val="MENDELEY_CITATION_v3_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"/>
          <w:id w:val="-549765989"/>
          <w:placeholder>
            <w:docPart w:val="DefaultPlaceholder_-1854013440"/>
          </w:placeholder>
        </w:sdtPr>
        <w:sdtContent>
          <w:r>
            <w:rPr/>
          </w:r>
          <w:r>
            <w:rPr>
              <w:color w:val="000000"/>
            </w:rPr>
            <w:t>(International Organization for Standardization, 2017)</w:t>
          </w:r>
        </w:sdtContent>
      </w:sdt>
      <w:r>
        <w:rPr/>
        <w:t xml:space="preserve">. No </w:t>
      </w:r>
      <w:r>
        <w:rPr>
          <w:i/>
          <w:iCs/>
        </w:rPr>
        <w:t>design</w:t>
      </w:r>
      <w:r>
        <w:rPr/>
        <w:t xml:space="preserve"> protésico, porém, particularmente nas interfaces corpo–dispositivo, como o encaixe (</w:t>
      </w:r>
      <w:r>
        <w:rPr>
          <w:i/>
          <w:iCs/>
        </w:rPr>
        <w:t>socket</w:t>
      </w:r>
      <w:r>
        <w:rPr/>
        <w:t xml:space="preserve">), a literatura sublinha o papel determinante da “forma” (shape), pois pequenas variações volumétricas e distribuições de pressão podem causar desconforto, lesões cutâneas e abandono do dispositivo. </w:t>
      </w:r>
    </w:p>
    <w:p>
      <w:pPr>
        <w:pStyle w:val="TextoNormal-IPCA"/>
        <w:rPr/>
      </w:pPr>
      <w:r>
        <w:rPr/>
        <w:t xml:space="preserve">Estudos e revisões bibliográficas indicam que o ajuste protésico pode exigir tolerâncias muito reduzidas e que um conjunto limitado de medidas lineares não capta devidamente a complexidade anatómica, as trajetórias de carga e as zonas de alívio </w:t>
      </w:r>
      <w:sdt>
        <w:sdtPr>
          <w:tag w:val="MENDELEY_CITATION_v3_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"/>
          <w:id w:val="1494300970"/>
          <w:placeholder>
            <w:docPart w:val="DefaultPlaceholder_-1854013440"/>
          </w:placeholder>
        </w:sdtPr>
        <w:sdtContent>
          <w:r>
            <w:rPr/>
          </w:r>
          <w:r>
            <w:rPr>
              <w:rFonts w:eastAsia="Times New Roman"/>
              <w:color w:val="000000"/>
            </w:rPr>
            <w:t>(Albin &amp; Molenbroek, 2023; Young et al., 2023)</w:t>
          </w:r>
        </w:sdtContent>
      </w:sdt>
      <w:r>
        <w:rPr/>
        <w:t>.</w:t>
      </w:r>
    </w:p>
    <w:p>
      <w:pPr>
        <w:pStyle w:val="TextoNormal-IPCA"/>
        <w:rPr/>
      </w:pPr>
      <w:r>
        <w:rPr/>
        <w:t xml:space="preserve">Verifica-se, por isso, uma valorização crescente de métodos capazes de captar geometria tridimensional de alta resolução e de traduzir essa informação em modelos CAD passíveis de retificação, parametrização e fabrico </w:t>
      </w:r>
      <w:sdt>
        <w:sdtPr>
          <w:tag w:val="MENDELEY_CITATION_v3_eyJjaXRhdGlvbklEIjoiTUVOREVMRVlfQ0lUQVRJT05fNjE3OGQ5NGItZTg3OC00YTdkLTg4ZjItOWU5ZjFmM2Y2Y2Vh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
          <w:id w:val="-1949614270"/>
          <w:placeholder>
            <w:docPart w:val="DefaultPlaceholder_-1854013440"/>
          </w:placeholder>
        </w:sdtPr>
        <w:sdtContent>
          <w:r>
            <w:rPr/>
          </w:r>
          <w:r>
            <w:rPr>
              <w:color w:val="000000"/>
            </w:rPr>
            <w:t>(Squibb et al., 2024)</w:t>
          </w:r>
        </w:sdtContent>
      </w:sdt>
      <w:r>
        <w:rPr/>
        <w:t>.</w:t>
      </w:r>
    </w:p>
    <w:p>
      <w:pPr>
        <w:pStyle w:val="TextoNormal-IPCA"/>
        <w:rPr/>
      </w:pPr>
      <w:r>
        <w:rPr/>
        <w:t>Ainda assim, a medição linear permanece indispensável para estruturar o modelo paramétrico, sobretudo quando se pretende definir um conjunto mínimo de entradas robustas e replicáveis. A Figura 6 ilustra este nível fundamental: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24"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6" descr="Image 6"/>
                    <pic:cNvPicPr>
                      <a:picLocks noChangeAspect="1" noChangeArrowheads="1"/>
                    </pic:cNvPicPr>
                  </pic:nvPicPr>
                  <pic:blipFill>
                    <a:blip r:embed="rId65"/>
                    <a:stretch>
                      <a:fillRect/>
                    </a:stretch>
                  </pic:blipFill>
                  <pic:spPr bwMode="auto">
                    <a:xfrm>
                      <a:off x="0" y="0"/>
                      <a:ext cx="5579745" cy="4119880"/>
                    </a:xfrm>
                    <a:prstGeom prst="rect">
                      <a:avLst/>
                    </a:prstGeom>
                    <a:noFill/>
                  </pic:spPr>
                </pic:pic>
              </a:graphicData>
            </a:graphic>
          </wp:inline>
        </w:drawing>
      </w:r>
    </w:p>
    <w:p>
      <w:pPr>
        <w:pStyle w:val="Caption"/>
        <w:rPr/>
      </w:pPr>
      <w:bookmarkStart w:id="57" w:name="_Toc235562500"/>
      <w:r>
        <w:rPr/>
        <w:t xml:space="preserve">Figura </w:t>
      </w:r>
      <w:r>
        <w:rPr/>
        <w:fldChar w:fldCharType="begin"/>
      </w:r>
      <w:r>
        <w:rPr/>
        <w:instrText xml:space="preserve"> SEQ Figura \* ARABIC </w:instrText>
      </w:r>
      <w:r>
        <w:rPr/>
        <w:fldChar w:fldCharType="separate"/>
      </w:r>
      <w:r>
        <w:rPr/>
        <w:t>6</w:t>
      </w:r>
      <w:r>
        <w:rPr/>
        <w:fldChar w:fldCharType="end"/>
      </w:r>
      <w:r>
        <w:rPr/>
        <w:t xml:space="preserve"> — Marcos anatómicos e medidas de referência da mão para fins de personalização</w:t>
      </w:r>
      <w:bookmarkEnd w:id="57"/>
    </w:p>
    <w:p>
      <w:pPr>
        <w:pStyle w:val="Nota-IPCA"/>
        <w:rPr>
          <w:lang w:val="pt-PT"/>
        </w:rPr>
      </w:pPr>
      <w:r>
        <w:rPr>
          <w:lang w:val="en-US"/>
        </w:rPr>
        <w:t xml:space="preserve">Reproduzido de </w:t>
      </w:r>
      <w:sdt>
        <w:sdtPr>
          <w:tag w:val="MENDELEY_CITATION_v3_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"/>
          <w:id w:val="1175074038"/>
          <w:placeholder>
            <w:docPart w:val="DefaultPlaceholder_-1854013440"/>
          </w:placeholder>
        </w:sdtPr>
        <w:sdtContent>
          <w:r>
            <w:rPr>
              <w:lang w:val="en-US"/>
            </w:rPr>
          </w:r>
          <w:r>
            <w:rPr>
              <w:rFonts w:cs="Arial"/>
              <w:color w:val="000000"/>
              <w:lang w:val="en-US"/>
            </w:rPr>
            <w:t>(Yu et al., 2013)</w:t>
          </w:r>
        </w:sdtContent>
      </w:sdt>
      <w:r>
        <w:rPr>
          <w:lang w:val="en-US"/>
        </w:rPr>
        <w:t xml:space="preserve"> </w:t>
      </w:r>
      <w:r>
        <w:rPr>
          <w:lang w:val="en-US"/>
        </w:rPr>
        <w:t xml:space="preserve">2D and 3D anatomical analyses of hand dimensions for custom-made gloves. </w:t>
      </w:r>
      <w:r>
        <w:rPr>
          <w:lang w:val="pt-PT"/>
        </w:rPr>
        <w:t>Applied Ergonomics, 44, 381-392.</w:t>
      </w:r>
    </w:p>
    <w:p>
      <w:pPr>
        <w:pStyle w:val="TextoNormal-IPCA"/>
        <w:rPr/>
      </w:pPr>
      <w:r>
        <w:rPr/>
      </w:r>
    </w:p>
    <w:p>
      <w:pPr>
        <w:pStyle w:val="Heading3"/>
        <w:numPr>
          <w:ilvl w:val="0"/>
          <w:numId w:val="0"/>
        </w:numPr>
        <w:ind w:hanging="0" w:start="0"/>
        <w:rPr/>
      </w:pPr>
      <w:bookmarkStart w:id="58" w:name="_Toc235564945"/>
      <w:r>
        <w:rPr/>
        <w:t>Métodos de recolha antropométrica em próteses e tecnologias de apoio</w:t>
      </w:r>
      <w:bookmarkEnd w:id="58"/>
    </w:p>
    <w:p>
      <w:pPr>
        <w:pStyle w:val="TextoNormal-IPCA"/>
        <w:keepNext w:val="true"/>
        <w:rPr/>
      </w:pPr>
      <w:r>
        <w:rPr/>
      </w:r>
    </w:p>
    <w:p>
      <w:pPr>
        <w:pStyle w:val="TextoNormal-IPCA"/>
        <w:rPr/>
      </w:pPr>
      <w:r>
        <w:rPr/>
        <w:t xml:space="preserve">A literatura agrupa os métodos de recolha em famílias com potencialidades e limitações específicas para o </w:t>
      </w:r>
      <w:r>
        <w:rPr>
          <w:i/>
          <w:iCs/>
        </w:rPr>
        <w:t>design</w:t>
      </w:r>
      <w:r>
        <w:rPr/>
        <w:t xml:space="preserve"> protésico:</w:t>
      </w:r>
    </w:p>
    <w:p>
      <w:pPr>
        <w:pStyle w:val="TextoNormal-IPCA"/>
        <w:numPr>
          <w:ilvl w:val="0"/>
          <w:numId w:val="3"/>
        </w:numPr>
        <w:rPr/>
      </w:pPr>
      <w:r>
        <w:rPr/>
        <w:t xml:space="preserve">A antropometria manual abrange medições realizadas em posturas normalizadas com instrumentos clínicos e de ergonomia. Mantém-se relevante em contextos de acessibilidade clínica e monitorização simples, por exemplo, na medição de circunferências para acompanhar variações do membro residual. Estas medidas, contudo, podem representar apenas parcialmente as alterações reais de volume, pois dependem da geometria do segmento e da distribuição dos tecidos, o que limita a precisão necessária para decisões de ajuste fino. </w:t>
      </w:r>
      <w:sdt>
        <w:sdtPr>
          <w:tag w:val="MENDELEY_CITATION_v3_eyJjaXRhdGlvbklEIjoiTUVOREVMRVlfQ0lUQVRJT05fMDkzNzdmYWQtZGFlYS00NDhjLTgxODMtMWVhZWVkMjU1YWI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
          <w:id w:val="317855447"/>
          <w:placeholder>
            <w:docPart w:val="DefaultPlaceholder_-1854013440"/>
          </w:placeholder>
        </w:sdtPr>
        <w:sdtContent>
          <w:r>
            <w:rPr/>
          </w:r>
          <w:r>
            <w:rPr>
              <w:color w:val="000000"/>
            </w:rPr>
            <w:t>(Ibrahim et al., 2024)</w:t>
          </w:r>
        </w:sdtContent>
      </w:sdt>
      <w:r>
        <w:rPr/>
        <w:t>.</w:t>
      </w:r>
    </w:p>
    <w:p>
      <w:pPr>
        <w:pStyle w:val="TextoNormal-IPCA"/>
        <w:numPr>
          <w:ilvl w:val="0"/>
          <w:numId w:val="3"/>
        </w:numPr>
        <w:rPr/>
      </w:pPr>
      <w:r>
        <w:rPr/>
        <w:t xml:space="preserve">A digitalização ótica 3D capta a geometria superficial do corpo sob a forma de nuvens de pontos ou malhas digitais, posteriormente processadas e convertidas em modelos compatíveis com </w:t>
      </w:r>
      <w:r>
        <w:rPr>
          <w:i/>
          <w:iCs/>
        </w:rPr>
        <w:t>software</w:t>
      </w:r>
      <w:r>
        <w:rPr/>
        <w:t xml:space="preserve"> CAD e processos de fabrico digital, frequentemente através do formato STL. Esta tecnologia facilita os fluxos de personalização e pode ser combinada com processos de automatização, como a correspondência de características anatómicas, reduzindo o trabalho de definição manual. Contudo, a consistência dos resultados pode variar em função da complexidade da forma, sobretudo em geometrias irregulares, como segmentos residuais complexos </w:t>
      </w:r>
      <w:sdt>
        <w:sdtPr>
          <w:tag w:val="MENDELEY_CITATION_v3_eyJjaXRhdGlvbklEIjoiTUVOREVMRVlfQ0lUQVRJT05fNjJiNDViZGMtZTQ2NC00NjdkLWJhMjUtMmQzNDFlZTkzOGQ3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
          <w:id w:val="1721093306"/>
          <w:placeholder>
            <w:docPart w:val="DefaultPlaceholder_-1854013440"/>
          </w:placeholder>
        </w:sdtPr>
        <w:sdtContent>
          <w:r>
            <w:rPr/>
          </w:r>
          <w:r>
            <w:rPr>
              <w:color w:val="000000"/>
            </w:rPr>
            <w:t>(Squibb et al., 2024)</w:t>
          </w:r>
        </w:sdtContent>
      </w:sdt>
      <w:r>
        <w:rPr/>
        <w:t>.</w:t>
      </w:r>
    </w:p>
    <w:p>
      <w:pPr>
        <w:pStyle w:val="TextoNormal-IPCA"/>
        <w:numPr>
          <w:ilvl w:val="0"/>
          <w:numId w:val="3"/>
        </w:numPr>
        <w:rPr/>
      </w:pPr>
      <w:r>
        <w:rPr/>
        <w:t xml:space="preserve">A fotogrametria permite reconstruir modelos 3D a partir de fotografias 2D e inclui soluções baseadas em </w:t>
      </w:r>
      <w:r>
        <w:rPr>
          <w:i/>
          <w:iCs/>
        </w:rPr>
        <w:t>smartphones</w:t>
      </w:r>
      <w:r>
        <w:rPr/>
        <w:t xml:space="preserve">. É considerada um método promissor pela rapidez de captura e pelo potencial de acesso alargado, embora possa exigir mais tempo de processamento e cuidados relativos à iluminação e à cobertura da imagem </w:t>
      </w:r>
      <w:sdt>
        <w:sdtPr>
          <w:tag w:val="MENDELEY_CITATION_v3_eyJjaXRhdGlvbklEIjoiTUVOREVMRVlfQ0lUQVRJT05fYTU0YjU0ZjAtNDgyOS00YmQzLTliOGEtOWExMzg5ZjMxNjA3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
          <w:id w:val="1117263579"/>
          <w:placeholder>
            <w:docPart w:val="DefaultPlaceholder_-1854013440"/>
          </w:placeholder>
        </w:sdtPr>
        <w:sdtContent>
          <w:r>
            <w:rPr/>
          </w:r>
          <w:r>
            <w:rPr>
              <w:color w:val="000000"/>
            </w:rPr>
            <w:t>(R. Silva et al., 2024)</w:t>
          </w:r>
        </w:sdtContent>
      </w:sdt>
      <w:r>
        <w:rPr/>
        <w:t>.</w:t>
      </w:r>
    </w:p>
    <w:p>
      <w:pPr>
        <w:pStyle w:val="TextoNormal-IPCA"/>
        <w:numPr>
          <w:ilvl w:val="0"/>
          <w:numId w:val="3"/>
        </w:numPr>
        <w:rPr/>
      </w:pPr>
      <w:r>
        <w:rPr/>
        <w:t xml:space="preserve">As imagens médicas, como a tomografia computorizada (CT) ou a ressonância magnética (MRI: </w:t>
      </w:r>
      <w:r>
        <w:rPr>
          <w:i/>
          <w:iCs/>
        </w:rPr>
        <w:t>Magnetic Resonance Imaging</w:t>
      </w:r>
      <w:r>
        <w:rPr/>
        <w:t>), permitem obter a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Estas técnicas implicam, contudo, maior custo e menor acessibilidade; no caso do CT, é ainda necessário considerar a exposição à radiação e a dependência do contexto hospitalar.</w:t>
      </w:r>
    </w:p>
    <w:p>
      <w:pPr>
        <w:pStyle w:val="TextoNormal-IPCA"/>
        <w:numPr>
          <w:ilvl w:val="0"/>
          <w:numId w:val="3"/>
        </w:numPr>
        <w:rPr/>
      </w:pPr>
      <w:r>
        <w:rPr/>
        <w:t>Medições complementares da interface (pressão, termografia, bioimpedância). A literatura salienta que, nas próteses, a adequação não é apenas geométrica, pois depende do comportamento da interface durante o uso. Recorre-se, por isso, a métodos adjuntos que quantificam sinais de ajuste, como a distribuição de pressão e de cisalhamento, as zonas de aquecimento localizado (</w:t>
      </w:r>
      <w:r>
        <w:rPr>
          <w:i/>
          <w:iCs/>
        </w:rPr>
        <w:t>Thermal hot spots</w:t>
      </w:r>
      <w:r>
        <w:rPr/>
        <w:t xml:space="preserve">) e as flutuações de volume do membro residual. Estes métodos permitem relacionar decisões de forma/retificação com desfechos de conforto e segurança, embora sejam descritos, em muitos casos, como ainda experimentais e sujeitos a barreiras à adoção clínica </w:t>
      </w:r>
      <w:sdt>
        <w:sdtPr>
          <w:tag w:val="MENDELEY_CITATION_v3_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V19"/>
          <w:id w:val="685946962"/>
          <w:placeholder>
            <w:docPart w:val="DefaultPlaceholder_-1854013440"/>
          </w:placeholder>
        </w:sdtPr>
        <w:sdtContent>
          <w:r>
            <w:rPr/>
          </w:r>
          <w:r>
            <w:rPr>
              <w:color w:val="000000"/>
            </w:rPr>
            <w:t>(Ibrahim et al., 2024; Young et al., 2023)</w:t>
          </w:r>
        </w:sdtContent>
      </w:sdt>
      <w:r>
        <w:rPr/>
        <w:t>.</w:t>
      </w:r>
    </w:p>
    <w:p>
      <w:pPr>
        <w:pStyle w:val="TextoNormal-IPCA"/>
        <w:rPr/>
      </w:pPr>
      <w:r>
        <w:rPr/>
      </w:r>
    </w:p>
    <w:p>
      <w:pPr>
        <w:pStyle w:val="Heading3"/>
        <w:numPr>
          <w:ilvl w:val="0"/>
          <w:numId w:val="0"/>
        </w:numPr>
        <w:ind w:hanging="0" w:start="0"/>
        <w:rPr/>
      </w:pPr>
      <w:bookmarkStart w:id="59" w:name="_Toc235564946"/>
      <w:r>
        <w:rPr/>
        <w:t>Interpretação e aplicação de dados antropométricos no projeto</w:t>
      </w:r>
      <w:bookmarkEnd w:id="59"/>
    </w:p>
    <w:p>
      <w:pPr>
        <w:pStyle w:val="TextoNormal-IPCA"/>
        <w:keepNext w:val="true"/>
        <w:rPr/>
      </w:pPr>
      <w:r>
        <w:rPr/>
      </w:r>
    </w:p>
    <w:p>
      <w:pPr>
        <w:pStyle w:val="TextoNormal-IPCA"/>
        <w:rPr/>
      </w:pPr>
      <w:r>
        <w:rPr/>
        <w:t>A conversão dos dados antropométricos em critérios de projeto faz-se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w:t>
      </w:r>
      <w:sdt>
        <w:sdtPr>
          <w:tag w:val="MENDELEY_CITATION_v3_eyJjaXRhdGlvbklEIjoiTUVOREVMRVlfQ0lUQVRJT05fZjAyNDBkNzItMjY5Ny00ZjM5LWIzZTYtZDM2NWE1NjZmM2NiIiwicHJvcGVydGllcyI6eyJub3RlSW5kZXgiOjB9LCJpc0VkaXRlZCI6ZmFsc2UsIm1hbnVhbE92ZXJyaWRlIjp7ImlzTWFudWFsbHlPdmVycmlkZGVuIjpmYWxzZSwiY2l0ZXByb2NUZXh0IjoiKFN1bmRlcmxhbmQgZXQgYWwuLCAyMDI0KSIsIm1hbnVhbE92ZXJyaWRlVGV4dCI6IiJ9LCJjaXRhdGlvbkl0ZW1zIjpb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Swic3VwcHJlc3MtYXV0aG9yIjpmYWxzZSwiY29tcG9zaXRlIjpmYWxzZSwiYXV0aG9yLW9ubHkiOmZhbHNlfV19"/>
          <w:id w:val="-2125536634"/>
          <w:placeholder>
            <w:docPart w:val="DefaultPlaceholder_-1854013440"/>
          </w:placeholder>
        </w:sdtPr>
        <w:sdtContent>
          <w:r>
            <w:rPr/>
          </w:r>
          <w:r>
            <w:rPr>
              <w:color w:val="000000"/>
            </w:rPr>
            <w:t>(Sunderland et al., 2024)</w:t>
          </w:r>
        </w:sdtContent>
      </w:sdt>
      <w:r>
        <w:rPr/>
        <w:t>.</w:t>
      </w:r>
    </w:p>
    <w:p>
      <w:pPr>
        <w:pStyle w:val="TextoNormal-IPCA"/>
        <w:rPr>
          <w:u w:val="single"/>
        </w:rPr>
      </w:pPr>
      <w:r>
        <w:rPr/>
        <w:t xml:space="preserve">No </w:t>
      </w:r>
      <w:r>
        <w:rPr>
          <w:i/>
          <w:iCs/>
        </w:rPr>
        <w:t>design</w:t>
      </w:r>
      <w:r>
        <w:rPr/>
        <w:t xml:space="preserve"> protésico, a aplicação mais crítica incide no encaixe e nas zonas de contacto, onde a geometria captada é submetida a processos de retificação (diferenças propositadas entre o corpo e o dispositivo) e posteriormente validada segundo critérios de conforto e de interface. A literatura considera explicitamente a captura dimensional/geométrica do membro uma etapa decisiva para a qualidade do encaixe (</w:t>
      </w:r>
      <w:sdt>
        <w:sdtPr>
          <w:tag w:val="MENDELEY_CITATION_v3_eyJjaXRhdGlvbklEIjoiTUVOREVMRVlfQ0lUQVRJT05fZjhiZTJlODYtMDNhYi00MmM5LTkxMDMtYzI4NmQxNmMwMGU5IiwicHJvcGVydGllcyI6eyJub3RlSW5kZXgiOjB9LCJpc0VkaXRlZCI6ZmFsc2UsIm1hbnVhbE92ZXJyaWRlIjp7ImlzTWFudWFsbHlPdmVycmlkZGVuIjpmYWxzZSwiY2l0ZXByb2NUZXh0IjoiKERpY2tpbnNvbiBldCBhbC4sIDIwMjQ7IFlvdW5nIGV0IGFsLiwgMjAyMykiLCJtYW51YWxPdmVycmlkZVRleHQiOiIifSwiY2l0YXRpb25JdGVtcyI6W3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"/>
          <w:id w:val="-1098943985"/>
          <w:placeholder>
            <w:docPart w:val="DefaultPlaceholder_-1854013440"/>
          </w:placeholder>
        </w:sdtPr>
        <w:sdtContent>
          <w:r>
            <w:rPr/>
          </w:r>
          <w:r>
            <w:rPr>
              <w:color w:val="000000"/>
            </w:rPr>
            <w:t>(Dickinson et al., 2024; Young et al., 2023)</w:t>
          </w:r>
        </w:sdtContent>
      </w:sdt>
      <w:r>
        <w:rPr/>
        <w:t>.</w:t>
      </w:r>
    </w:p>
    <w:p>
      <w:pPr>
        <w:pStyle w:val="TextoNormal-IPCA"/>
        <w:rPr/>
      </w:pPr>
      <w:r>
        <w:rPr/>
      </w:r>
    </w:p>
    <w:p>
      <w:pPr>
        <w:pStyle w:val="Heading3"/>
        <w:numPr>
          <w:ilvl w:val="0"/>
          <w:numId w:val="0"/>
        </w:numPr>
        <w:ind w:hanging="0" w:start="0"/>
        <w:rPr/>
      </w:pPr>
      <w:bookmarkStart w:id="60" w:name="_Toc235564947"/>
      <w:r>
        <w:rPr/>
        <w:t>Evidência por tipo de dispositivo</w:t>
      </w:r>
      <w:bookmarkEnd w:id="60"/>
    </w:p>
    <w:p>
      <w:pPr>
        <w:pStyle w:val="TextoNormal-IPCA"/>
        <w:keepNext w:val="true"/>
        <w:rPr/>
      </w:pPr>
      <w:r>
        <w:rPr/>
      </w:r>
    </w:p>
    <w:p>
      <w:pPr>
        <w:pStyle w:val="TextoNormal-IPCA"/>
        <w:rPr/>
      </w:pPr>
      <w:r>
        <w:rPr/>
        <w:t>Embora os princípios sejam transversais, os estudos analisados distinguem os requisitos e os métodos consoante o tipo de dispositivo:</w:t>
      </w:r>
    </w:p>
    <w:p>
      <w:pPr>
        <w:pStyle w:val="TextoNormal-IPCA"/>
        <w:rPr/>
      </w:pPr>
      <w:r>
        <w:rPr/>
        <w:t xml:space="preserve">– </w:t>
      </w:r>
      <w:r>
        <w:rPr/>
        <w:t xml:space="preserve">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w:t>
      </w:r>
      <w:sdt>
        <w:sdtPr>
          <w:tag w:val="MENDELEY_CITATION_v3_eyJjaXRhdGlvbklEIjoiTUVOREVMRVlfQ0lUQVRJT05fZWFjMzI2ZDMtZGMyMy00NjcyLWJjMTEtMDg5MDk5OWRjNTMx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
          <w:id w:val="86894507"/>
          <w:placeholder>
            <w:docPart w:val="DefaultPlaceholder_-1854013440"/>
          </w:placeholder>
        </w:sdtPr>
        <w:sdtContent>
          <w:r>
            <w:rPr/>
          </w:r>
          <w:r>
            <w:rPr>
              <w:color w:val="000000"/>
            </w:rPr>
            <w:t>(Silva et al., 2024)</w:t>
          </w:r>
        </w:sdtContent>
      </w:sdt>
      <w:r>
        <w:rPr/>
        <w:t>.</w:t>
      </w:r>
    </w:p>
    <w:p>
      <w:pPr>
        <w:pStyle w:val="TextoNormal-IPCA"/>
        <w:rPr/>
      </w:pPr>
      <w:r>
        <w:rPr/>
        <w:t xml:space="preserve">– </w:t>
      </w:r>
      <w:r>
        <w:rPr/>
        <w:t xml:space="preserve">Próteses de membro superior: </w:t>
      </w:r>
      <w:sdt>
        <w:sdtPr>
          <w:tag w:val="MENDELEY_CITATION_v3_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"/>
          <w:id w:val="396325084"/>
          <w:placeholder>
            <w:docPart w:val="DefaultPlaceholder_-1854013440"/>
          </w:placeholder>
        </w:sdtPr>
        <w:sdtContent>
          <w:r>
            <w:rPr/>
          </w:r>
          <w:r>
            <w:rPr>
              <w:color w:val="000000"/>
            </w:rPr>
            <w:t>Chainando et al. (2025)</w:t>
          </w:r>
        </w:sdtContent>
      </w:sdt>
      <w:r>
        <w:rPr/>
        <w:t xml:space="preserve">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w:t>
      </w:r>
      <w:sdt>
        <w:sdtPr>
          <w:tag w:val="MENDELEY_CITATION_v3_eyJjaXRhdGlvbklEIjoiTUVOREVMRVlfQ0lUQVRJT05fNmJhZmIyMDMtNzA3Ni00ZmY0LTkwOGQtNjM0ZmQ3NDVhNTJh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LCJzdXBwcmVzcy1hdXRob3IiOmZhbHNlLCJjb21wb3NpdGUiOmZhbHNlLCJhdXRob3Itb25seSI6ZmFsc2V9XX0="/>
          <w:id w:val="796726080"/>
          <w:placeholder>
            <w:docPart w:val="DefaultPlaceholder_-1854013440"/>
          </w:placeholder>
        </w:sdtPr>
        <w:sdtContent>
          <w:r>
            <w:rPr/>
          </w:r>
          <w:r>
            <w:rPr>
              <w:color w:val="000000"/>
            </w:rPr>
            <w:t>Ciklacandir et al. (2022)</w:t>
          </w:r>
        </w:sdtContent>
      </w:sdt>
      <w:r>
        <w:rPr/>
        <w:t xml:space="preserve">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apoio definidos por zonas de alcance funcional, como cadeiras de rodas e acessórios: a antropometria é frequentemente operacionalizada como critério de posicionamento e acessibilidade, através de mapeamentos de alcance e de critérios baseados em percentis.</w:t>
      </w:r>
    </w:p>
    <w:p>
      <w:pPr>
        <w:pStyle w:val="TextoNormal-IPCA"/>
        <w:rPr/>
      </w:pPr>
      <w:r>
        <w:rPr/>
      </w:r>
    </w:p>
    <w:p>
      <w:pPr>
        <w:pStyle w:val="Heading3"/>
        <w:numPr>
          <w:ilvl w:val="0"/>
          <w:numId w:val="0"/>
        </w:numPr>
        <w:ind w:hanging="0" w:start="0"/>
        <w:rPr/>
      </w:pPr>
      <w:bookmarkStart w:id="61" w:name="_Toc235564948"/>
      <w:r>
        <w:rPr/>
        <w:t>Limitações, lacunas e recomendações</w:t>
      </w:r>
      <w:bookmarkEnd w:id="61"/>
    </w:p>
    <w:p>
      <w:pPr>
        <w:pStyle w:val="TextoNormal-IPCA"/>
        <w:keepNext w:val="true"/>
        <w:rPr/>
      </w:pPr>
      <w:r>
        <w:rPr/>
      </w:r>
    </w:p>
    <w:p>
      <w:pPr>
        <w:pStyle w:val="TextoNormal-IPCA"/>
        <w:rPr/>
      </w:pPr>
      <w:r>
        <w:rPr/>
        <w:t>Apesar dos avanços metodológicos, a literatura identifica limitações recorrentes: amostras pequenas nos estudos aplicados, inconsistências no registo das etapas de retificação e pós-processamento e falta de validação em contexto real e a longo prazo.</w:t>
      </w:r>
    </w:p>
    <w:p>
      <w:pPr>
        <w:pStyle w:val="TextoNormal-IPCA"/>
        <w:rPr/>
      </w:pPr>
      <w:r>
        <w:rPr/>
        <w:t xml:space="preserve">A escassez de bases de dados antropométricas normalizadas sobre pessoas com deficiência constitui um problema estrutural particularmente relevante para o </w:t>
      </w:r>
      <w:r>
        <w:rPr>
          <w:i/>
          <w:iCs/>
        </w:rPr>
        <w:t>design</w:t>
      </w:r>
      <w:r>
        <w:rPr/>
        <w:t xml:space="preserve"> inclusivo, pois dificulta as estimativas de acomodação e pode perpetuar desajustes de </w:t>
      </w:r>
      <w:r>
        <w:rPr>
          <w:i/>
          <w:iCs/>
        </w:rPr>
        <w:t>design</w:t>
      </w:r>
      <w:r>
        <w:rPr/>
        <w:t xml:space="preserve"> em populações sub-representadas </w:t>
      </w:r>
      <w:sdt>
        <w:sdtPr>
          <w:tag w:val="MENDELEY_CITATION_v3_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"/>
          <w:id w:val="-1078593132"/>
          <w:placeholder>
            <w:docPart w:val="DefaultPlaceholder_-1854013440"/>
          </w:placeholder>
        </w:sdtPr>
        <w:sdtContent>
          <w:r>
            <w:rPr/>
          </w:r>
          <w:r>
            <w:rPr>
              <w:color w:val="000000"/>
            </w:rPr>
            <w:t>(Paul et al., 2022)</w:t>
          </w:r>
        </w:sdtContent>
      </w:sdt>
      <w:r>
        <w:rPr/>
        <w:t>.</w:t>
      </w:r>
    </w:p>
    <w:p>
      <w:pPr>
        <w:pStyle w:val="TextoNormal-IPCA"/>
        <w:rPr/>
      </w:pPr>
      <w:r>
        <w:rPr/>
        <w:t xml:space="preserve">Como orientação prática, recomenda-se selecionar o método de medição em função da questão de </w:t>
      </w:r>
      <w:r>
        <w:rPr>
          <w:i/>
          <w:iCs/>
        </w:rPr>
        <w:t>design</w:t>
      </w:r>
      <w:r>
        <w:rPr/>
        <w:t xml:space="preserve"> — captura de forma, monitorização de volume ou validação de interface —, assegurar a consistência das medições através da adoção de posturas padronizadas e da marcação coerente dos pontos de referência anatómicos e recorrer a bases de dados antropométricas alinhadas com a população-alvo para definir critérios de acomodação e ajuste </w:t>
      </w:r>
      <w:sdt>
        <w:sdtPr>
          <w:tag w:val="MENDELEY_CITATION_v3_eyJjaXRhdGlvbklEIjoiTUVOREVMRVlfQ0lUQVRJT05fNjE5YTQ5MzUtYzdkMi00YWE0LWI0YmEtOWI3ODY4MjFjZDE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
          <w:id w:val="1338879832"/>
          <w:placeholder>
            <w:docPart w:val="DefaultPlaceholder_-1854013440"/>
          </w:placeholder>
        </w:sdtPr>
        <w:sdtContent>
          <w:r>
            <w:rPr/>
          </w:r>
          <w:r>
            <w:rPr>
              <w:color w:val="000000"/>
            </w:rPr>
            <w:t>(Ibrahim et al., 2024)</w:t>
          </w:r>
        </w:sdtContent>
      </w:sdt>
      <w:r>
        <w:rPr/>
        <w:t>.</w:t>
      </w:r>
    </w:p>
    <w:p>
      <w:pPr>
        <w:pStyle w:val="TextoNormal-IPCA"/>
        <w:rPr/>
      </w:pPr>
      <w:r>
        <w:rPr/>
        <w:t>Recomenda-se ainda distinguir o ajuste estático, avaliado em posturas padronizadas, do ajuste dinâmico, observado durante a amplitude de movimento funcional, reconhecendo que o ajuste e o conforto são conceitos relacionados, mas não equivalentes.</w:t>
      </w:r>
    </w:p>
    <w:p>
      <w:pPr>
        <w:pStyle w:val="TextoNormal-IPCA"/>
        <w:rPr/>
      </w:pPr>
      <w:r>
        <w:rPr/>
      </w:r>
    </w:p>
    <w:p>
      <w:pPr>
        <w:pStyle w:val="Heading3"/>
        <w:numPr>
          <w:ilvl w:val="0"/>
          <w:numId w:val="0"/>
        </w:numPr>
        <w:ind w:hanging="0" w:start="0"/>
        <w:rPr/>
      </w:pPr>
      <w:bookmarkStart w:id="62" w:name="_Toc235564949"/>
      <w:r>
        <w:rPr/>
        <w:t>Estruturação de dados</w:t>
      </w:r>
      <w:bookmarkEnd w:id="62"/>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interpretação tridimensionais, complementado por métricas de interface que aproximam a medição do desempenho real em uso. Esta abordagem facilita a integração de dados dimensionais, CAD, parametrização e fabrico aditivo e permite desenvolver fluxos de adaptação parcialmente automatizados. A consolidação destas práticas exige, contudo, procedimentos mais padronizados, amostras mais amplas, bases de dados antropométricas representativas e uma identificação clara da origem dos valores utilizados </w:t>
      </w:r>
      <w:sdt>
        <w:sdtPr>
          <w:tag w:val="MENDELEY_CITATION_v3_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X1dfQ=="/>
          <w:id w:val="578643736"/>
          <w:placeholder>
            <w:docPart w:val="DefaultPlaceholder_-1854013440"/>
          </w:placeholder>
        </w:sdtPr>
        <w:sdtContent>
          <w:r>
            <w:rPr/>
          </w:r>
          <w:r>
            <w:rPr>
              <w:color w:val="000000"/>
            </w:rPr>
            <w:t>(Paul et al., 2022; Sunderland et al., 2024)</w:t>
          </w:r>
        </w:sdtContent>
      </w:sdt>
      <w:r>
        <w:rPr/>
        <w:t>.</w:t>
      </w:r>
    </w:p>
    <w:p>
      <w:pPr>
        <w:pStyle w:val="TextoNormal-IPCA"/>
        <w:rPr/>
      </w:pPr>
      <w:r>
        <w:rPr/>
        <w:t>Nesta investigação, esta necessidade foi concretizada através da construção de uma base local consolidada de medidas da mão e do membro superior distal. O Capítulo 4 descreve detalhadamente a seleção das fontes, a extração e normalização dos valores e a sua tradução para parâmetros de projeto. Nesse capítulo, os dados deixam de constituir apenas um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bookmarkStart w:id="63" w:name="_Toc235564950"/>
      <w:r>
        <w:rPr/>
        <w:t xml:space="preserve">2.6 Inteligência Artificial no processo de </w:t>
      </w:r>
      <w:r>
        <w:rPr>
          <w:i/>
          <w:iCs/>
        </w:rPr>
        <w:t>design</w:t>
      </w:r>
      <w:bookmarkEnd w:id="63"/>
    </w:p>
    <w:p>
      <w:pPr>
        <w:pStyle w:val="TextoNormal-IPCA"/>
        <w:keepNext w:val="true"/>
        <w:rPr/>
      </w:pPr>
      <w:r>
        <w:rPr/>
      </w:r>
    </w:p>
    <w:p>
      <w:pPr>
        <w:pStyle w:val="TextoNormal-IPCA"/>
        <w:rPr/>
      </w:pPr>
      <w:r>
        <w:rPr/>
        <w:t xml:space="preserve">A integração da Inteligência Artificial (IA) no </w:t>
      </w:r>
      <w:r>
        <w:rPr>
          <w:i/>
          <w:iCs/>
        </w:rPr>
        <w:t>design</w:t>
      </w:r>
      <w:r>
        <w:rPr/>
        <w:t xml:space="preserve"> adquiriu centralidade com o surgimento de novas ferramentas e a alteração das relações entre criatividade, análise, decisão e automatização. A rápida disseminação do termo «IA» gerou, contudo, alguma imprecisão conceptual. Em muitos contextos, a mesma designação abrange sistemas de previsão, algoritmos de otimização, modelos generativos e interfaces conversacionais, apesar das diferenças entre as respetivas funções e modos de operação. No âmbito de uma investigação em </w:t>
      </w:r>
      <w:r>
        <w:rPr>
          <w:i/>
          <w:iCs/>
        </w:rPr>
        <w:t>design</w:t>
      </w:r>
      <w:r>
        <w:rPr/>
        <w:t xml:space="preserve"> industrial, importa, por isso, começar por uma clarificação introdutória. Este subcapítulo explica, de forma acessível, o que é a IA, como funciona em termos gerais, que formas assume no </w:t>
      </w:r>
      <w:r>
        <w:rPr>
          <w:i/>
          <w:iCs/>
        </w:rPr>
        <w:t>design</w:t>
      </w:r>
      <w:r>
        <w:rPr/>
        <w:t xml:space="preserve"> e por que razão deve ser entendida como um instrumento de apoio sujeito à decisão do designer </w:t>
      </w:r>
      <w:sdt>
        <w:sdtPr>
          <w:tag w:val="MENDELEY_CITATION_v3_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1dfQ=="/>
          <w:id w:val="1483742761"/>
          <w:placeholder>
            <w:docPart w:val="DefaultPlaceholder_-1854013440"/>
          </w:placeholder>
        </w:sdtPr>
        <w:sdtContent>
          <w:r>
            <w:rPr/>
          </w:r>
          <w:r>
            <w:rPr>
              <w:rFonts w:eastAsia="Times New Roman"/>
              <w:color w:val="000000"/>
            </w:rPr>
            <w:t>(Choudhury et al., 2025; Saeidnia &amp; Ausloos, 2024; Yüksel et al., 2023)</w:t>
          </w:r>
        </w:sdtContent>
      </w:sdt>
      <w:r>
        <w:rPr/>
        <w:t>.</w:t>
      </w:r>
    </w:p>
    <w:p>
      <w:pPr>
        <w:pStyle w:val="TextoNormal-IPCA"/>
        <w:rPr/>
      </w:pPr>
      <w:r>
        <w:rPr/>
        <w:t>A Figura 7 enquadra a IA não como um bloco monolítico, mas como uma camada integrada num fluxo CAD mais amplo, no qual a recolha de dados, a modelação, a otimização e a avaliação permanecem articuladas com a decisão de projeto.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25"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7" descr="Image 7"/>
                    <pic:cNvPicPr>
                      <a:picLocks noChangeAspect="1" noChangeArrowheads="1"/>
                    </pic:cNvPicPr>
                  </pic:nvPicPr>
                  <pic:blipFill>
                    <a:blip r:embed="rId66"/>
                    <a:stretch>
                      <a:fillRect/>
                    </a:stretch>
                  </pic:blipFill>
                  <pic:spPr bwMode="auto">
                    <a:xfrm>
                      <a:off x="0" y="0"/>
                      <a:ext cx="5579745" cy="2399665"/>
                    </a:xfrm>
                    <a:prstGeom prst="rect">
                      <a:avLst/>
                    </a:prstGeom>
                    <a:noFill/>
                  </pic:spPr>
                </pic:pic>
              </a:graphicData>
            </a:graphic>
          </wp:inline>
        </w:drawing>
      </w:r>
    </w:p>
    <w:p>
      <w:pPr>
        <w:pStyle w:val="Caption"/>
        <w:rPr/>
      </w:pPr>
      <w:bookmarkStart w:id="64" w:name="_Toc235562501"/>
      <w:r>
        <w:rPr/>
        <w:t xml:space="preserve">Figura </w:t>
      </w:r>
      <w:r>
        <w:rPr/>
        <w:fldChar w:fldCharType="begin"/>
      </w:r>
      <w:r>
        <w:rPr/>
        <w:instrText xml:space="preserve"> SEQ Figura \* ARABIC </w:instrText>
      </w:r>
      <w:r>
        <w:rPr/>
        <w:fldChar w:fldCharType="separate"/>
      </w:r>
      <w:r>
        <w:rPr/>
        <w:t>7</w:t>
      </w:r>
      <w:r>
        <w:rPr/>
        <w:fldChar w:fldCharType="end"/>
      </w:r>
      <w:r>
        <w:rPr/>
        <w:t xml:space="preserve"> — Enquadramento de um fluxo de CAD apoiado por IA para desenvolvimento de produto.</w:t>
      </w:r>
      <w:bookmarkEnd w:id="64"/>
    </w:p>
    <w:p>
      <w:pPr>
        <w:pStyle w:val="Nota-IPCA"/>
        <w:rPr>
          <w:lang w:val="pt-PT"/>
        </w:rPr>
      </w:pPr>
      <w:r>
        <w:rPr>
          <w:lang w:val="pt-PT"/>
        </w:rPr>
        <w:t xml:space="preserve">Adaptado de Menaka, S., Raja, A. W., Ramakrishnan, S., Karthikeswaran, D., Sridar, K., &amp; Sivaranjani, T. (2025). </w:t>
      </w:r>
      <w:r>
        <w:rPr>
          <w:lang w:val="en-US"/>
        </w:rPr>
        <w:t xml:space="preserve">AI-driven computer-aided design (CAD) systems: Leveraging neural networks for optimized engineering product development. </w:t>
      </w:r>
      <w:r>
        <w:rPr>
          <w:lang w:val="pt-PT"/>
        </w:rPr>
        <w:t>International Journal of Applied Mathematics, 38(5s).</w:t>
      </w:r>
    </w:p>
    <w:p>
      <w:pPr>
        <w:pStyle w:val="Heading3"/>
        <w:numPr>
          <w:ilvl w:val="0"/>
          <w:numId w:val="0"/>
        </w:numPr>
        <w:ind w:hanging="0" w:start="0"/>
        <w:rPr/>
      </w:pPr>
      <w:r>
        <w:rPr/>
      </w:r>
    </w:p>
    <w:p>
      <w:pPr>
        <w:pStyle w:val="Heading3"/>
        <w:numPr>
          <w:ilvl w:val="0"/>
          <w:numId w:val="0"/>
        </w:numPr>
        <w:ind w:hanging="0" w:start="0"/>
        <w:rPr/>
      </w:pPr>
      <w:bookmarkStart w:id="65" w:name="_Toc235564951"/>
      <w:r>
        <w:rPr/>
        <w:t>O que é a Inteligência Artificial</w:t>
      </w:r>
      <w:bookmarkEnd w:id="65"/>
    </w:p>
    <w:p>
      <w:pPr>
        <w:pStyle w:val="TextoNormal-IPCA"/>
        <w:keepNext w:val="true"/>
        <w:rPr/>
      </w:pPr>
      <w:r>
        <w:rPr/>
      </w:r>
    </w:p>
    <w:p>
      <w:pPr>
        <w:pStyle w:val="TextoNormal-IPCA"/>
        <w:rPr/>
      </w:pPr>
      <w:r>
        <w:rPr/>
        <w:t xml:space="preserve">Em termos gerais, a IA pode ser entendida como um conjunto de métodos computacionais destinados a executar tarefas que requerem aprendizagem, reconhecimento de padrões, inferência ou geração de respostas com base em dados. Neste contexto, a inferência é o processo pelo qual um sistema aplica a novos dados de entrada os padrões aprendidos durante o treino, produzindo uma classificação, previsão, recomendação ou resposta compatível com esses padrões. Entre as abordagens abrangidas pela IA, a aprendizagem automática permite aos sistemas aprender a partir de dados, identificar padrões e produzir previsões ou decisões sem que cada resposta tenha sido previamente programada </w:t>
      </w:r>
      <w:sdt>
        <w:sdtPr>
          <w:tag w:val="MENDELEY_CITATION_v3_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"/>
          <w:id w:val="1666898175"/>
          <w:placeholder>
            <w:docPart w:val="DefaultPlaceholder_-1854013440"/>
          </w:placeholder>
        </w:sdtPr>
        <w:sdtContent>
          <w:r>
            <w:rPr/>
          </w:r>
          <w:r>
            <w:rPr>
              <w:rFonts w:eastAsia="Times New Roman"/>
              <w:color w:val="000000"/>
            </w:rPr>
            <w:t>(Wang &amp; Hu, 2024)</w:t>
          </w:r>
        </w:sdtContent>
      </w:sdt>
      <w:r>
        <w:rPr/>
        <w:t xml:space="preserve">. A aplicação destes sistemas permanece delimitada: no </w:t>
      </w:r>
      <w:r>
        <w:rPr>
          <w:i/>
          <w:iCs/>
        </w:rPr>
        <w:t>design</w:t>
      </w:r>
      <w:r>
        <w:rPr/>
        <w:t xml:space="preserve">, um algoritmo desenvolvido para um problema particular geralmente não se aplica a outros e revela pouca capacidade de adaptação a condições diferentes </w:t>
      </w:r>
      <w:sdt>
        <w:sdtPr>
          <w:tag w:val="MENDELEY_CITATION_v3_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"/>
          <w:id w:val="1359623203"/>
          <w:placeholder>
            <w:docPart w:val="DefaultPlaceholder_-1854013440"/>
          </w:placeholder>
        </w:sdtPr>
        <w:sdtContent>
          <w:r>
            <w:rPr/>
          </w:r>
          <w:r>
            <w:rPr>
              <w:color w:val="000000"/>
            </w:rPr>
            <w:t>(Yüksel et al., 2023)</w:t>
          </w:r>
        </w:sdtContent>
      </w:sdt>
      <w:r>
        <w:rPr/>
        <w:t>. Nesta dissertação, o desempenho numa tarefa específica não é, por esse motivo, equiparado a uma capacidade geral de pensamento.</w:t>
      </w:r>
    </w:p>
    <w:p>
      <w:pPr>
        <w:pStyle w:val="TextoNormal-IPCA"/>
        <w:rPr/>
      </w:pPr>
      <w:r>
        <w:rPr/>
        <w:t>Neste campo, a aprendizagem automática abrange as abordagens em que o sistema aprende a partir de dados, em vez de depender exclusivamente de regras explicitamente escritas. A aprendizagem profunda é um subconjunto desta família, baseado em redes neuronais artificiais</w:t>
      </w:r>
      <w:r>
        <w:rPr>
          <w:rStyle w:val="FootnoteReference"/>
        </w:rPr>
        <w:footnoteReference w:id="7"/>
      </w:r>
      <w:r>
        <w:rPr/>
        <w:t xml:space="preserve"> com múltiplas camadas e particularmente adequado ao tratamento de dados complexos, como imagens e texto. A IA generativa, por sua vez, refere-se a modelos capazes de produzir novos conteúdos — por exemplo, texto, imagens, composições formais ou variantes de projeto — com base nos padrões aprendidos. Esta distinção é particularmente importante para o </w:t>
      </w:r>
      <w:r>
        <w:rPr>
          <w:i/>
          <w:iCs/>
        </w:rPr>
        <w:t>design</w:t>
      </w:r>
      <w:r>
        <w:rPr/>
        <w:t xml:space="preserve">, porque os vários tipos de IA apoiam tarefas diferentes, desde a análise de informação e a previsão de resultados até à otimização de soluções e à geração de alternativas </w:t>
      </w:r>
      <w:sdt>
        <w:sdtPr>
          <w:tag w:val="MENDELEY_CITATION_v3_eyJjaXRhdGlvbklEIjoiTUVOREVMRVlfQ0lUQVRJT05fMTE4Mjg3MTEtNWEzNi00MjVjLTlmM2MtMjI3MGRjMDVjMzUyIiwicHJvcGVydGllcyI6eyJub3RlSW5kZXgiOjB9LCJpc0VkaXRlZCI6ZmFsc2UsIm1hbnVhbE92ZXJyaWRlIjp7ImlzTWFudWFsbHlPdmVycmlkZGVuIjpmYWxzZSwiY2l0ZXByb2NUZXh0IjoiKEtoYW5vbGthciBldCBhbC4sIDIwMjM7IEguIEx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"/>
          <w:id w:val="-538662190"/>
          <w:placeholder>
            <w:docPart w:val="DefaultPlaceholder_-1854013440"/>
          </w:placeholder>
        </w:sdtPr>
        <w:sdtContent>
          <w:r>
            <w:rPr/>
          </w:r>
          <w:r>
            <w:rPr>
              <w:color w:val="000000"/>
            </w:rPr>
            <w:t>(Khanolkar et al., 2023; H. Li et al., 2020)</w:t>
          </w:r>
        </w:sdtContent>
      </w:sdt>
      <w:r>
        <w:rPr/>
        <w:t>. No desenvolvimento de produtos, estas técnicas podem, por exemplo, identificar padrões em modelos tridimensionais e gerar novas variantes de forma a partir de requisitos previamente definidos</w:t>
      </w:r>
      <w:r>
        <w:rPr/>
        <w:t xml:space="preserve"> </w:t>
      </w:r>
      <w:sdt>
        <w:sdtPr>
          <w:tag w:val="MENDELEY_CITATION_v3_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"/>
          <w:id w:val="-1310942100"/>
          <w:placeholder>
            <w:docPart w:val="DefaultPlaceholder_-1854013440"/>
          </w:placeholder>
        </w:sdtPr>
        <w:sdtContent>
          <w:r>
            <w:rPr/>
          </w:r>
          <w:r>
            <w:rPr>
              <w:color w:val="000000"/>
            </w:rPr>
            <w:t>(Krahe et al., 2020)</w:t>
          </w:r>
        </w:sdtContent>
      </w:sdt>
      <w:r>
        <w:rPr/>
        <w:t>.</w:t>
      </w:r>
    </w:p>
    <w:p>
      <w:pPr>
        <w:pStyle w:val="TextoNormal-IPCA"/>
        <w:rPr/>
      </w:pPr>
      <w:r>
        <w:rPr/>
      </w:r>
    </w:p>
    <w:p>
      <w:pPr>
        <w:pStyle w:val="Heading3"/>
        <w:numPr>
          <w:ilvl w:val="0"/>
          <w:numId w:val="0"/>
        </w:numPr>
        <w:ind w:hanging="0" w:start="0"/>
        <w:rPr/>
      </w:pPr>
      <w:bookmarkStart w:id="66" w:name="_Toc235564952"/>
      <w:r>
        <w:rPr/>
        <w:t>Como funciona: dados, treino, inferência e geração</w:t>
      </w:r>
      <w:bookmarkEnd w:id="66"/>
    </w:p>
    <w:p>
      <w:pPr>
        <w:pStyle w:val="TextoNormal-IPCA"/>
        <w:rPr/>
      </w:pPr>
      <w:r>
        <w:rPr/>
        <w:t xml:space="preserve">O funcionamento básico da maioria dos sistemas atuais de IA pode ser descrito através de quatro etapas: dados, treino, inferência e, em certos casos, geração. O sistema começa por receber dados de entrada, ou seja, exemplos a partir dos quais pode aprender padrões. Durante o treino, o modelo ajusta os seus parâmetros internos para captar padrões recorrentes nesses dados. Uma vez concluído o treino, realiza inferências sobre novos casos, sob a forma de previsões, classificações, recomendações ou respostas. Nos modelos generativos, acresce a produção de novos conteúdos compatíveis com os padrões aprendidos, em vez da mera classificação ou previsão </w:t>
      </w:r>
      <w:sdt>
        <w:sdtPr>
          <w:tag w:val="MENDELEY_CITATION_v3_eyJjaXRhdGlvbklEIjoiTUVOREVMRVlfQ0lUQVRJT05fMmQ2MDAzMGQtZDFjZC00ZjE1LTkwNjgtZjUyNWY4N2M0ZjJlIiwicHJvcGVydGllcyI6eyJub3RlSW5kZXgiOjB9LCJpc0VkaXRlZCI6ZmFsc2UsIm1hbnVhbE92ZXJyaWRlIjp7ImlzTWFudWFsbHlPdmVycmlkZGVuIjpmYWxzZSwiY2l0ZXByb2NUZXh0IjoiKEFvIGV0IGFsLiwgMjAyNTsgTWVuYWthIGV0IGFsLiwgMjAyNTsgUGFuY2hhbCBldCBhbC4sIDIwMTkpIiwibWFudWFsT3ZlcnJpZGVUZXh0IjoiIn0sImNpdGF0aW9uSXRlbXMiOlt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V19"/>
          <w:id w:val="1243142720"/>
          <w:placeholder>
            <w:docPart w:val="DefaultPlaceholder_-1854013440"/>
          </w:placeholder>
        </w:sdtPr>
        <w:sdtContent>
          <w:r>
            <w:rPr/>
          </w:r>
          <w:r>
            <w:rPr>
              <w:color w:val="000000"/>
            </w:rPr>
            <w:t>(Ao et al., 2025; Menaka et al., 2025; Panchal et al., 2019)</w:t>
          </w:r>
        </w:sdtContent>
      </w:sdt>
      <w:r>
        <w:rPr/>
        <w:t>.</w:t>
      </w:r>
    </w:p>
    <w:p>
      <w:pPr>
        <w:pStyle w:val="TextoNormal-IPCA"/>
        <w:rPr/>
      </w:pPr>
      <w:r>
        <w:rPr/>
        <w:t xml:space="preserve">Nos modelos de linguagem, o texto é processado em unidades denominadas </w:t>
      </w:r>
      <w:r>
        <w:rPr>
          <w:i/>
          <w:iCs/>
        </w:rPr>
        <w:t>tokens</w:t>
      </w:r>
      <w:r>
        <w:rPr/>
        <w:t xml:space="preserve">. Cada </w:t>
      </w:r>
      <w:r>
        <w:rPr>
          <w:i/>
          <w:iCs/>
        </w:rPr>
        <w:t>token</w:t>
      </w:r>
      <w:r>
        <w:rPr/>
        <w:t xml:space="preserve"> pode corresponder a uma palavra completa, a parte de uma palavra, a um número ou a um sinal de pontuação. O limite de </w:t>
      </w:r>
      <w:r>
        <w:rPr>
          <w:i/>
          <w:iCs/>
        </w:rPr>
        <w:t>tokens</w:t>
      </w:r>
      <w:r>
        <w:rPr/>
        <w:t xml:space="preserve"> determina a extensão máxima da resposta que o modelo pode produzir, não a sua qualidade ou exatidão. A temperatura é um parâmetro de geração que condiciona a distribuição usada para escolher cada unidade seguinte: valores mais baixos concentram a seleção nas alternativas mais prováveis e tendem a reduzir a variação; valores mais elevados admitem alternativas menos prováveis e tendem a gerar respostas mais diversas. A temperatura não representa confiança, qualidade ou precisão, e o valor zero não garante, por si só, respostas integralmente idênticas.</w:t>
      </w:r>
    </w:p>
    <w:p>
      <w:pPr>
        <w:pStyle w:val="TextoNormal-IPCA"/>
        <w:rPr/>
      </w:pPr>
      <w:r>
        <w:rPr/>
        <w:t xml:space="preserve">Esta lógica distingue a IA contemporânea dos sistemas puramente baseados em regras. Nestes últimos, o comportamento é prescrito antecipadamente: se ocorrer determinada condição, executa-se determinada ação. Num sistema treinado com dados, o comportamento emerge, pelo contrário, da exposição a exemplos. Esta diferença explica tanto a sua força como a sua fragilidade. A primeira reside na capacidade de lidar com informação de grande complexidade, diversidade e volume; a segunda decorre da dependência dos dados de treino, que podem conter enviesamentos, simplificações e erros posteriormente reproduzidos pelo sistema </w:t>
      </w:r>
      <w:sdt>
        <w:sdtPr>
          <w:tag w:val="MENDELEY_CITATION_v3_eyJjaXRhdGlvbklEIjoiTUVOREVMRVlfQ0lUQVRJT05fZWJkMzMyNjMtMGE1NS00Y2Y5LTk4ZjYtMWJkMWM2ZjI1M2Ez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
          <w:id w:val="1250080165"/>
          <w:placeholder>
            <w:docPart w:val="DefaultPlaceholder_-1854013440"/>
          </w:placeholder>
        </w:sdtPr>
        <w:sdtContent>
          <w:r>
            <w:rPr/>
          </w:r>
          <w:r>
            <w:rPr>
              <w:color w:val="000000"/>
            </w:rPr>
            <w:t>(Panchal et al., 2019; Yüksel et al., 2023)</w:t>
          </w:r>
        </w:sdtContent>
      </w:sdt>
      <w:r>
        <w:rPr/>
        <w:t>.</w:t>
      </w:r>
    </w:p>
    <w:p>
      <w:pPr>
        <w:pStyle w:val="TextoNormal-IPCA"/>
        <w:rPr/>
      </w:pPr>
      <w:r>
        <w:rPr/>
        <w:t xml:space="preserve">Nos modelos generativos, este processo é particularmente visível. O sistema aprende distribuições de forma, linguagem, composição ou estilo e produz, a partir delas, novas saídas em resposta a condições ou </w:t>
      </w:r>
      <w:r>
        <w:rPr>
          <w:i/>
          <w:iCs/>
        </w:rPr>
        <w:t>prompts</w:t>
      </w:r>
      <w:r>
        <w:rPr>
          <w:rStyle w:val="FootnoteReference"/>
        </w:rPr>
        <w:footnoteReference w:id="8"/>
      </w:r>
      <w:r>
        <w:rPr/>
        <w:t xml:space="preserve">. Pode, assim, criar imagens, textos ou alternativas formais que não existiam previamente naquela forma exata. Um resultado aparentemente coerente pode, ainda assim, ser inadequado, derivativo ou tecnicamente frágil. Esta distinção é decisiva para o design: gerar muitas alternativas não equivale a resolver bem o problema de projeto </w:t>
      </w:r>
      <w:sdt>
        <w:sdtPr>
          <w:tag w:val="MENDELEY_CITATION_v3_eyJjaXRhdGlvbklEIjoiTUVOREVMRVlfQ0lUQVRJT05fYzZjNTVjMzQtYWNkNC00ODMxLWE3N2ItMmMxYzdjYTIzMDJiIiwicHJvcGVydGllcyI6eyJub3RlSW5kZXgiOjB9LCJpc0VkaXRlZCI6ZmFsc2UsIm1hbnVhbE92ZXJyaWRlIjp7ImlzTWFudWFsbHlPdmVycmlkZGVuIjpmYWxzZSwiY2l0ZXByb2NUZXh0IjoiKEJ1cm5hcCBldCBhbC4sIDIwMTk7IENob3VkaHVyeSBldCBhbC4sIDIwMjU7IFguIExpIGV0IGFsLiwgMjAyMS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"/>
          <w:id w:val="2083170363"/>
          <w:placeholder>
            <w:docPart w:val="DefaultPlaceholder_-1854013440"/>
          </w:placeholder>
        </w:sdtPr>
        <w:sdtContent>
          <w:r>
            <w:rPr/>
          </w:r>
          <w:r>
            <w:rPr>
              <w:color w:val="000000"/>
            </w:rPr>
            <w:t>(Burnap et al., 2019; Choudhury et al., 2025; X. Li et al., 2021)</w:t>
          </w:r>
        </w:sdtContent>
      </w:sdt>
      <w:r>
        <w:rPr/>
        <w:t>.</w:t>
      </w:r>
    </w:p>
    <w:p>
      <w:pPr>
        <w:pStyle w:val="Heading3"/>
        <w:numPr>
          <w:ilvl w:val="0"/>
          <w:numId w:val="0"/>
        </w:numPr>
        <w:ind w:hanging="0" w:start="0"/>
        <w:rPr/>
      </w:pPr>
      <w:r>
        <w:rPr/>
      </w:r>
    </w:p>
    <w:p>
      <w:pPr>
        <w:pStyle w:val="Heading3"/>
        <w:numPr>
          <w:ilvl w:val="0"/>
          <w:numId w:val="0"/>
        </w:numPr>
        <w:ind w:hanging="0" w:start="0"/>
        <w:rPr/>
      </w:pPr>
      <w:bookmarkStart w:id="67" w:name="_Toc235564953"/>
      <w:r>
        <w:rPr/>
        <w:t xml:space="preserve">Formas de IA mais relevantes para o </w:t>
      </w:r>
      <w:r>
        <w:rPr>
          <w:i/>
          <w:iCs/>
        </w:rPr>
        <w:t>design</w:t>
      </w:r>
      <w:bookmarkEnd w:id="67"/>
    </w:p>
    <w:p>
      <w:pPr>
        <w:pStyle w:val="TextoNormal-IPCA"/>
        <w:keepNext w:val="true"/>
        <w:rPr/>
      </w:pPr>
      <w:r>
        <w:rPr/>
      </w:r>
    </w:p>
    <w:p>
      <w:pPr>
        <w:pStyle w:val="TextoNormal-IPCA"/>
        <w:rPr/>
      </w:pPr>
      <w:r>
        <w:rPr/>
        <w:t xml:space="preserve">A literatura identifica várias famílias de aplicações da IA com relevância direta para o </w:t>
      </w:r>
      <w:r>
        <w:rPr>
          <w:i/>
          <w:iCs/>
        </w:rPr>
        <w:t>design</w:t>
      </w:r>
      <w:r>
        <w:rPr/>
        <w:t xml:space="preserve">. Os sistemas de apoio à decisão ajudam a interpretar grandes volumes de informação, comparar alternativas e reduzir a carga cognitiva em problemas com múltiplas variáveis interdependentes. Os algoritmos de otimização, particularmente importantes na engenharia de produto, na parametrização e no fabrico, exploram combinações possíveis e sugerem soluções com melhor desempenho estrutural, funcional ou produtivo. A visão por computador permite interpretar imagens, formas ou padrões visuais, enquanto o processamento de linguagem natural possibilita a interação com sistemas complexos através de descrições semânticas, em vez de comandos técnicos rígidos. A família atualmente mais visível corresponde aos sistemas generativos capazes de produzir texto, imagem, forma ou variantes de projeto em resposta a condições de entrada </w:t>
      </w:r>
      <w:sdt>
        <w:sdtPr>
          <w:tag w:val="MENDELEY_CITATION_v3_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V19"/>
          <w:id w:val="-1576656238"/>
          <w:placeholder>
            <w:docPart w:val="DefaultPlaceholder_-1854013440"/>
          </w:placeholder>
        </w:sdtPr>
        <w:sdtContent>
          <w:r>
            <w:rPr/>
          </w:r>
          <w:r>
            <w:rPr>
              <w:rFonts w:eastAsia="Times New Roman"/>
              <w:color w:val="000000"/>
            </w:rPr>
            <w:t>(Ao et al., 2025; Khanolkar et al., 2023; Wang &amp; Hu, 2024)</w:t>
          </w:r>
        </w:sdtContent>
      </w:sdt>
      <w:r>
        <w:rPr/>
        <w:t>.</w:t>
      </w:r>
    </w:p>
    <w:p>
      <w:pPr>
        <w:pStyle w:val="TextoNormal-IPCA"/>
        <w:rPr/>
      </w:pPr>
      <w:r>
        <w:rPr/>
        <w:t xml:space="preserve">No </w:t>
      </w:r>
      <w:r>
        <w:rPr>
          <w:i/>
          <w:iCs/>
        </w:rPr>
        <w:t>design</w:t>
      </w:r>
      <w:r>
        <w:rPr/>
        <w:t xml:space="preserve"> industrial, estas famílias não têm exatamente o mesmo peso. A IA generativa adquiriu especial relevância na ideação, na comunicação visual e na exploração rápida de alternativas. A otimização e os modelos preditivos assumem maior importância em problemas que envolvem desempenho, simulação, restrições de fabrico ou espaços paramétricos amplos. O processamento de linguagem natural, por sua vez, suscita um interesse crescente enquanto camada de acesso a sistemas mais complexos, sobretudo quando se pretende permitir que utilizadores menos especializados formulem intenções ou restrições sem depender de </w:t>
      </w:r>
      <w:r>
        <w:rPr>
          <w:i/>
          <w:iCs/>
        </w:rPr>
        <w:t>software</w:t>
      </w:r>
      <w:r>
        <w:rPr/>
        <w:t xml:space="preserve"> CAD avançado ou de uma sintaxe demasiado técnica </w:t>
      </w:r>
      <w:sdt>
        <w:sdtPr>
          <w:tag w:val="MENDELEY_CITATION_v3_eyJjaXRhdGlvbklEIjoiTUVOREVMRVlfQ0lUQVRJT05fZTRmMDIxYWYtY2VkZS00NzFkLWFmN2ItNmE3OWIwMGZmOGJhIiwicHJvcGVydGllcyI6eyJub3RlSW5kZXgiOjB9LCJpc0VkaXRlZCI6ZmFsc2UsIm1hbnVhbE92ZXJyaWRlIjp7ImlzTWFudWFsbHlPdmVycmlkZGVuIjpmYWxzZSwiY2l0ZXByb2NUZXh0IjoiKEFvIGV0IGFsLiwgMjAyNTsgTWVuYWthIGV0IGFsLiwgMjAyNTsgV2FuZyAmIzM4OyBIdSwgMjAyNCkiLCJtYW51YWxPdmVycmlkZVRleHQiOiIifSwiY2l0YXRpb25JdGVtcyI6W3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V19"/>
          <w:id w:val="1881052643"/>
          <w:placeholder>
            <w:docPart w:val="DefaultPlaceholder_-1854013440"/>
          </w:placeholder>
        </w:sdtPr>
        <w:sdtContent>
          <w:r>
            <w:rPr/>
          </w:r>
          <w:r>
            <w:rPr>
              <w:rFonts w:eastAsia="Times New Roman"/>
              <w:color w:val="000000"/>
            </w:rPr>
            <w:t>(Ao et al., 2025; Menaka et al., 2025; Wang &amp; Hu, 2024)</w:t>
          </w:r>
        </w:sdtContent>
      </w:sdt>
      <w:r>
        <w:rPr/>
        <w:t>.</w:t>
      </w:r>
    </w:p>
    <w:p>
      <w:pPr>
        <w:pStyle w:val="Heading3"/>
        <w:numPr>
          <w:ilvl w:val="0"/>
          <w:numId w:val="0"/>
        </w:numPr>
        <w:ind w:hanging="0" w:start="0"/>
        <w:rPr/>
      </w:pPr>
      <w:bookmarkStart w:id="68" w:name="_Toc235564954"/>
      <w:r>
        <w:rPr/>
        <w:t xml:space="preserve">IA ao longo do processo de </w:t>
      </w:r>
      <w:r>
        <w:rPr>
          <w:i/>
          <w:iCs/>
        </w:rPr>
        <w:t>design</w:t>
      </w:r>
      <w:bookmarkEnd w:id="68"/>
    </w:p>
    <w:p>
      <w:pPr>
        <w:pStyle w:val="TextoNormal-IPCA"/>
        <w:keepNext w:val="true"/>
        <w:rPr/>
      </w:pPr>
      <w:r>
        <w:rPr/>
      </w:r>
    </w:p>
    <w:p>
      <w:pPr>
        <w:pStyle w:val="TextoNormal-IPCA"/>
        <w:rPr/>
      </w:pPr>
      <w:r>
        <w:rPr/>
        <w:t xml:space="preserve">A literatura mostra de forma consistente que a IA não atua apenas numa fase isolada do processo de projeto. Nas fases iniciais, pode apoiar a pesquisa, a síntese de informação e o enquadramento do problema, nomeadamente através da identificação de padrões nas necessidades dos utilizadores, em tendências, em dados de mercado ou em requisitos de contexto. Durante a ideação, pode ampliar o espaço de procura, reduzir a fixação prematura e produzir rapidamente várias alternativas de partida. Na fase de desenvolvimento, pode acelerar a iteração, gerar variantes paramétricas e articular a exploração formal com as restrições técnicas. Posteriormente, pode apoiar a prototipagem, a simulação, a previsão de desempenho e a comparação de opções concorrentes. Pode ainda reforçar a comunicação e a documentação, permitindo produzir mais rapidamente representações de cenários, conceitos e soluções </w:t>
      </w:r>
      <w:sdt>
        <w:sdtPr>
          <w:tag w:val="MENDELEY_CITATION_v3_eyJjaXRhdGlvbklEIjoiTUVOREVMRVlfQ0lUQVRJT05fYTJmZGI2MzMtY2VjZi00YTMxLThlZjEtNzAzYjc5Zjg2ZmM0IiwicHJvcGVydGllcyI6eyJub3RlSW5kZXgiOjB9LCJpc0VkaXRlZCI6ZmFsc2UsIm1hbnVhbE92ZXJyaWRlIjp7ImlzTWFudWFsbHlPdmVycmlkZGVuIjpmYWxzZSwiY2l0ZXByb2NUZXh0IjoiKEtoYW5vbGthciBldCBhbC4sIDIwMjM7IFNhZWlkbmlhICYjMzg7IEF1c2xvb3MsIDIwMjQ7IFZlcmdhbnR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1dfQ=="/>
          <w:id w:val="-1803532033"/>
          <w:placeholder>
            <w:docPart w:val="DefaultPlaceholder_-1854013440"/>
          </w:placeholder>
        </w:sdtPr>
        <w:sdtContent>
          <w:r>
            <w:rPr/>
          </w:r>
          <w:r>
            <w:rPr>
              <w:rFonts w:eastAsia="Times New Roman"/>
              <w:color w:val="000000"/>
            </w:rPr>
            <w:t>(Khanolkar et al., 2023; Saeidnia &amp; Ausloos, 2024; Verganti et al., 2020)</w:t>
          </w:r>
        </w:sdtContent>
      </w:sdt>
      <w:r>
        <w:rPr/>
        <w:t>.</w:t>
      </w:r>
    </w:p>
    <w:p>
      <w:pPr>
        <w:pStyle w:val="TextoNormal-IPCA"/>
        <w:rPr/>
      </w:pPr>
      <w:r>
        <w:rPr/>
        <w:t xml:space="preserve">A eficácia da IA depende da etapa do processo de </w:t>
      </w:r>
      <w:r>
        <w:rPr>
          <w:i/>
          <w:iCs/>
        </w:rPr>
        <w:t>design</w:t>
      </w:r>
      <w:r>
        <w:rPr/>
        <w:t xml:space="preserve">. Segundo a literatura, o seu valor tende a ser maior em tarefas de exploração divergente, análise extensiva e automatização parcial. As etapas de convergência, enquadramento contextual, decisão ética e validação final exigem, porém, avaliação humana qualificada. Embora a IA possa ampliar o campo de exploração e acelerar a comparação entre alternativas, cabe ao ser humano decidir o que faz sentido desenvolver, para quem, em que contexto e com que consequências </w:t>
      </w:r>
      <w:sdt>
        <w:sdtPr>
          <w:tag w:val="MENDELEY_CITATION_v3_eyJjaXRhdGlvbklEIjoiTUVOREVMRVlfQ0lUQVRJT05fZGY4MDM2NzctNTZjMy00NzNhLTllMzEtY2NiMGNjNGJlZDQzIiwicHJvcGVydGllcyI6eyJub3RlSW5kZXgiOjB9LCJpc0VkaXRlZCI6ZmFsc2UsIm1hbnVhbE92ZXJyaWRlIjp7ImlzTWFudWFsbHlPdmVycmlkZGVuIjpmYWxzZSwiY2l0ZXByb2NUZXh0IjoiKEFvIGV0IGFsLiwgMjAyNTsgQ2hvdWRodXJ5IGV0IGFsLiwgMjAyNTsgVmlyb3MtSS1NYXJ0aW4sIDIwMjEpIiwibWFudWFsT3ZlcnJpZGVUZXh0IjoiIn0sImNpdGF0aW9uSXRlbXMiOlt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V19"/>
          <w:id w:val="-1503663403"/>
          <w:placeholder>
            <w:docPart w:val="DefaultPlaceholder_-1854013440"/>
          </w:placeholder>
        </w:sdtPr>
        <w:sdtContent>
          <w:r>
            <w:rPr/>
          </w:r>
          <w:r>
            <w:rPr>
              <w:color w:val="000000"/>
            </w:rPr>
            <w:t>(Ao et al., 2025; Choudhury et al., 2025; Viros-I-Martin, 2021)</w:t>
          </w:r>
        </w:sdtContent>
      </w:sdt>
      <w:r>
        <w:rPr/>
        <w:t>.</w:t>
      </w:r>
    </w:p>
    <w:p>
      <w:pPr>
        <w:pStyle w:val="Heading3"/>
        <w:numPr>
          <w:ilvl w:val="0"/>
          <w:numId w:val="0"/>
        </w:numPr>
        <w:ind w:hanging="0" w:start="0"/>
        <w:rPr/>
      </w:pPr>
      <w:r>
        <w:rPr/>
      </w:r>
    </w:p>
    <w:p>
      <w:pPr>
        <w:pStyle w:val="Heading3"/>
        <w:numPr>
          <w:ilvl w:val="0"/>
          <w:numId w:val="0"/>
        </w:numPr>
        <w:ind w:hanging="0" w:start="0"/>
        <w:rPr/>
      </w:pPr>
      <w:bookmarkStart w:id="69" w:name="_Toc235564955"/>
      <w:r>
        <w:rPr/>
        <w:t>Papel do designer, riscos e necessidade de supervisão humana</w:t>
      </w:r>
      <w:bookmarkEnd w:id="69"/>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A questão central deixa então de residir na autoria formal e passa a incidir na capacidade de orientar, interpretar e avaliar criticamente os resultados produzidos. A literatura consultada descreve a passagem do designer enquanto gerador exclusivo de forma para um papel mais híbrido, que inclui funções de orientação, curadoria, interpretação e decisão estratégica. A intervenção humana torna-se particularmente exigente na formulação do problema, na definição de critérios, na leitura contextual, na seleção de alternativas e na justificação das decisões. Esta transformação assume especial relevância em domínios sensíveis, nos quais a adequação ao utilizador, a responsabilidade técnica e a aceitabilidade ética exigem supervisão humana qualificada </w:t>
      </w:r>
      <w:sdt>
        <w:sdtPr>
          <w:tag w:val="MENDELEY_CITATION_v3_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"/>
          <w:id w:val="-1751033392"/>
          <w:placeholder>
            <w:docPart w:val="DefaultPlaceholder_-1854013440"/>
          </w:placeholder>
        </w:sdtPr>
        <w:sdtContent>
          <w:r>
            <w:rPr/>
          </w:r>
          <w:r>
            <w:rPr>
              <w:color w:val="000000"/>
            </w:rPr>
            <w:t>(Figoli et al., 2022; Kadenhe et al., 2025; Viros-I-Martin, 2021)</w:t>
          </w:r>
        </w:sdtContent>
      </w:sdt>
      <w:r>
        <w:rPr/>
        <w:t>.</w:t>
      </w:r>
    </w:p>
    <w:p>
      <w:pPr>
        <w:pStyle w:val="TextoNormal-IPCA"/>
        <w:rPr/>
      </w:pPr>
      <w:r>
        <w:rPr/>
        <w:t xml:space="preserve">É também neste ponto que se concentram os principais riscos. O enviesamento pode ocorrer quando modelos treinados com dados históricos ou desequilibrados reproduzem exclusões, preferências dominantes e padrões culturais pouco representativos. A opacidade decorre da dificuldade de explicar o raciocínio interno de muitos sistemas, mesmo quando estes produzem resultados eficazes, o que compromete a confiança e a responsabilização. Há ainda o risco de erro, que inclui respostas aparentemente coerentes, mas incorretas, simplificações abusivas e sugestões sem fundamento técnico suficiente. Acrescem a dependência excessiva, a homogeneização formal, o enfraquecimento de competências críticas e a incerteza quanto à autoria e à originalidade dos resultados produzidos com apoio algorítmico </w:t>
      </w:r>
      <w:sdt>
        <w:sdtPr>
          <w:tag w:val="MENDELEY_CITATION_v3_eyJjaXRhdGlvbklEIjoiTUVOREVMRVlfQ0lUQVRJT05fOTgzOWIyY2ItMzkyYS00OTdmLThlYmItY2IzYWU3MmU3ZThkIiwicHJvcGVydGllcyI6eyJub3RlSW5kZXgiOjB9LCJpc0VkaXRlZCI6ZmFsc2UsIm1hbnVhbE92ZXJyaWRlIjp7ImlzTWFudWFsbHlPdmVycmlkZGVuIjpmYWxzZSwiY2l0ZXByb2NUZXh0IjoiKEJ1cm5hcCBldCBhbC4sIDIwMTk7IFBhbmNoYWwgZXQgYWwuLCAyMDE5OyBZw7xrc2VsIGV0IGFsLiwgMjAyMy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XX0="/>
          <w:id w:val="-650597572"/>
          <w:placeholder>
            <w:docPart w:val="DefaultPlaceholder_-1854013440"/>
          </w:placeholder>
        </w:sdtPr>
        <w:sdtContent>
          <w:r>
            <w:rPr/>
          </w:r>
          <w:r>
            <w:rPr>
              <w:color w:val="000000"/>
            </w:rPr>
            <w:t>(Burnap et al., 2019; Panchal et al., 2019; Yüksel et al., 2023)</w:t>
          </w:r>
        </w:sdtContent>
      </w:sdt>
      <w:r>
        <w:rPr/>
        <w:t>.</w:t>
      </w:r>
    </w:p>
    <w:p>
      <w:pPr>
        <w:pStyle w:val="TextoNormal-IPCA"/>
        <w:rPr/>
      </w:pPr>
      <w:r>
        <w:rPr/>
        <w:t xml:space="preserve">Por estas razões, a literatura converge na defesa de modelos com supervisão humana explícita. A integração mais robusta da IA não se baseia na autonomia plena, mas em ciclos apoiados, nos quais o sistema acelera a análise, a geração ou a previsão, enquanto o ser humano mantém autoridade sobre os critérios, a validação e as consequências da decisão. Na prática, isto exige preservar mecanismos de controlo, comparar alternativas, explicitar limites, proceder à verificação técnica e manter a capacidade de recusar ou reformular as sugestões produzidas pela máquina. No </w:t>
      </w:r>
      <w:r>
        <w:rPr>
          <w:i/>
          <w:iCs/>
        </w:rPr>
        <w:t>design</w:t>
      </w:r>
      <w:r>
        <w:rPr/>
        <w:t xml:space="preserve">, a supervisão humana não constitui um complemento opcional, mas a condição que transforma a IA num instrumento ao serviço do projeto, em vez de uma fonte acrítica de soluções aparentes </w:t>
      </w:r>
      <w:sdt>
        <w:sdtPr>
          <w:tag w:val="MENDELEY_CITATION_v3_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"/>
          <w:id w:val="-1733681041"/>
          <w:placeholder>
            <w:docPart w:val="DefaultPlaceholder_-1854013440"/>
          </w:placeholder>
        </w:sdtPr>
        <w:sdtContent>
          <w:r>
            <w:rPr/>
          </w:r>
          <w:r>
            <w:rPr>
              <w:color w:val="000000"/>
            </w:rPr>
            <w:t>(Ao et al., 2025; Kadenhe et al., 2025; Verganti et al., 2020)</w:t>
          </w:r>
        </w:sdtContent>
      </w:sdt>
    </w:p>
    <w:p>
      <w:pPr>
        <w:pStyle w:val="TextoNormal-IPCA"/>
        <w:rPr/>
      </w:pPr>
      <w:r>
        <w:rPr/>
      </w:r>
    </w:p>
    <w:p>
      <w:pPr>
        <w:pStyle w:val="Heading2"/>
        <w:numPr>
          <w:ilvl w:val="0"/>
          <w:numId w:val="0"/>
        </w:numPr>
        <w:ind w:hanging="0" w:start="0"/>
        <w:rPr/>
      </w:pPr>
      <w:bookmarkStart w:id="70" w:name="_Toc235564956"/>
      <w:r>
        <w:rPr/>
        <w:t>2.7 Plataformas digitais e sistemas configuráveis</w:t>
      </w:r>
      <w:bookmarkEnd w:id="70"/>
    </w:p>
    <w:p>
      <w:pPr>
        <w:pStyle w:val="TextoNormal-IPCA"/>
        <w:keepNext w:val="true"/>
        <w:rPr/>
      </w:pPr>
      <w:r>
        <w:rPr/>
      </w:r>
    </w:p>
    <w:p>
      <w:pPr>
        <w:pStyle w:val="TextoNormal-IPCA"/>
        <w:rPr>
          <w:lang w:val="de-DE"/>
        </w:rPr>
      </w:pPr>
      <w:r>
        <w:rPr/>
        <w:t xml:space="preserve">A evolução recente do desenvolvimento de produto, sobretudo nos contextos da saúde e das tecnologias de apoio, tem sido acompanhada pelo crescimento de plataformas digitais configuráveis e de sistemas participativos orientados para a personalização. A literatura caracteriza-os como infraestruturas sociotécnicas que articulam enquadramentos conceptuais destinados a legitimar e estruturar a participação dos utilizadores; recursos técnicos de personalização, como a parametrização, a modularidade e as interfaces de configuração; e fluxos participativos que traduzem a experiência vivida em requisitos, protótipos e iterações de projeto </w:t>
      </w:r>
      <w:sdt>
        <w:sdtPr>
          <w:tag w:val="MENDELEY_CITATION_v3_eyJjaXRhdGlvbklEIjoiTUVOREVMRVlfQ0lUQVRJT05fZDc3OTU2NjMtMjE3MC00MDIxLTk3N2UtNDU3NjM2MmNjNjU4IiwicHJvcGVydGllcyI6eyJub3RlSW5kZXgiOjB9LCJpc0VkaXRlZCI6ZmFsc2UsIm1hbnVhbE92ZXJyaWRlIjp7ImlzTWFudWFsbHlPdmVycmlkZGVuIjp0cnVlLCJjaXRlcHJvY1RleHQiOiIoRmlzY2hlciBHIGV0IGFsLiwgMjAwNDsgSG93YXJkIGV0IGFsLiwgMjAyNDsgVm9uIEhpcHBlbCAmIzM4OyBLYXR6LCAyMDAyKSIsIm1hbnVhbE92ZXJyaWRlVGV4dCI6IihGaXNjaGVyIEcgZXQgYWwuLCBzZW0gZGF0YTsgSG93YXJkIGV0IGFsLiwgMjAyNDsgVm9uIEhpcHBlbCAmIEthdHosIDIwMDIpIn0sImNpdGF0aW9uSXRlbXMiOlt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XX0="/>
          <w:id w:val="1631675119"/>
          <w:placeholder>
            <w:docPart w:val="DefaultPlaceholder_-1854013440"/>
          </w:placeholder>
        </w:sdtPr>
        <w:sdtContent>
          <w:r>
            <w:rPr/>
          </w:r>
          <w:r>
            <w:rPr>
              <w:rFonts w:eastAsia="Times New Roman"/>
              <w:color w:val="000000"/>
              <w:lang w:val="de-DE"/>
            </w:rPr>
            <w:t>(Fischer G et al., sem data; Howard et al., 2024; Von Hippel &amp; Katz, 2002)</w:t>
          </w:r>
        </w:sdtContent>
      </w:sdt>
      <w:r>
        <w:rPr>
          <w:lang w:val="de-DE"/>
        </w:rPr>
        <w:t>.</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adoção sustentada. O foco do </w:t>
      </w:r>
      <w:r>
        <w:rPr>
          <w:i/>
          <w:iCs/>
        </w:rPr>
        <w:t>design</w:t>
      </w:r>
      <w:r>
        <w:rPr/>
        <w:t xml:space="preserve"> desloca-se, assim, de uma solução «média» para sistemas capazes de acomodar diferenças individuais segundo regras definidas </w:t>
      </w:r>
      <w:sdt>
        <w:sdtPr>
          <w:tag w:val="MENDELEY_CITATION_v3_eyJjaXRhdGlvbklEIjoiTUVOREVMRVlfQ0lUQVRJT05fMjFhMWVmNjctYTQxYy00MDE0LTg3MDgtYTZiZTUzODIyNjI4IiwicHJvcGVydGllcyI6eyJub3RlSW5kZXgiOjB9LCJpc0VkaXRlZCI6ZmFsc2UsIm1hbnVhbE92ZXJyaWRlIjp7ImlzTWFudWFsbHlPdmVycmlkZGVuIjp0cnVlLCJjaXRlcHJvY1RleHQiOiIoRmlzY2hlciBHIGV0IGFsLiwgMjAwNDsgS2VyciBldCBhbC4sIDIwMjQ7IFpodSAmIzM4OyBaaG9uZywgMjAyMikiLCJtYW51YWxPdmVycmlkZVRleHQiOiIoRmlzY2hlciBHIGV0IGFsLiwgc2VtIGRhdGE7IEtlcnIgZXQgYWwuLCAyMDI0OyBaaHUgJiBaaG9uZywgMjAyMikifSwiY2l0YXRpb25JdGVtcyI6W3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1278758848"/>
          <w:placeholder>
            <w:docPart w:val="DefaultPlaceholder_-1854013440"/>
          </w:placeholder>
        </w:sdtPr>
        <w:sdtContent>
          <w:r>
            <w:rPr/>
          </w:r>
          <w:r>
            <w:rPr>
              <w:rFonts w:eastAsia="Times New Roman"/>
              <w:color w:val="000000"/>
            </w:rPr>
            <w:t>(Fischer G et al., sem data; Kerr et al., 2024; Zhu &amp; Zhong, 2022)</w:t>
          </w:r>
        </w:sdtContent>
      </w:sdt>
      <w:r>
        <w:rPr/>
        <w:t>.</w:t>
      </w:r>
    </w:p>
    <w:p>
      <w:pPr>
        <w:pStyle w:val="TextoNormal-IPCA"/>
        <w:rPr/>
      </w:pPr>
      <w:r>
        <w:rPr/>
      </w:r>
    </w:p>
    <w:p>
      <w:pPr>
        <w:pStyle w:val="Heading3"/>
        <w:numPr>
          <w:ilvl w:val="0"/>
          <w:numId w:val="0"/>
        </w:numPr>
        <w:ind w:hanging="0" w:start="0"/>
        <w:rPr/>
      </w:pPr>
      <w:bookmarkStart w:id="71" w:name="_Toc235564957"/>
      <w:r>
        <w:rPr/>
        <w:t xml:space="preserve">Fundamentos conceptuais: </w:t>
      </w:r>
      <w:r>
        <w:rPr>
          <w:i/>
          <w:iCs/>
        </w:rPr>
        <w:t>toolkits</w:t>
      </w:r>
      <w:r>
        <w:rPr/>
        <w:t xml:space="preserve">, </w:t>
      </w:r>
      <w:r>
        <w:rPr>
          <w:i/>
          <w:iCs/>
        </w:rPr>
        <w:t>meta-design</w:t>
      </w:r>
      <w:r>
        <w:rPr/>
        <w:t xml:space="preserve"> e </w:t>
      </w:r>
      <w:r>
        <w:rPr>
          <w:i/>
          <w:iCs/>
        </w:rPr>
        <w:t>end-user development</w:t>
      </w:r>
      <w:r>
        <w:rPr/>
        <w:t>.</w:t>
      </w:r>
      <w:bookmarkEnd w:id="71"/>
    </w:p>
    <w:p>
      <w:pPr>
        <w:pStyle w:val="TextoNormal-IPCA"/>
        <w:keepNext w:val="true"/>
        <w:rPr/>
      </w:pPr>
      <w:r>
        <w:rPr/>
      </w:r>
    </w:p>
    <w:p>
      <w:pPr>
        <w:pStyle w:val="TextoNormal-IPCA"/>
        <w:rPr/>
      </w:pPr>
      <w:r>
        <w:rPr/>
        <w:t>Uma linha teórica relevante é a dos “</w:t>
      </w:r>
      <w:r>
        <w:rPr>
          <w:i/>
          <w:iCs/>
        </w:rPr>
        <w:t>toolkits for user innovation</w:t>
      </w:r>
      <w:r>
        <w:rPr/>
        <w:t xml:space="preserve">”, que concebe os sistemas configuráveis como ferramentas coordenadas e acessíveis através das quais parte do trabalho de </w:t>
      </w:r>
      <w:r>
        <w:rPr>
          <w:i/>
          <w:iCs/>
        </w:rPr>
        <w:t>design</w:t>
      </w:r>
      <w:r>
        <w:rPr/>
        <w:t xml:space="preserve"> relacionado com as necessidades dos utilizadores é transferida para estes, enquanto fabricantes e especialistas retêm as tarefas de resolução e produção. É central a distinção entre configuradores, orientados para a seleção de opções, e </w:t>
      </w:r>
      <w:r>
        <w:rPr>
          <w:i/>
          <w:iCs/>
        </w:rPr>
        <w:t>toolkits</w:t>
      </w:r>
      <w:r>
        <w:rPr/>
        <w:t xml:space="preserve">, destinados ao desenho dentro de um espaço de projeto delimitado. A participação pode, assim, variar entre a escolha de alternativas predefinidas e a criação de configurações num espaço de projeto delimitado, com regras, simulação e avaliação iterativa dos resultados </w:t>
      </w:r>
      <w:sdt>
        <w:sdtPr>
          <w:tag w:val="MENDELEY_CITATION_v3_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XX0="/>
          <w:id w:val="356625443"/>
          <w:placeholder>
            <w:docPart w:val="DefaultPlaceholder_-1854013440"/>
          </w:placeholder>
        </w:sdtPr>
        <w:sdtContent>
          <w:r>
            <w:rPr/>
          </w:r>
          <w:r>
            <w:rPr>
              <w:rFonts w:eastAsia="Times New Roman"/>
              <w:color w:val="000000"/>
            </w:rPr>
            <w:t>(Franke &amp; Von Hippel, 2003; Von Hippel &amp; Katz, 2002)</w:t>
          </w:r>
        </w:sdtContent>
      </w:sdt>
      <w:r>
        <w:rPr/>
        <w:t>.</w:t>
      </w:r>
    </w:p>
    <w:p>
      <w:pPr>
        <w:pStyle w:val="TextoNormal-IPCA"/>
        <w:rPr/>
      </w:pPr>
      <w:r>
        <w:rPr/>
        <w:t xml:space="preserve">O </w:t>
      </w:r>
      <w:r>
        <w:rPr>
          <w:i/>
          <w:iCs/>
        </w:rPr>
        <w:t>meta-design</w:t>
      </w:r>
      <w:r>
        <w:rPr/>
        <w:t xml:space="preserve"> aprofunda esta lógica ao defender a participação “em uso” e estabelecer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o processo como uma alternância entre “sementes” iniciais criadas por especialistas, a evolução através do desenvolvimento pelo utilizador e reestruturações periódicas que consolidam as aprendizagens e reorganizam o sistema </w:t>
      </w:r>
      <w:sdt>
        <w:sdtPr>
          <w:tag w:val="MENDELEY_CITATION_v3_eyJjaXRhdGlvbklEIjoiTUVOREVMRVlfQ0lUQVRJT05fOGM3YTU4MzctOTIzMS00ZWM3LTlmMTYtOWU2YmU3MmU2NTIzIiwicHJvcGVydGllcyI6eyJub3RlSW5kZXgiOjB9LCJpc0VkaXRlZCI6ZmFsc2UsIm1hbnVhbE92ZXJyaWRlIjp7ImlzTWFudWFsbHlPdmVycmlkZGVuIjp0cnVlLCJjaXRlcHJvY1RleHQiOiIoRmlzY2hlciBHIGV0IGFsLiwgMjAwNDsgRnJhbmNlc2NhIENvc3RhYmlsZSBldCBhbC4sIDIwMDcpIiwibWFudWFsT3ZlcnJpZGVUZXh0IjoiKEZpc2NoZXIgRyBldCBhbC4sIHNlbSBkYXRhOyBGcmFuY2VzY2EgQ29zdGFiaWxlIGV0IGFsLiwgMjAwNyk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V19"/>
          <w:id w:val="1994443157"/>
          <w:placeholder>
            <w:docPart w:val="DefaultPlaceholder_-1854013440"/>
          </w:placeholder>
        </w:sdtPr>
        <w:sdtContent>
          <w:r>
            <w:rPr/>
          </w:r>
          <w:r>
            <w:rPr>
              <w:color w:val="000000"/>
            </w:rPr>
            <w:t>(Fischer G et al., sem data; Francesca Costabile et al., 2007)</w:t>
          </w:r>
        </w:sdtContent>
      </w:sdt>
      <w:r>
        <w:rPr/>
        <w:t>.</w:t>
      </w:r>
    </w:p>
    <w:p>
      <w:pPr>
        <w:pStyle w:val="TextoNormal-IPCA"/>
        <w:rPr/>
      </w:pPr>
      <w:r>
        <w:rPr/>
        <w:t xml:space="preserve">A Figura 8 apresenta estes fundamentos de forma mais operacional através de um modelo de configuração da participação em </w:t>
      </w:r>
      <w:r>
        <w:rPr>
          <w:i/>
          <w:iCs/>
        </w:rPr>
        <w:t>living labs</w:t>
      </w:r>
      <w:r>
        <w:rPr/>
        <w:t>, que desloca a discussão da participação enquanto princípio abstrato para uma estrutura suscetível de planeamento e configuração deliberados.</w:t>
      </w:r>
    </w:p>
    <w:p>
      <w:pPr>
        <w:pStyle w:val="TextoNormal-IPCA"/>
        <w:keepNext w:val="true"/>
        <w:rPr/>
      </w:pPr>
      <w:r>
        <w:rPr/>
      </w:r>
    </w:p>
    <w:p>
      <w:pPr>
        <w:pStyle w:val="Normal"/>
        <w:keepNext w:val="true"/>
        <w:jc w:val="center"/>
        <w:rPr/>
      </w:pPr>
      <w:r>
        <w:rPr/>
        <w:drawing>
          <wp:inline distT="0" distB="0" distL="0" distR="0">
            <wp:extent cx="5579745" cy="2873375"/>
            <wp:effectExtent l="0" t="0" r="0" b="0"/>
            <wp:docPr id="26"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8" descr="Image 8"/>
                    <pic:cNvPicPr>
                      <a:picLocks noChangeAspect="1" noChangeArrowheads="1"/>
                    </pic:cNvPicPr>
                  </pic:nvPicPr>
                  <pic:blipFill>
                    <a:blip r:embed="rId67"/>
                    <a:stretch>
                      <a:fillRect/>
                    </a:stretch>
                  </pic:blipFill>
                  <pic:spPr bwMode="auto">
                    <a:xfrm>
                      <a:off x="0" y="0"/>
                      <a:ext cx="5579745" cy="2873375"/>
                    </a:xfrm>
                    <a:prstGeom prst="rect">
                      <a:avLst/>
                    </a:prstGeom>
                    <a:noFill/>
                  </pic:spPr>
                </pic:pic>
              </a:graphicData>
            </a:graphic>
          </wp:inline>
        </w:drawing>
      </w:r>
    </w:p>
    <w:p>
      <w:pPr>
        <w:pStyle w:val="Caption"/>
        <w:rPr/>
      </w:pPr>
      <w:bookmarkStart w:id="72" w:name="_Toc235562502"/>
      <w:r>
        <w:rPr/>
        <w:t xml:space="preserve">Figura </w:t>
      </w:r>
      <w:r>
        <w:rPr/>
        <w:fldChar w:fldCharType="begin"/>
      </w:r>
      <w:r>
        <w:rPr/>
        <w:instrText xml:space="preserve"> SEQ Figura \* ARABIC </w:instrText>
      </w:r>
      <w:r>
        <w:rPr/>
        <w:fldChar w:fldCharType="separate"/>
      </w:r>
      <w:r>
        <w:rPr/>
        <w:t>8</w:t>
      </w:r>
      <w:r>
        <w:rPr/>
        <w:fldChar w:fldCharType="end"/>
      </w:r>
      <w:r>
        <w:rPr/>
        <w:t xml:space="preserve"> - Modelo de processo para configurar participação em ecossistemas de inovação e cocriação</w:t>
      </w:r>
      <w:bookmarkEnd w:id="72"/>
    </w:p>
    <w:p>
      <w:pPr>
        <w:pStyle w:val="Nota-IPCA"/>
        <w:rPr>
          <w:lang w:val="pt-PT"/>
        </w:rPr>
      </w:pPr>
      <w:r>
        <w:rPr>
          <w:lang w:val="pt-PT"/>
        </w:rPr>
        <w:t xml:space="preserve">Adaptado de </w:t>
      </w:r>
      <w:sdt>
        <w:sdtPr>
          <w:tag w:val="MENDELEY_CITATION_v3_eyJjaXRhdGlvbklEIjoiTUVOREVMRVlfQ0lUQVRJT05fYmE1M2Q1MGItMDVhYi00MTE1LWEwZGItN2MzZDE3ZmI3Y2Q2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UsInN1cHByZXNzLWF1dGhvciI6ZmFsc2UsImNvbXBvc2l0ZSI6ZmFsc2UsImF1dGhvci1vbmx5IjpmYWxzZX1dfQ=="/>
          <w:id w:val="-2039269242"/>
          <w:placeholder>
            <w:docPart w:val="DefaultPlaceholder_-1854013440"/>
          </w:placeholder>
        </w:sdtPr>
        <w:sdtContent>
          <w:r>
            <w:rPr>
              <w:lang w:val="pt-PT"/>
            </w:rPr>
          </w:r>
          <w:r>
            <w:rPr>
              <w:rFonts w:cs="Arial"/>
              <w:color w:val="000000"/>
              <w:lang w:val="pt-PT"/>
            </w:rPr>
            <w:t>(Akasaka et al., 2022a)</w:t>
          </w:r>
        </w:sdtContent>
      </w:sdt>
      <w:r>
        <w:rPr>
          <w:lang w:val="pt-PT"/>
        </w:rPr>
        <w:t xml:space="preserve">. </w:t>
      </w:r>
      <w:r>
        <w:rPr>
          <w:lang w:val="en-US"/>
        </w:rPr>
        <w:t xml:space="preserve">A framework for ‘configuring participation’ in living labs. </w:t>
      </w:r>
      <w:r>
        <w:rPr>
          <w:lang w:val="pt-PT"/>
        </w:rPr>
        <w:t>Design Science, 8, e28. https://doi.org/10.1017/dsj.2022.22 (https://doi.org/10.1017/dsj.2022.22) Licença: CC BY 4.0.</w:t>
      </w:r>
    </w:p>
    <w:p>
      <w:pPr>
        <w:pStyle w:val="TextoNormal-IPCA"/>
        <w:rPr/>
      </w:pPr>
      <w:r>
        <w:rPr/>
      </w:r>
    </w:p>
    <w:p>
      <w:pPr>
        <w:pStyle w:val="TextoNormal-IPCA"/>
        <w:rPr/>
      </w:pPr>
      <w:r>
        <w:rPr/>
        <w:t xml:space="preserve">A literatura identifica, contudo, o risco de sobrecarga participativa, entendido como a transferência excessiva de trabalho, responsabilidade e poder de decisão para os utilizadores. Para que a participação seja sustentável, este risco exige mecanismos de apoio, curadoria e reutilização </w:t>
      </w:r>
      <w:sdt>
        <w:sdtPr>
          <w:tag w:val="MENDELEY_CITATION_v3_eyJjaXRhdGlvbklEIjoiTUVOREVMRVlfQ0lUQVRJT05fODQyMjdiZmUtNWE2Mi00NmRkLTg5NDctOWE2ZjAxNjgwMTQy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UsInN1cHByZXNzLWF1dGhvciI6ZmFsc2UsImNvbXBvc2l0ZSI6ZmFsc2UsImF1dGhvci1vbmx5IjpmYWxzZX1dfQ=="/>
          <w:id w:val="-379325985"/>
          <w:placeholder>
            <w:docPart w:val="DefaultPlaceholder_-1854013440"/>
          </w:placeholder>
        </w:sdtPr>
        <w:sdtContent>
          <w:r>
            <w:rPr/>
          </w:r>
          <w:r>
            <w:rPr>
              <w:color w:val="000000"/>
            </w:rPr>
            <w:t>(Fischer et al., 2017)</w:t>
          </w:r>
        </w:sdtContent>
      </w:sdt>
      <w:r>
        <w:rPr/>
        <w:t>.</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uma abordagem que cria condições técnicas e sociais para a participação ativa dos utilizadores finais na adaptação e evolução dos sistemas que utilizam. O </w:t>
      </w:r>
      <w:r>
        <w:rPr>
          <w:i/>
          <w:iCs/>
        </w:rPr>
        <w:t>Software Shaping Workshop</w:t>
      </w:r>
      <w:r>
        <w:rPr/>
        <w:t xml:space="preserve"> funciona, neste enquadramento, como uma “oficina virtual”: um ambiente digital composto por ferramentas familiares, ajustadas à cultura, às práticas e às competências de uma comunidade específica. Em contextos de reabilitação e assistência, este paradigma concretiza-se em sistemas que disponibilizam a cuidadores e terapeutas interfaces do tipo editor, através das quais podem adaptar </w:t>
      </w:r>
      <w:r>
        <w:rPr>
          <w:i/>
          <w:iCs/>
        </w:rPr>
        <w:t>scripts</w:t>
      </w:r>
      <w:r>
        <w:rPr/>
        <w:t xml:space="preserve">, exercícios e conteúdos sem recorrer a programação especializada e responder, de forma pragmática, às necessidades de personalização </w:t>
      </w:r>
      <w:sdt>
        <w:sdtPr>
          <w:tag w:val="MENDELEY_CITATION_v3_eyJjaXRhdGlvbklEIjoiTUVOREVMRVlfQ0lUQVRJT05fMzJjZGVhOTYtMWQ0OC00NjA3LWE5MzAtNDY4NjIwOGRmNTcwIiwicHJvcGVydGllcyI6eyJub3RlSW5kZXgiOjB9LCJpc0VkaXRlZCI6ZmFsc2UsIm1hbnVhbE92ZXJyaWRlIjp7ImlzTWFudWFsbHlPdmVycmlkZGVuIjpmYWxzZSwiY2l0ZXByb2NUZXh0IjoiKEZpc2NoZXIgZXQgYWwuLCAyMDE3OyBGcmFuY2VzY2EgQ29zdGFiaWxlIGV0IGFsLiwgMjAwNykiLCJtYW51YWxPdmVycmlkZVRleHQiOiI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
          <w:id w:val="1813367416"/>
          <w:placeholder>
            <w:docPart w:val="DefaultPlaceholder_-1854013440"/>
          </w:placeholder>
        </w:sdtPr>
        <w:sdtContent>
          <w:r>
            <w:rPr/>
          </w:r>
          <w:r>
            <w:rPr>
              <w:color w:val="000000"/>
            </w:rPr>
            <w:t>(Fischer et al., 2017; Francesca Costabile et al., 2007)</w:t>
          </w:r>
        </w:sdtContent>
      </w:sdt>
      <w:r>
        <w:rPr/>
        <w:t>.</w:t>
      </w:r>
    </w:p>
    <w:p>
      <w:pPr>
        <w:pStyle w:val="TextoNormal-IPCA"/>
        <w:rPr/>
      </w:pPr>
      <w:r>
        <w:rPr/>
        <w:t>A Tabela 2 resume esta passagem do princípio à operação e sistematiza dimensões recorrentes no desenho da participação mediada: quando e quem participa, por que canais, através de que pontos de contacto e com que mecanismos de motivação.</w:t>
      </w:r>
    </w:p>
    <w:p>
      <w:pPr>
        <w:pStyle w:val="TextoNormal-IPCA"/>
        <w:keepNext w:val="true"/>
        <w:rPr/>
      </w:pPr>
      <w:r>
        <w:rPr/>
      </w:r>
    </w:p>
    <w:p>
      <w:pPr>
        <w:pStyle w:val="Caption"/>
        <w:rPr/>
      </w:pPr>
      <w:bookmarkStart w:id="73" w:name="_Toc235562526"/>
      <w:r>
        <w:rPr/>
        <w:t xml:space="preserve">Tabela </w:t>
      </w:r>
      <w:r>
        <w:rPr/>
        <w:fldChar w:fldCharType="begin"/>
      </w:r>
      <w:r>
        <w:rPr/>
        <w:instrText xml:space="preserve"> SEQ Tabela \* ARABIC </w:instrText>
      </w:r>
      <w:r>
        <w:rPr/>
        <w:fldChar w:fldCharType="separate"/>
      </w:r>
      <w:r>
        <w:rPr/>
        <w:t>2</w:t>
      </w:r>
      <w:r>
        <w:rPr/>
        <w:fldChar w:fldCharType="end"/>
      </w:r>
      <w:r>
        <w:rPr/>
        <w:t>— Elementos centrais na configuração da participação em sistemas configuráveis</w:t>
      </w:r>
      <w:bookmarkEnd w:id="73"/>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ind w:hanging="0"/>
              <w:jc w:val="center"/>
              <w:rPr>
                <w:rFonts w:eastAsia="Calibri"/>
                <w:sz w:val="20"/>
                <w:szCs w:val="20"/>
              </w:rPr>
            </w:pPr>
            <w:r>
              <w:rPr>
                <w:rFonts w:eastAsia="Calibri"/>
                <w:sz w:val="20"/>
                <w:szCs w:val="20"/>
              </w:rPr>
              <w:t>Que fatores promovem adesão e que barreiras dificultam continuidade</w:t>
            </w:r>
          </w:p>
        </w:tc>
      </w:tr>
    </w:tbl>
    <w:p>
      <w:pPr>
        <w:pStyle w:val="Nota-IPCA"/>
        <w:rPr>
          <w:lang w:val="pt-PT"/>
        </w:rPr>
      </w:pPr>
      <w:r>
        <w:rPr>
          <w:lang w:val="pt-PT"/>
        </w:rPr>
      </w:r>
    </w:p>
    <w:p>
      <w:pPr>
        <w:pStyle w:val="Nota-IPCA"/>
        <w:rPr>
          <w:lang w:val="pt-PT"/>
        </w:rPr>
      </w:pPr>
      <w:r>
        <w:rPr>
          <w:lang w:val="en-US"/>
        </w:rPr>
        <w:t xml:space="preserve">Adaptado de </w:t>
      </w:r>
      <w:sdt>
        <w:sdtPr>
          <w:tag w:val="MENDELEY_CITATION_v3_eyJjaXRhdGlvbklEIjoiTUVOREVMRVlfQ0lUQVRJT05fODVlMDk4YmMtMmMzNS00N2U3LTgxMmQtN2I2ZDJiM2IxOTky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V9XX0="/>
          <w:id w:val="174395019"/>
          <w:placeholder>
            <w:docPart w:val="DefaultPlaceholder_-1854013440"/>
          </w:placeholder>
        </w:sdtPr>
        <w:sdtContent>
          <w:r>
            <w:rPr>
              <w:lang w:val="en-US"/>
            </w:rPr>
          </w:r>
          <w:r>
            <w:rPr>
              <w:rFonts w:cs="Arial"/>
              <w:color w:val="000000"/>
              <w:lang w:val="en-US"/>
            </w:rPr>
            <w:t>(Akasaka et al., 2022a)</w:t>
          </w:r>
        </w:sdtContent>
      </w:sdt>
      <w:r>
        <w:rPr>
          <w:lang w:val="en-US"/>
        </w:rPr>
        <w:t>,</w:t>
      </w:r>
      <w:r>
        <w:rPr>
          <w:lang w:val="en-US"/>
        </w:rPr>
        <w:t xml:space="preserve">A framework for ‘configuring participation’ in living labs. </w:t>
      </w:r>
      <w:r>
        <w:rPr>
          <w:lang w:val="pt-PT"/>
        </w:rPr>
        <w:t>Design Science, 8, e28. https://doi.org/10.1017/dsj.2022.22 (https://doi.org/10.1017/dsj.2022.22) Licença: CC BY 4.0.</w:t>
      </w:r>
    </w:p>
    <w:p>
      <w:pPr>
        <w:pStyle w:val="TextoNormal-IPCA"/>
        <w:rPr/>
      </w:pPr>
      <w:r>
        <w:rPr/>
      </w:r>
    </w:p>
    <w:p>
      <w:pPr>
        <w:pStyle w:val="Heading3"/>
        <w:numPr>
          <w:ilvl w:val="0"/>
          <w:numId w:val="0"/>
        </w:numPr>
        <w:ind w:hanging="0" w:start="0"/>
        <w:rPr/>
      </w:pPr>
      <w:bookmarkStart w:id="74" w:name="_Toc235564958"/>
      <w:r>
        <w:rPr/>
        <w:t>Mecanismos de personalização: modularidade, parametrização e adaptação individualizada</w:t>
      </w:r>
      <w:bookmarkEnd w:id="74"/>
    </w:p>
    <w:p>
      <w:pPr>
        <w:pStyle w:val="TextoNormal-IPCA"/>
        <w:keepNext w:val="true"/>
        <w:rPr/>
      </w:pPr>
      <w:r>
        <w:rPr/>
      </w:r>
    </w:p>
    <w:p>
      <w:pPr>
        <w:pStyle w:val="TextoNormal-IPCA"/>
        <w:rPr/>
      </w:pPr>
      <w:r>
        <w:rPr/>
        <w:t>A literatura sintetiza a personalização através de mecanismos recorrentes, que diferem quanto a “quem configura”, “o que é configurável” e “quando se configura”. Pela sua relevância para sistemas protésicos e dispositivos médicos personalizados, destacam-se três mecanismos:</w:t>
      </w:r>
    </w:p>
    <w:p>
      <w:pPr>
        <w:pStyle w:val="TextoNormal-IPCA"/>
        <w:rPr/>
      </w:pPr>
      <w:r>
        <w:rPr/>
        <w:t xml:space="preserve">1. Seleção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w:t>
      </w:r>
      <w:sdt>
        <w:sdtPr>
          <w:tag w:val="MENDELEY_CITATION_v3_eyJjaXRhdGlvbklEIjoiTUVOREVMRVlfQ0lUQVRJT05fMDU1NDQ4MDAtZGI3NC00OGU1LWFhOWEtODZmNGY2ZjA4NDE4IiwicHJvcGVydGllcyI6eyJub3RlSW5kZXgiOjB9LCJpc0VkaXRlZCI6ZmFsc2UsIm1hbnVhbE92ZXJyaWRlIjp7ImlzTWFudWFsbHlPdmVycmlkZGVuIjpmYWxzZSwiY2l0ZXByb2NUZXh0IjoiKERlY2hldiBldCBhbC4sIDIwMjM7IFBldGVycyAmIzM4OyBSaWNodGVyLCAyMDIz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XX0="/>
          <w:id w:val="-1653751605"/>
          <w:placeholder>
            <w:docPart w:val="DefaultPlaceholder_-1854013440"/>
          </w:placeholder>
        </w:sdtPr>
        <w:sdtContent>
          <w:r>
            <w:rPr/>
          </w:r>
          <w:r>
            <w:rPr>
              <w:rFonts w:eastAsia="Times New Roman"/>
              <w:color w:val="000000"/>
            </w:rPr>
            <w:t>(Dechev et al., 2023; Peters &amp; Richter, 2023)</w:t>
          </w:r>
        </w:sdtContent>
      </w:sdt>
      <w:r>
        <w:rPr/>
        <w:t>.</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xml:space="preserve">, como ficheiros CAD, com base nesses valores. Este mecanismo é mais adequado quando a personalização depende de atributos mensuráveis, ligando diretamente dados antropométricos e cinemáticos a variáveis de projeto </w:t>
      </w:r>
      <w:sdt>
        <w:sdtPr>
          <w:tag w:val="MENDELEY_CITATION_v3_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6112725"/>
          <w:placeholder>
            <w:docPart w:val="DefaultPlaceholder_-1854013440"/>
          </w:placeholder>
        </w:sdtPr>
        <w:sdtContent>
          <w:r>
            <w:rPr/>
          </w:r>
          <w:r>
            <w:rPr>
              <w:rFonts w:eastAsia="Times New Roman"/>
              <w:color w:val="000000"/>
            </w:rPr>
            <w:t>(Kuhl et al., 2021; Zhu &amp; Zhong, 2022)</w:t>
          </w:r>
        </w:sdtContent>
      </w:sdt>
      <w:r>
        <w:rPr/>
        <w:t>.</w:t>
      </w:r>
    </w:p>
    <w:p>
      <w:pPr>
        <w:pStyle w:val="TextoNormal-IPCA"/>
        <w:rPr/>
      </w:pPr>
      <w:r>
        <w:rPr/>
        <w:t xml:space="preserve">3. </w:t>
      </w:r>
      <w:r>
        <w:rPr>
          <w:i/>
          <w:iCs/>
        </w:rPr>
        <w:t>Tailoring</w:t>
      </w:r>
      <w:r>
        <w:rPr/>
        <w:t xml:space="preserve"> por </w:t>
      </w:r>
      <w:r>
        <w:rPr>
          <w:i/>
          <w:iCs/>
        </w:rPr>
        <w:t>toolkit</w:t>
      </w:r>
      <w:r>
        <w:rPr/>
        <w:t xml:space="preserve">/editor: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w:t>
      </w:r>
      <w:sdt>
        <w:sdtPr>
          <w:tag w:val="MENDELEY_CITATION_v3_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
          <w:id w:val="2004554423"/>
          <w:placeholder>
            <w:docPart w:val="DefaultPlaceholder_-1854013440"/>
          </w:placeholder>
        </w:sdtPr>
        <w:sdtContent>
          <w:r>
            <w:rPr/>
          </w:r>
          <w:r>
            <w:rPr>
              <w:rFonts w:eastAsia="Times New Roman"/>
              <w:color w:val="000000"/>
            </w:rPr>
            <w:t>(Clarkson &amp; Coleman, 2010; Fischer et al., 2017)</w:t>
          </w:r>
        </w:sdtContent>
      </w:sdt>
      <w:r>
        <w:rPr/>
        <w:t>.</w:t>
      </w:r>
    </w:p>
    <w:p>
      <w:pPr>
        <w:pStyle w:val="TextoNormal-IPCA"/>
        <w:rPr/>
      </w:pPr>
      <w:r>
        <w:rPr/>
        <w:t xml:space="preserve">A escolha do mecanismo mais adequado depende da distribuição do conhecimento relevante entre utilizadores, designers, profissionais técnicos ou clínicos e sistemas digitais. A modularidade adequa-se a necessidades que possam ser expressas pela combinação de módulos previamente definidos. A parametrização é mais eficaz quando existem dados mensuráveis passíveis de tradução em variáveis de projeto. Os kits de ferramentas são particularmente relevantes quando a adaptação contínua em contexto é crítica e o utilizador ou um intermediário dispõe de conhecimento situado para ajustar o sistema </w:t>
      </w:r>
      <w:sdt>
        <w:sdtPr>
          <w:tag w:val="MENDELEY_CITATION_v3_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"/>
          <w:id w:val="-161009808"/>
          <w:placeholder>
            <w:docPart w:val="DefaultPlaceholder_-1854013440"/>
          </w:placeholder>
        </w:sdtPr>
        <w:sdtContent>
          <w:r>
            <w:rPr/>
          </w:r>
          <w:r>
            <w:rPr>
              <w:rFonts w:eastAsia="Times New Roman"/>
              <w:color w:val="000000"/>
            </w:rPr>
            <w:t>(Peters &amp; Richter, 2023; Von Hippel &amp; Katz, 2002; Zhu &amp; Zhong, 2022)</w:t>
          </w:r>
        </w:sdtContent>
      </w:sdt>
      <w:r>
        <w:rPr/>
        <w:t>.</w:t>
      </w:r>
    </w:p>
    <w:p>
      <w:pPr>
        <w:pStyle w:val="Heading3"/>
        <w:numPr>
          <w:ilvl w:val="0"/>
          <w:numId w:val="0"/>
        </w:numPr>
        <w:ind w:hanging="0" w:start="0"/>
        <w:rPr/>
      </w:pPr>
      <w:bookmarkStart w:id="75" w:name="_Toc235564959"/>
      <w:r>
        <w:rPr/>
        <w:t>Fluxos participativos e infra-estruturas remotas</w:t>
      </w:r>
      <w:bookmarkEnd w:id="75"/>
    </w:p>
    <w:p>
      <w:pPr>
        <w:pStyle w:val="TextoNormal-IPCA"/>
        <w:keepNext w:val="true"/>
        <w:rPr/>
      </w:pPr>
      <w:r>
        <w:rPr/>
      </w:r>
    </w:p>
    <w:p>
      <w:pPr>
        <w:pStyle w:val="TextoNormal-IPCA"/>
        <w:rPr/>
      </w:pPr>
      <w:r>
        <w:rPr/>
        <w:t xml:space="preserve">O recurso crescente à participação remota e a processos mediados por meios digitais é uma característica transversal. A literatura documenta sessões de </w:t>
      </w:r>
      <w:r>
        <w:rPr>
          <w:i/>
          <w:iCs/>
        </w:rPr>
        <w:t>co-design</w:t>
      </w:r>
      <w:r>
        <w:rPr/>
        <w:t xml:space="preserve"> por videoconferência, oficinas </w:t>
      </w:r>
      <w:r>
        <w:rPr>
          <w:i/>
          <w:iCs/>
        </w:rPr>
        <w:t>online</w:t>
      </w:r>
      <w:r>
        <w:rPr/>
        <w:t xml:space="preserve"> e processos de co-fabrico à distância, nos quais o ciclo «definir → prototipar → fabricar → testar» inclui o envio de protótipos para experimentação no contexto real do utilizador. Estes modelos são particularmente relevantes nas tecnologias de apoio, em que a avaliação em contexto e a adaptação iterativa são determinantes para a adequação funcional e a aceitação </w:t>
      </w:r>
      <w:sdt>
        <w:sdtPr>
          <w:tag w:val="MENDELEY_CITATION_v3_eyJjaXRhdGlvbklEIjoiTUVOREVMRVlfQ0lUQVRJT05fMGQzMDQ1YjgtZjJlYi00YzA3LTkxOTItMTYxMWJkYjE1MTc0IiwicHJvcGVydGllcyI6eyJub3RlSW5kZXgiOjB9LCJpc0VkaXRlZCI6ZmFsc2UsIm1hbnVhbE92ZXJyaWRlIjp7ImlzTWFudWFsbHlPdmVycmlkZGVuIjpmYWxzZSwiY2l0ZXByb2NUZXh0IjoiKFRob3JzZW4gZXQgYWwuLCAyMDI0KSIsIm1hbnVhbE92ZXJyaWRlVGV4dCI6IiJ9LCJjaXRhdGlvbkl0ZW1zIjpb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
          <w:id w:val="-646428503"/>
          <w:placeholder>
            <w:docPart w:val="DefaultPlaceholder_-1854013440"/>
          </w:placeholder>
        </w:sdtPr>
        <w:sdtContent>
          <w:r>
            <w:rPr/>
          </w:r>
          <w:r>
            <w:rPr>
              <w:color w:val="000000"/>
            </w:rPr>
            <w:t>(Thorsen et al., 2024)</w:t>
          </w:r>
        </w:sdtContent>
      </w:sdt>
      <w:r>
        <w:rPr/>
        <w:t>.</w:t>
      </w:r>
    </w:p>
    <w:p>
      <w:pPr>
        <w:pStyle w:val="TextoNormal-IPCA"/>
        <w:rPr/>
      </w:pPr>
      <w:r>
        <w:rPr/>
        <w:t xml:space="preserve">A literatura sublinha, no entanto, que a tecnologia, por si só, não é suficiente. A eficácia destes sistemas depende de estruturas de governação, ou seja, da definição clara de quem decide, o que decide e em que momento do processo. Depende também da mediação de clínicos, designers ou técnicos e de mecanismos que permitam gerir a carga de trabalho, a comunicação e a coordenação entre os intervenientes. Nos modelos abertos e distribuídos, a falta de responsabilização clara pode originar incumprimentos de compromissos e atrasos, tornando necessária a definição explícita de regras, expectativas e responsabilidades. </w:t>
      </w:r>
      <w:sdt>
        <w:sdtPr>
          <w:tag w:val="MENDELEY_CITATION_v3_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1dfQ=="/>
          <w:id w:val="-1510520192"/>
          <w:placeholder>
            <w:docPart w:val="DefaultPlaceholder_-1854013440"/>
          </w:placeholder>
        </w:sdtPr>
        <w:sdtContent>
          <w:r>
            <w:rPr/>
          </w:r>
          <w:r>
            <w:rPr>
              <w:color w:val="000000"/>
            </w:rPr>
            <w:t>(Frangos et al., 2019; Hussaini et al., 2023; Kerr et al., 2024)</w:t>
          </w:r>
        </w:sdtContent>
      </w:sdt>
    </w:p>
    <w:p>
      <w:pPr>
        <w:pStyle w:val="TextoNormal-IPCA"/>
        <w:rPr/>
      </w:pPr>
      <w:r>
        <w:rPr/>
      </w:r>
    </w:p>
    <w:p>
      <w:pPr>
        <w:pStyle w:val="Heading3"/>
        <w:numPr>
          <w:ilvl w:val="0"/>
          <w:numId w:val="0"/>
        </w:numPr>
        <w:ind w:hanging="0" w:start="0"/>
        <w:rPr/>
      </w:pPr>
      <w:bookmarkStart w:id="76" w:name="_Toc235564960"/>
      <w:r>
        <w:rPr/>
        <w:t>Aplicações em saúde, reabilitação e próteses</w:t>
      </w:r>
      <w:bookmarkEnd w:id="76"/>
    </w:p>
    <w:p>
      <w:pPr>
        <w:pStyle w:val="TextoNormal-IPCA"/>
        <w:keepNext w:val="true"/>
        <w:rPr/>
      </w:pPr>
      <w:r>
        <w:rPr/>
      </w:r>
    </w:p>
    <w:p>
      <w:pPr>
        <w:pStyle w:val="TextoNormal-IPCA"/>
        <w:rPr/>
      </w:pPr>
      <w:r>
        <w:rPr/>
        <w:t xml:space="preserve">Em saúde, as plataformas baseadas em </w:t>
      </w:r>
      <w:r>
        <w:rPr>
          <w:i/>
          <w:iCs/>
        </w:rPr>
        <w:t>digital twins</w:t>
      </w:r>
      <w:r>
        <w:rPr>
          <w:rStyle w:val="FootnoteReference"/>
        </w:rPr>
        <w:footnoteReference w:id="9"/>
      </w:r>
      <w:r>
        <w:rPr/>
        <w:t xml:space="preserve"> são descritas como sistemas de serviço personalizados que ligam os participantes através da nuvem e integram sensores, parâmetros de movimento e métricas de desempenho. Embora apresentem correlações elevadas em cenários controlados, a literatura assinala uma degradação do desempenho em contextos mais complexos, reveladora das diferenças entre os modelos e o movimento humano real. Estes sistemas mostram o potencial de integração da personalização, do fabrico digital e da monitorização remota, mas também evidenciam que a robustez do modelo depende da qualidade dos dados e da diversidade dos cenários de uso </w:t>
      </w:r>
      <w:sdt>
        <w:sdtPr>
          <w:tag w:val="MENDELEY_CITATION_v3_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726343917"/>
          <w:placeholder>
            <w:docPart w:val="DefaultPlaceholder_-1854013440"/>
          </w:placeholder>
        </w:sdtPr>
        <w:sdtContent>
          <w:r>
            <w:rPr/>
          </w:r>
          <w:r>
            <w:rPr>
              <w:rFonts w:eastAsia="Times New Roman"/>
              <w:color w:val="000000"/>
            </w:rPr>
            <w:t>(Mikołajewska &amp; Mikołajewski, 2014; Zhu &amp; Zhong, 2022)</w:t>
          </w:r>
        </w:sdtContent>
      </w:sdt>
      <w:r>
        <w:rPr/>
        <w:t>.</w:t>
      </w:r>
    </w:p>
    <w:p>
      <w:pPr>
        <w:pStyle w:val="TextoNormal-IPCA"/>
        <w:rPr/>
      </w:pPr>
      <w:r>
        <w:rPr/>
        <w:t xml:space="preserve">Na reabilitação, as plataformas de </w:t>
      </w:r>
      <w:r>
        <w:rPr>
          <w:i/>
          <w:iCs/>
        </w:rPr>
        <w:t>virtual coaching</w:t>
      </w:r>
      <w:r>
        <w:rPr>
          <w:rStyle w:val="FootnoteReference"/>
        </w:rPr>
        <w:footnoteReference w:id="10"/>
      </w:r>
      <w:r>
        <w:rPr/>
        <w:t xml:space="preserve">, </w:t>
      </w:r>
      <w:r>
        <w:rPr>
          <w:i/>
          <w:iCs/>
        </w:rPr>
        <w:t>os serious games</w:t>
      </w:r>
      <w:r>
        <w:rPr>
          <w:rStyle w:val="FootnoteReference"/>
        </w:rPr>
        <w:footnoteReference w:id="11"/>
      </w:r>
      <w:r>
        <w:rPr/>
        <w:t xml:space="preserve"> configuráveis e os modelos de cocriação tecnológica são apresentados como formas de personalizar os tratamentos segundo o estado clínico, os objetivos terapêuticos e o </w:t>
      </w:r>
      <w:r>
        <w:rPr>
          <w:i/>
          <w:iCs/>
        </w:rPr>
        <w:t>feedback</w:t>
      </w:r>
      <w:r>
        <w:rPr/>
        <w:t xml:space="preserve"> do utilizador. As avaliações indicam boa usabilidade e experiência do utilizador quando a participação integra o ciclo de desenvolvimento e abrange a interface, a seleção de exercícios, o ritmo do programa e a mediação por profissionais de saúde </w:t>
      </w:r>
      <w:sdt>
        <w:sdtPr>
          <w:tag w:val="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"/>
          <w:id w:val="-644123158"/>
          <w:placeholder>
            <w:docPart w:val="DefaultPlaceholder_-1854013440"/>
          </w:placeholder>
        </w:sdtPr>
        <w:sdtContent>
          <w:r>
            <w:rPr/>
          </w:r>
          <w:r>
            <w:rPr>
              <w:color w:val="000000"/>
            </w:rPr>
            <w:t>(Cole, 2011; Kerr et al., 2024; Seregni et al., 2021)</w:t>
          </w:r>
        </w:sdtContent>
      </w:sdt>
      <w:r>
        <w:rPr/>
        <w:t>.</w:t>
      </w:r>
    </w:p>
    <w:p>
      <w:pPr>
        <w:pStyle w:val="TextoNormal-IPCA"/>
        <w:rPr/>
      </w:pPr>
      <w:r>
        <w:rPr/>
        <w:t xml:space="preserve">No contexto protésico e das tecnologias de apoio, sobressai a relevância dos ecossistemas modulares e das cadeias de aprendizagem distribuída. Estudos sobre próteses pediátricas, serviços de reabilitação e modelos como o Victoria Hand Project mostram que a personalização pode conjugar prototipagem iterativa, módulos intercambiáveis, criação digital de encaixes e circulação de comentários entre locais clínicos e equipas centrais de desenvolvimento. A plataforma funciona, neste enquadramento, como interface de configuração e como infraestrutura organizacional de aprendizagem e atualização contínua </w:t>
      </w:r>
      <w:sdt>
        <w:sdtPr>
          <w:tag w:val="MENDELEY_CITATION_v3_eyJjaXRhdGlvbklEIjoiTUVOREVMRVlfQ0lUQVRJT05fNmU5NWQyOTMtNmI5Ni00NTI5LTk4YWMtMmQzODYzMjZhMjMxIiwicHJvcGVydGllcyI6eyJub3RlSW5kZXgiOjB9LCJpc0VkaXRlZCI6ZmFsc2UsIm1hbnVhbE92ZXJyaWRlIjp7ImlzTWFudWFsbHlPdmVycmlkZGVuIjpmYWxzZSwiY2l0ZXByb2NUZXh0IjoiKERlY2hldiBldCBhbC4sIDIwMjM7IEhvd2FyZCBldCBhbC4sIDIwMjQ7IFNpbXMgZXQgYWwuLCAyMDE3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"/>
          <w:id w:val="1797172624"/>
          <w:placeholder>
            <w:docPart w:val="DefaultPlaceholder_-1854013440"/>
          </w:placeholder>
        </w:sdtPr>
        <w:sdtContent>
          <w:r>
            <w:rPr/>
          </w:r>
          <w:r>
            <w:rPr>
              <w:color w:val="000000"/>
            </w:rPr>
            <w:t>(Dechev et al., 2023; Howard et al., 2024; Sims et al., 2017)</w:t>
          </w:r>
        </w:sdtContent>
      </w:sdt>
    </w:p>
    <w:p>
      <w:pPr>
        <w:pStyle w:val="TextoNormal-IPCA"/>
        <w:rPr/>
      </w:pPr>
      <w:r>
        <w:rPr/>
        <w:t xml:space="preserve">Em contextos de baixos recursos, a literatura salienta que a impressão 3D pode ser um facilitador importante, mas apenas produz benefícios quando integrada em infraestruturas de apoio, confiança, manutenção e capacitação técnica. A mera disponibilização de tecnologia de fabrico não garante soluções adequadas nem uma adoção sustentada. Por conseguinte, os modelos participativos e a mediação local assumem um papel determinante na conversão do potencial técnico em valor real para os utilizadores </w:t>
      </w:r>
      <w:sdt>
        <w:sdtPr>
          <w:tag w:val="MENDELEY_CITATION_v3_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
          <w:id w:val="-346022313"/>
          <w:placeholder>
            <w:docPart w:val="DefaultPlaceholder_-1854013440"/>
          </w:placeholder>
        </w:sdtPr>
        <w:sdtContent>
          <w:r>
            <w:rPr/>
          </w:r>
          <w:r>
            <w:rPr>
              <w:color w:val="000000"/>
            </w:rPr>
            <w:t>(Hussaini et al., 2023; Thorsen et al., 2024)</w:t>
          </w:r>
        </w:sdtContent>
      </w:sdt>
      <w:r>
        <w:rPr/>
        <w:t>.</w:t>
      </w:r>
    </w:p>
    <w:p>
      <w:pPr>
        <w:pStyle w:val="Heading3"/>
        <w:numPr>
          <w:ilvl w:val="0"/>
          <w:numId w:val="0"/>
        </w:numPr>
        <w:ind w:hanging="0" w:start="0"/>
        <w:rPr/>
      </w:pPr>
      <w:r>
        <w:rPr/>
      </w:r>
    </w:p>
    <w:p>
      <w:pPr>
        <w:pStyle w:val="Heading3"/>
        <w:numPr>
          <w:ilvl w:val="0"/>
          <w:numId w:val="0"/>
        </w:numPr>
        <w:ind w:hanging="0" w:start="0"/>
        <w:rPr/>
      </w:pPr>
      <w:bookmarkStart w:id="77" w:name="_Toc235564961"/>
      <w:r>
        <w:rPr/>
        <w:t>Limitações e lacunas: sustentabilidade, adopção e equilíbrio entre normalização e improviso</w:t>
      </w:r>
      <w:bookmarkEnd w:id="77"/>
    </w:p>
    <w:p>
      <w:pPr>
        <w:pStyle w:val="TextoNormal-IPCA"/>
        <w:keepNext w:val="true"/>
        <w:rPr/>
      </w:pPr>
      <w:r>
        <w:rPr/>
      </w:r>
    </w:p>
    <w:p>
      <w:pPr>
        <w:pStyle w:val="TextoNormal-IPCA"/>
        <w:rPr/>
      </w:pPr>
      <w:r>
        <w:rPr/>
        <w:t xml:space="preserve">Apesar do potencial das plataformas configuráveis e dos fluxos participativos para apoiar a personalização de dispositivos médicos e tecnologias de apoio, a evidência empírica disponível assenta frequentemente em amostras reduzidas e estudos de caso, o que limita a generalização dos resultados </w:t>
      </w:r>
      <w:sdt>
        <w:sdtPr>
          <w:tag w:val="MENDELEY_CITATION_v3_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"/>
          <w:id w:val="-1572333414"/>
          <w:placeholder>
            <w:docPart w:val="DefaultPlaceholder_-1854013440"/>
          </w:placeholder>
        </w:sdtPr>
        <w:sdtContent>
          <w:r>
            <w:rPr/>
          </w:r>
          <w:r>
            <w:rPr>
              <w:color w:val="000000"/>
            </w:rPr>
            <w:t>(Frangos et al., 2019; Howard et al., 2024; Thorsen et al., 2024)</w:t>
          </w:r>
        </w:sdtContent>
      </w:sdt>
      <w:r>
        <w:rPr/>
        <w:t>. A literatura identifica ainda três tensões estruturais.</w:t>
      </w:r>
    </w:p>
    <w:p>
      <w:pPr>
        <w:pStyle w:val="TextoNormal-IPCA"/>
        <w:rPr/>
      </w:pPr>
      <w:r>
        <w:rPr/>
        <w:t xml:space="preserve">A primeira tensão prende-se com a sustentabilidade da participação: processos participativos prolongados ou mal distribuídos podem provocar sobrecarga, fadiga e eventual desistência dos utilizadores. São, por isso, necessários mecanismos de apoio, curadoria e redistribuição da carga entre utilizadores, especialistas e intermediários técnicos ou clínicos </w:t>
      </w:r>
      <w:sdt>
        <w:sdtPr>
          <w:tag w:val="MENDELEY_CITATION_v3_eyJjaXRhdGlvbklEIjoiTUVOREVMRVlfQ0lUQVRJT05fNWMwZjU5MmUtN2YyNS00M2E1LWE4MzQtNjUzNDc1OTNlNTY0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V9XX0="/>
          <w:id w:val="823851287"/>
          <w:placeholder>
            <w:docPart w:val="DefaultPlaceholder_-1854013440"/>
          </w:placeholder>
        </w:sdtPr>
        <w:sdtContent>
          <w:r>
            <w:rPr/>
          </w:r>
          <w:r>
            <w:rPr>
              <w:color w:val="000000"/>
            </w:rPr>
            <w:t>(Fischer et al., 2017)</w:t>
          </w:r>
        </w:sdtContent>
      </w:sdt>
      <w:r>
        <w:rPr/>
        <w:t>.</w:t>
      </w:r>
    </w:p>
    <w:p>
      <w:pPr>
        <w:pStyle w:val="TextoNormal-IPCA"/>
        <w:rPr/>
      </w:pPr>
      <w:r>
        <w:rPr/>
        <w:t xml:space="preserve">A segunda tensão estabelece-se entre normalização e personalização. Em domínios regulamentados, a adaptação individualizada deve preservar o registo da origem das decisões, a segurança e a qualidade, exigências que podem entrar em conflito com os ajustamentos locais necessários para responder a necessidades específicas ou contextuais </w:t>
      </w:r>
      <w:sdt>
        <w:sdtPr>
          <w:tag w:val="MENDELEY_CITATION_v3_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"/>
          <w:id w:val="-202097374"/>
          <w:placeholder>
            <w:docPart w:val="DefaultPlaceholder_-1854013440"/>
          </w:placeholder>
        </w:sdtPr>
        <w:sdtContent>
          <w:r>
            <w:rPr/>
          </w:r>
          <w:r>
            <w:rPr>
              <w:color w:val="000000"/>
            </w:rPr>
            <w:t>(Fischer G et al., 2004; Francesca Costabile et al., 2007)</w:t>
          </w:r>
        </w:sdtContent>
      </w:sdt>
      <w:r>
        <w:rPr/>
        <w:t>.</w:t>
      </w:r>
    </w:p>
    <w:p>
      <w:pPr>
        <w:pStyle w:val="TextoNormal-IPCA"/>
        <w:rPr/>
      </w:pPr>
      <w:r>
        <w:rPr/>
        <w:t xml:space="preserve">A terceira tensão prende-se com a adoção e o valor efetivamente realizado. A literatura sobre personalização em massa regista dificuldades recorrentes na conversão e adoção de configuradores. Por analogia, em contextos de saúde e de tecnologias de apoio, a possibilidade de configuração não garante a aceitação se não estiver alinhada com as expectativas e a confiança dos intervenientes e integrada nos serviços existentes </w:t>
      </w:r>
      <w:sdt>
        <w:sdtPr>
          <w:tag w:val="MENDELEY_CITATION_v3_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"/>
          <w:id w:val="19988579"/>
          <w:placeholder>
            <w:docPart w:val="DefaultPlaceholder_-1854013440"/>
          </w:placeholder>
        </w:sdtPr>
        <w:sdtContent>
          <w:r>
            <w:rPr/>
          </w:r>
          <w:r>
            <w:rPr>
              <w:color w:val="000000"/>
            </w:rPr>
            <w:t>(Akasaka et al., 2022b; Frangos et al., 2019)</w:t>
          </w:r>
        </w:sdtContent>
      </w:sdt>
      <w:r>
        <w:rPr/>
        <w:t>.</w:t>
      </w:r>
    </w:p>
    <w:p>
      <w:pPr>
        <w:pStyle w:val="TextoNormal-IPCA"/>
        <w:rPr/>
      </w:pPr>
      <w:r>
        <w:rPr/>
      </w:r>
    </w:p>
    <w:p>
      <w:pPr>
        <w:pStyle w:val="Heading3"/>
        <w:numPr>
          <w:ilvl w:val="0"/>
          <w:numId w:val="0"/>
        </w:numPr>
        <w:ind w:hanging="0" w:start="0"/>
        <w:rPr/>
      </w:pPr>
      <w:bookmarkStart w:id="78" w:name="_Toc235564962"/>
      <w:r>
        <w:rPr/>
        <w:t>2.8 Análise crítica do estado da arte e lacunas identificadas</w:t>
      </w:r>
      <w:bookmarkEnd w:id="78"/>
    </w:p>
    <w:p>
      <w:pPr>
        <w:pStyle w:val="TextoNormal-IPCA"/>
        <w:keepNext w:val="true"/>
        <w:rPr/>
      </w:pPr>
      <w:r>
        <w:rPr/>
      </w:r>
    </w:p>
    <w:p>
      <w:pPr>
        <w:pStyle w:val="TextoNormal-IPCA"/>
        <w:rPr/>
      </w:pPr>
      <w:r>
        <w:rPr/>
        <w:t xml:space="preserve">A análise dos níveis de prontidão tecnológica descritos na literatura torna particularmente visível a distância entre o potencial técnico destas abordagens e a sua consolidação prática. A Figura 9 apresenta a distribuição dos estudos por nível de prontidão tecnológica, ou </w:t>
      </w:r>
      <w:r>
        <w:rPr>
          <w:i/>
          <w:iCs/>
        </w:rPr>
        <w:t>Technology Readiness Level</w:t>
      </w:r>
      <w:r>
        <w:rPr/>
        <w:t xml:space="preserve"> (TRL)</w:t>
      </w:r>
      <w:r>
        <w:rPr>
          <w:rStyle w:val="FootnoteReference"/>
        </w:rPr>
        <w:footnoteReference w:id="12"/>
      </w:r>
      <w:r>
        <w:rPr/>
        <w:t>, e mostra que muitos contributos permanecem concentrados em fases ainda afastadas de uma adoção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27"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43" descr="Image 9"/>
                    <pic:cNvPicPr>
                      <a:picLocks noChangeAspect="1" noChangeArrowheads="1"/>
                    </pic:cNvPicPr>
                  </pic:nvPicPr>
                  <pic:blipFill>
                    <a:blip r:embed="rId68"/>
                    <a:stretch>
                      <a:fillRect/>
                    </a:stretch>
                  </pic:blipFill>
                  <pic:spPr bwMode="auto">
                    <a:xfrm>
                      <a:off x="0" y="0"/>
                      <a:ext cx="5579745" cy="3970655"/>
                    </a:xfrm>
                    <a:prstGeom prst="rect">
                      <a:avLst/>
                    </a:prstGeom>
                    <a:noFill/>
                  </pic:spPr>
                </pic:pic>
              </a:graphicData>
            </a:graphic>
          </wp:inline>
        </w:drawing>
      </w:r>
    </w:p>
    <w:p>
      <w:pPr>
        <w:pStyle w:val="Caption"/>
        <w:rPr/>
      </w:pPr>
      <w:bookmarkStart w:id="79" w:name="_Toc235562503"/>
      <w:r>
        <w:rPr/>
        <w:t xml:space="preserve">Figura </w:t>
      </w:r>
      <w:r>
        <w:rPr/>
        <w:fldChar w:fldCharType="begin"/>
      </w:r>
      <w:r>
        <w:rPr/>
        <w:instrText xml:space="preserve"> SEQ Figura \* ARABIC </w:instrText>
      </w:r>
      <w:r>
        <w:rPr/>
        <w:fldChar w:fldCharType="separate"/>
      </w:r>
      <w:r>
        <w:rPr/>
        <w:t>9</w:t>
      </w:r>
      <w:r>
        <w:rPr/>
        <w:fldChar w:fldCharType="end"/>
      </w:r>
      <w:r>
        <w:rPr/>
        <w:t xml:space="preserve"> — Número de artigos por nível de prontidão tecnológica (TRL) e categoria de aplicação.</w:t>
      </w:r>
      <w:bookmarkEnd w:id="79"/>
    </w:p>
    <w:p>
      <w:pPr>
        <w:pStyle w:val="Nota-IPCA"/>
        <w:rPr>
          <w:lang w:val="pt-PT"/>
        </w:rPr>
      </w:pPr>
      <w:r>
        <w:rPr>
          <w:lang w:val="pt-PT"/>
        </w:rPr>
        <w:t>O gráfico distingue as próteses de membro inferior produzidas por impressão 3D (MI 3DP), as próteses de membro inferior desenvolvidas com recurso a CAD/CAM (MI CAD/CAM), outras aplicações de membro inferior (MI outras), as próteses de membro superior produzidas por impressão 3D (MS 3DP) e outras aplicações de membro superior (MS outras).</w:t>
      </w:r>
    </w:p>
    <w:p>
      <w:pPr>
        <w:pStyle w:val="Nota-IPCA"/>
        <w:rPr>
          <w:lang w:val="pt-PT"/>
        </w:rPr>
      </w:pPr>
      <w:r>
        <w:rPr>
          <w:lang w:val="pt-PT"/>
        </w:rPr>
        <w:t xml:space="preserve">Adaptado da Figura 10 de </w:t>
      </w:r>
      <w:sdt>
        <w:sdtPr>
          <w:tag w:val="MENDELEY_CITATION_v3_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"/>
          <w:id w:val="288248387"/>
          <w:placeholder>
            <w:docPart w:val="DefaultPlaceholder_-1854013440"/>
          </w:placeholder>
        </w:sdtPr>
        <w:sdtContent>
          <w:r>
            <w:rPr>
              <w:lang w:val="pt-PT"/>
            </w:rPr>
          </w:r>
          <w:r>
            <w:rPr>
              <w:rFonts w:cs="Arial"/>
              <w:color w:val="000000"/>
              <w:lang w:val="pt-PT"/>
            </w:rPr>
            <w:t>(Oldfrey et al., 2024, p. 582)</w:t>
          </w:r>
        </w:sdtContent>
      </w:sdt>
      <w:r>
        <w:rPr>
          <w:lang w:val="pt-PT"/>
        </w:rPr>
        <w:t>.</w:t>
      </w:r>
    </w:p>
    <w:p>
      <w:pPr>
        <w:pStyle w:val="TextoNormal-IPCA"/>
        <w:rPr/>
      </w:pPr>
      <w:r>
        <w:rPr/>
      </w:r>
    </w:p>
    <w:p>
      <w:pPr>
        <w:pStyle w:val="TextoNormal-IPCA"/>
        <w:rPr/>
      </w:pPr>
      <w:r>
        <w:rPr/>
        <w:t xml:space="preserve">As secções anteriores mostram avanços técnicos significativos, mas também limitações estruturais persistentes na investigação e no desenvolvimento de próteses e tecnologias de apoio. Entre estas, destaca-se o desfasamento entre o desenvolvimento tecnológico e a respetiva validação empírica. Muitos contributos permanecem em fase de protótipo e são testados em amostras reduzidas, durante períodos curtos, o que limita a demonstração da sua eficácia, segurança e adequação em contextos reais de utilização </w:t>
      </w:r>
      <w:sdt>
        <w:sdtPr>
          <w:tag w:val="MENDELEY_CITATION_v3_eyJjaXRhdGlvbklEIjoiTUVOREVMRVlfQ0lUQVRJT05fMmI1OGNiZWQtYjc5NS00Yzc5LWJmYTYtMTU3YjZhOWEyNjU5IiwicHJvcGVydGllcyI6eyJub3RlSW5kZXgiOjB9LCJpc0VkaXRlZCI6ZmFsc2UsIm1hbnVhbE92ZXJyaWRlIjp7ImlzTWFudWFsbHlPdmVycmlkZGVuIjpmYWxzZSwiY2l0ZXByb2NUZXh0IjoiKENoYWR3ZWxsIGV0IGFsLiwgMjAyMDsgU2FtdWVsc3NvbiBldCBhbC4sIDIwMTI7IFdpbmRyaWNoIGV0IGFsLiwgMjAxNikiLCJtYW51YWxPdmVycmlkZVRleHQiOiIifSwiY2l0YXRpb25JdGVtcyI6W3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
          <w:id w:val="358486189"/>
          <w:placeholder>
            <w:docPart w:val="DefaultPlaceholder_-1854013440"/>
          </w:placeholder>
        </w:sdtPr>
        <w:sdtContent>
          <w:r>
            <w:rPr/>
          </w:r>
          <w:r>
            <w:rPr>
              <w:color w:val="000000"/>
            </w:rPr>
            <w:t>(Chadwell et al., 2020; Samuelsson et al., 2012; Windrich et al., 2016)</w:t>
          </w:r>
        </w:sdtContent>
      </w:sdt>
      <w:r>
        <w:rPr/>
        <w:t>.</w:t>
      </w:r>
    </w:p>
    <w:p>
      <w:pPr>
        <w:pStyle w:val="TextoNormal-IPCA"/>
        <w:rPr/>
      </w:pPr>
      <w:r>
        <w:rPr/>
        <w:t xml:space="preserve">A predominância de estudos com amostras reduzidas, curta duração e validação limitada dificulta a comparação entre soluções, a generalização das conclusões e a tradução de melhorias laboratoriais em benefícios consistentes para a vida quotidiana </w:t>
      </w:r>
      <w:sdt>
        <w:sdtPr>
          <w:tag w:val="MENDELEY_CITATION_v3_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
          <w:id w:val="-589931531"/>
          <w:placeholder>
            <w:docPart w:val="DefaultPlaceholder_-1854013440"/>
          </w:placeholder>
        </w:sdtPr>
        <w:sdtContent>
          <w:r>
            <w:rPr/>
          </w:r>
          <w:r>
            <w:rPr>
              <w:rFonts w:eastAsia="Times New Roman"/>
              <w:color w:val="000000"/>
            </w:rPr>
            <w:t>(Hafner &amp; Sawers, 2016; Jones et al., 2023; Samuelsson et al., 2012)</w:t>
          </w:r>
        </w:sdtContent>
      </w:sdt>
    </w:p>
    <w:p>
      <w:pPr>
        <w:pStyle w:val="TextoNormal-IPCA"/>
        <w:rPr/>
      </w:pPr>
      <w:r>
        <w:rPr/>
      </w:r>
    </w:p>
    <w:p>
      <w:pPr>
        <w:pStyle w:val="Heading3"/>
        <w:numPr>
          <w:ilvl w:val="0"/>
          <w:numId w:val="0"/>
        </w:numPr>
        <w:ind w:hanging="0" w:start="0"/>
        <w:rPr/>
      </w:pPr>
      <w:bookmarkStart w:id="80" w:name="_Toc235564963"/>
      <w:r>
        <w:rPr/>
        <w:t>Lacuna 1 — Validação empírica limitada e fraca transposição para contextos reais de utilização</w:t>
      </w:r>
      <w:bookmarkEnd w:id="80"/>
    </w:p>
    <w:p>
      <w:pPr>
        <w:pStyle w:val="TextoNormal-IPCA"/>
        <w:keepNext w:val="true"/>
        <w:rPr/>
      </w:pPr>
      <w:r>
        <w:rPr/>
      </w:r>
    </w:p>
    <w:p>
      <w:pPr>
        <w:pStyle w:val="TextoNormal-IPCA"/>
        <w:rPr/>
      </w:pPr>
      <w:r>
        <w:rPr/>
        <w:t xml:space="preserve">A revisão da literatura assinala repetidamente a ausência de estudos comparativos consistentes e de ensaios clínicos que confrontem dispositivos avançados com soluções convencionalmente prescritas, em particular no caso de próteses ativas e externamente alimentadas. Em vários subdomínios, verifica-se uma dependência significativa de protótipos e amostras reduzidas, que limita as inferências sobre eficácia, segurança e valor clínico. Predominam também avaliações laboratoriais e tarefas pouco representativas, incapazes de captar adequadamente o desempenho em contextos reais de utilização, caracterizados pela diversidade de ambientes, objetos manipulados e exigências funcionais </w:t>
      </w:r>
      <w:sdt>
        <w:sdtPr>
          <w:tag w:val="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"/>
          <w:id w:val="-552010865"/>
          <w:placeholder>
            <w:docPart w:val="DefaultPlaceholder_-1854013440"/>
          </w:placeholder>
        </w:sdtPr>
        <w:sdtContent>
          <w:r>
            <w:rPr/>
          </w:r>
          <w:r>
            <w:rPr>
              <w:color w:val="000000"/>
            </w:rPr>
            <w:t>(Ghillebert et al., 2019; Samuelsson et al., 2012; Windrich et al., 2016)</w:t>
          </w:r>
        </w:sdtContent>
      </w:sdt>
      <w:r>
        <w:rPr/>
        <w:t>.</w:t>
      </w:r>
    </w:p>
    <w:p>
      <w:pPr>
        <w:pStyle w:val="TextoNormal-IPCA"/>
        <w:rPr/>
      </w:pPr>
      <w:r>
        <w:rPr/>
        <w:t xml:space="preserve">Esta lacuna é particularmente relevante, pois a adaptação, a aprendizagem e o eventual abandono de uma prótese decorrem ao longo do tempo e em contextos quotidianos, como o trabalho, a habitação e o espaço público. Quando a evidência disponível assenta em períodos de observação curtos, é difícil compreender as trajetórias de adoção, os padrões de uso e o aparecimento progressivo de problemas de conforto, manutenção ou integração funcional </w:t>
      </w:r>
      <w:sdt>
        <w:sdtPr>
          <w:tag w:val="MENDELEY_CITATION_v3_eyJjaXRhdGlvbklEIjoiTUVOREVMRVlfQ0lUQVRJT05fMDdjMjFiYWYtMGE2Yi00YzU2LWEzMjgtYmYyMTU2MTZkNGJjIiwicHJvcGVydGllcyI6eyJub3RlSW5kZXgiOjB9LCJpc0VkaXRlZCI6ZmFsc2UsIm1hbnVhbE92ZXJyaWRlIjp7ImlzTWFudWFsbHlPdmVycmlkZGVuIjpmYWxzZSwiY2l0ZXByb2NUZXh0IjoiKENoYWR3ZWxsIGV0IGFsLiwgMjAyMDsgU2FtdWVsc3NvbiBldCBhbC4sIDIwMTIpIiwibWFudWFsT3ZlcnJpZGVUZXh0IjoiIn0sImNpdGF0aW9uSXRlbXMiOlt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
          <w:id w:val="41178534"/>
          <w:placeholder>
            <w:docPart w:val="DefaultPlaceholder_-1854013440"/>
          </w:placeholder>
        </w:sdtPr>
        <w:sdtContent>
          <w:r>
            <w:rPr/>
          </w:r>
          <w:r>
            <w:rPr>
              <w:color w:val="000000"/>
            </w:rPr>
            <w:t>(Chadwell et al., 2020; Samuelsson et al., 2012)</w:t>
          </w:r>
        </w:sdtContent>
      </w:sdt>
      <w:r>
        <w:rPr/>
        <w:t>.</w:t>
      </w:r>
    </w:p>
    <w:p>
      <w:pPr>
        <w:pStyle w:val="TextoNormal-IPCA"/>
        <w:rPr/>
      </w:pPr>
      <w:r>
        <w:rPr/>
      </w:r>
    </w:p>
    <w:p>
      <w:pPr>
        <w:pStyle w:val="Heading3"/>
        <w:numPr>
          <w:ilvl w:val="0"/>
          <w:numId w:val="0"/>
        </w:numPr>
        <w:ind w:hanging="0" w:start="0"/>
        <w:rPr/>
      </w:pPr>
      <w:bookmarkStart w:id="81" w:name="_Toc235564964"/>
      <w:r>
        <w:rPr/>
        <w:t>Lacuna 2 — Desalinhamento entre necessidades identificadas, métricas objetivas, e qualidade de vida</w:t>
      </w:r>
      <w:bookmarkEnd w:id="81"/>
    </w:p>
    <w:p>
      <w:pPr>
        <w:pStyle w:val="TextoNormal-IPCA"/>
        <w:keepNext w:val="true"/>
        <w:rPr/>
      </w:pPr>
      <w:r>
        <w:rPr/>
      </w:r>
    </w:p>
    <w:p>
      <w:pPr>
        <w:pStyle w:val="TextoNormal-IPCA"/>
        <w:rPr/>
      </w:pPr>
      <w:r>
        <w:rPr/>
        <w:t xml:space="preserve">Embora incidam em segmentos distintos — </w:t>
      </w:r>
      <w:sdt>
        <w:sdtPr>
          <w:tag w:val="MENDELEY_CITATION_v3_eyJjaXRhdGlvbklEIjoiTUVOREVMRVlfQ0lUQVRJT05fMGQwYWFhOTAtZjQ2OS00NzIzLWJiZDQtOTk0MmQwYjI5NTViIiwicHJvcGVydGllcyI6eyJub3RlSW5kZXgiOjB9LCJpc0VkaXRlZCI6ZmFsc2UsIm1hbnVhbE92ZXJyaWRlIjp7ImlzTWFudWFsbHlPdmVycmlkZGVuIjpmYWxzZSwiY2l0ZXByb2NUZXh0IjoiKENvcmRlbGxhIGV0IGFsLiwgMjAxNi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1dfQ=="/>
          <w:id w:val="241311015"/>
          <w:placeholder>
            <w:docPart w:val="DefaultPlaceholder_-1854013440"/>
          </w:placeholder>
        </w:sdtPr>
        <w:sdtContent>
          <w:r>
            <w:rPr/>
          </w:r>
          <w:r>
            <w:rPr>
              <w:color w:val="000000"/>
            </w:rPr>
            <w:t>(Cordella et al., 2016)</w:t>
          </w:r>
        </w:sdtContent>
      </w:sdt>
      <w:r>
        <w:rPr/>
        <w:t xml:space="preserve"> no membro superior e </w:t>
      </w:r>
      <w:sdt>
        <w:sdtPr>
          <w:tag w:val="MENDELEY_CITATION_v3_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"/>
          <w:id w:val="2111304872"/>
          <w:placeholder>
            <w:docPart w:val="DefaultPlaceholder_-1854013440"/>
          </w:placeholder>
        </w:sdtPr>
        <w:sdtContent>
          <w:r>
            <w:rPr/>
          </w:r>
          <w:r>
            <w:rPr>
              <w:color w:val="000000"/>
            </w:rPr>
            <w:t>(Manz et al., 2022)</w:t>
          </w:r>
        </w:sdtContent>
      </w:sdt>
      <w:r>
        <w:rPr/>
        <w:t>Manz</w:t>
      </w:r>
      <w:r>
        <w:rPr/>
        <w:t xml:space="preserve"> et al. (2022) no membro inferior —, ambas as revisões identificam uma articulação insuficiente entre as necessidades expressas pelos utilizadores, como o conforto, o controlo intuitivo, a aparência e a participação social; os indicadores objetivos habitualmente medidos, incluindo o desempenho em testes funcionais, os parâmetros biomecânicos e as métricas instrumentadas de uso da prótese; e resultados desejáveis como a autonomia e a qualidade de vida. As revisões salientam ainda o carácter contextual e interdependente destas necessidades e observam que as medições laboratoriais nem sempre refletem tarefas relevantes do quotidiano, o que contribui para contradições entre resultados subjetivos e objetivos </w:t>
      </w:r>
      <w:sdt>
        <w:sdtPr>
          <w:tag w:val="MENDELEY_CITATION_v3_eyJjaXRhdGlvbklEIjoiTUVOREVMRVlfQ0lUQVRJT05fZTQxNzY2YzAtMzY5OS00NDE5LWFjZWMtMzdkYzQzZGRiNzZi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
          <w:id w:val="238691105"/>
          <w:placeholder>
            <w:docPart w:val="DefaultPlaceholder_-1854013440"/>
          </w:placeholder>
        </w:sdtPr>
        <w:sdtContent>
          <w:r>
            <w:rPr/>
          </w:r>
          <w:r>
            <w:rPr>
              <w:color w:val="000000"/>
            </w:rPr>
            <w:t>(Cordella et al., 2016; Manz et al., 2022)</w:t>
          </w:r>
        </w:sdtContent>
      </w:sdt>
      <w:r>
        <w:rPr/>
        <w:t>.</w:t>
      </w:r>
    </w:p>
    <w:p>
      <w:pPr>
        <w:pStyle w:val="TextoNormal-IPCA"/>
        <w:rPr/>
      </w:pPr>
      <w:r>
        <w:rPr/>
        <w:t xml:space="preserve">A convergência entre os dois domínios tem implicações diretas no </w:t>
      </w:r>
      <w:r>
        <w:rPr>
          <w:i/>
          <w:iCs/>
        </w:rPr>
        <w:t>design</w:t>
      </w:r>
      <w:r>
        <w:rPr/>
        <w:t xml:space="preserve">. Para orientar as decisões de projeto para benefícios significativos e sustentados, são necessárias métricas ecologicamente válidas e sensíveis às prioridades do utilizador. Melhorias técnicas isoladas podem, por isso, traduzir-se em ganhos limitados na aceitação, na integração funcional ou no uso continuado da prótese </w:t>
      </w:r>
      <w:sdt>
        <w:sdtPr>
          <w:tag w:val="MENDELEY_CITATION_v3_eyJjaXRhdGlvbklEIjoiTUVOREVMRVlfQ0lUQVRJT05fNGVlNmU1MzQtOTI5My00YTdlLThhNzQtMzc3NTk1NmVkZWZjIiwicHJvcGVydGllcyI6eyJub3RlSW5kZXgiOjB9LCJpc0VkaXRlZCI6ZmFsc2UsIm1hbnVhbE92ZXJyaWRlIjp7ImlzTWFudWFsbHlPdmVycmlkZGVuIjpmYWxzZSwiY2l0ZXByb2NUZXh0IjoiKE1hbnogZXQgYWwuLCAyMDIyOyBTYW11ZWxzc29uIGV0IGFsLiwgMjAxMikiLCJtYW51YWxPdmVycmlkZVRleHQiOiIifSwiY2l0YXRpb25JdGVtcyI6W3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LH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1dfQ=="/>
          <w:id w:val="-2083975684"/>
          <w:placeholder>
            <w:docPart w:val="DefaultPlaceholder_-1854013440"/>
          </w:placeholder>
        </w:sdtPr>
        <w:sdtContent>
          <w:r>
            <w:rPr/>
          </w:r>
          <w:r>
            <w:rPr>
              <w:color w:val="000000"/>
            </w:rPr>
            <w:t>(Manz et al., 2022; Samuelsson et al., 2012)</w:t>
          </w:r>
        </w:sdtContent>
      </w:sdt>
      <w:r>
        <w:rPr/>
        <w:t>.</w:t>
      </w:r>
    </w:p>
    <w:p>
      <w:pPr>
        <w:pStyle w:val="TextoNormal-IPCA"/>
        <w:rPr/>
      </w:pPr>
      <w:r>
        <w:rPr/>
      </w:r>
    </w:p>
    <w:p>
      <w:pPr>
        <w:pStyle w:val="Heading3"/>
        <w:numPr>
          <w:ilvl w:val="0"/>
          <w:numId w:val="0"/>
        </w:numPr>
        <w:ind w:hanging="0" w:start="0"/>
        <w:rPr/>
      </w:pPr>
      <w:bookmarkStart w:id="82" w:name="_Toc235564965"/>
      <w:r>
        <w:rPr/>
        <w:t>Lacuna 3 — Persistência de problemas na interface corpo–prótese e no ajuste individualizado</w:t>
      </w:r>
      <w:bookmarkEnd w:id="82"/>
    </w:p>
    <w:p>
      <w:pPr>
        <w:pStyle w:val="TextoNormal-IPCA"/>
        <w:keepNext w:val="true"/>
        <w:rPr/>
      </w:pPr>
      <w:r>
        <w:rPr/>
      </w:r>
    </w:p>
    <w:p>
      <w:pPr>
        <w:pStyle w:val="TextoNormal-IPCA"/>
        <w:rPr/>
      </w:pPr>
      <w:r>
        <w:rPr/>
        <w:t xml:space="preserve">Apesar dos avanços nos componentes técnicos e nos sistemas de controlo, a literatura continua a identificar a interface corpo–prótese como um ponto crítico insuficientemente resolvido. Problemas de ajuste, desconforto, irritação cutânea e dificuldade de adaptação persistem como fatores determinantes de insatisfação e abandono. Nas revisões analisadas, a personalização é frequentemente considerada insuficiente ou metodologicamente frágil. A heterogeneidade das intervenções e o registo incompleto dos processos e resultados dificultam a síntese da evidência </w:t>
      </w:r>
      <w:sdt>
        <w:sdtPr>
          <w:tag w:val="MENDELEY_CITATION_v3_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
          <w:id w:val="1121962477"/>
          <w:placeholder>
            <w:docPart w:val="DefaultPlaceholder_-1854013440"/>
          </w:placeholder>
        </w:sdtPr>
        <w:sdtContent>
          <w:r>
            <w:rPr/>
          </w:r>
          <w:r>
            <w:rPr>
              <w:rFonts w:eastAsia="Times New Roman"/>
              <w:color w:val="000000"/>
            </w:rPr>
            <w:t>(Alluhydan et al., 2023; Baldock et al., 2023; Richardson &amp; Dillon, 2017)</w:t>
          </w:r>
        </w:sdtContent>
      </w:sdt>
      <w:r>
        <w:rPr/>
        <w:t>.</w:t>
      </w:r>
    </w:p>
    <w:p>
      <w:pPr>
        <w:pStyle w:val="TextoNormal-IPCA"/>
        <w:rPr/>
      </w:pPr>
      <w:r>
        <w:rPr/>
        <w:t xml:space="preserve">Na avaliação das próteses do membro superior, a literatura assinala a falta de critérios comuns e de medidas especificamente desenvolvidas para esta população, o que limita a produção de dados objetivos e comparáveis sobre a experiência e o desempenho dos dispositivos </w:t>
      </w:r>
      <w:sdt>
        <w:sdtPr>
          <w:tag w:val="MENDELEY_CITATION_v3_eyJjaXRhdGlvbklEIjoiTUVOREVMRVlfQ0lUQVRJT05fODQ0NDVhNDUtNDg5Ny00NWJhLThjM2EtOTdmMjg1NmI0MTg4IiwicHJvcGVydGllcyI6eyJub3RlSW5kZXgiOjB9LCJpc0VkaXRlZCI6ZmFsc2UsIm1hbnVhbE92ZXJyaWRlIjp7ImlzTWFudWFsbHlPdmVycmlkZGVuIjpmYWxzZSwiY2l0ZXByb2NUZXh0IjoiKENvcmRlbGxhIGV0IGFsLiwgMjAxNjsgSm9uZXMgZXQgYWwuLCAyMDIz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1dfQ=="/>
          <w:id w:val="-1158067263"/>
          <w:placeholder>
            <w:docPart w:val="DefaultPlaceholder_-1854013440"/>
          </w:placeholder>
        </w:sdtPr>
        <w:sdtContent>
          <w:r>
            <w:rPr/>
          </w:r>
          <w:r>
            <w:rPr>
              <w:color w:val="000000"/>
            </w:rPr>
            <w:t>(Cordella et al., 2016; Jones et al., 2023)</w:t>
          </w:r>
        </w:sdtContent>
      </w:sdt>
      <w:r>
        <w:rPr/>
        <w:t xml:space="preserve">. No âmbito do </w:t>
      </w:r>
      <w:r>
        <w:rPr>
          <w:i/>
          <w:iCs/>
        </w:rPr>
        <w:t>design</w:t>
      </w:r>
      <w:r>
        <w:rPr/>
        <w:t xml:space="preserve">, </w:t>
      </w:r>
      <w:sdt>
        <w:sdtPr>
          <w:tag w:val="MENDELEY_CITATION_v3_eyJjaXRhdGlvbklEIjoiTUVOREVMRVlfQ0lUQVRJT05fM2EzYzg0NDItOTQ2ZC00NjBiLTkwNjctYjY1NjgzOWQ1ZjAxIiwicHJvcGVydGllcyI6eyJub3RlSW5kZXgiOjB9LCJpc0VkaXRlZCI6ZmFsc2UsIm1hbnVhbE92ZXJyaWRlIjp7ImlzTWFudWFsbHlPdmVycmlkZGVuIjpmYWxzZSwiY2l0ZXByb2NUZXh0IjoiKENoYWR3ZWxsIGV0IGFsLiwgMjAyMCkiLCJtYW51YWxPdmVycmlkZVRleHQiOiIifSwiY2l0YXRpb25JdGVtcyI6W3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
          <w:id w:val="-1309477115"/>
          <w:placeholder>
            <w:docPart w:val="DefaultPlaceholder_-1854013440"/>
          </w:placeholder>
        </w:sdtPr>
        <w:sdtContent>
          <w:r>
            <w:rPr/>
          </w:r>
          <w:r>
            <w:rPr>
              <w:color w:val="000000"/>
            </w:rPr>
            <w:t>(Chadwell et al., 2020)</w:t>
          </w:r>
        </w:sdtContent>
      </w:sdt>
      <w:r>
        <w:rPr/>
        <w:t xml:space="preserve"> assinalam que continuam a existir poucos dados objetivos sobre os ajustamentos do dispositivo suscetíveis de aumentar a sua utilidade no ambiente quotidiano do utilizador. A monitorização em contexto real pode complementar as avaliações clínicas e contribuir para o desenvolvimento de dispositivos mais ajustados às necessidades individuais. A aplicação de sensores continua, contudo, condicionada pelo custo, pela autonomia limitada das baterias, pela disponibilidade dos equipamentos e pela formação necessária para recolher e interpretar os dados, o que dificulta a adoção desta prática na atividade clínica corrente.</w:t>
      </w:r>
    </w:p>
    <w:p>
      <w:pPr>
        <w:pStyle w:val="TextoNormal-IPCA"/>
        <w:rPr/>
      </w:pPr>
      <w:r>
        <w:rPr/>
      </w:r>
    </w:p>
    <w:p>
      <w:pPr>
        <w:pStyle w:val="Heading3"/>
        <w:numPr>
          <w:ilvl w:val="0"/>
          <w:numId w:val="0"/>
        </w:numPr>
        <w:ind w:hanging="0" w:start="0"/>
        <w:rPr/>
      </w:pPr>
      <w:bookmarkStart w:id="83" w:name="_Toc235564966"/>
      <w:r>
        <w:rPr/>
        <w:t>Lacuna 4 — Evolução limitada das estratégias de controlo e da interacção utilizador–prótese</w:t>
      </w:r>
      <w:bookmarkEnd w:id="83"/>
    </w:p>
    <w:p>
      <w:pPr>
        <w:pStyle w:val="TextoNormal-IPCA"/>
        <w:keepNext w:val="true"/>
        <w:rPr/>
      </w:pPr>
      <w:r>
        <w:rPr/>
      </w:r>
    </w:p>
    <w:p>
      <w:pPr>
        <w:pStyle w:val="TextoNormal-IPCA"/>
        <w:rPr/>
      </w:pPr>
      <w:r>
        <w:rPr/>
        <w:t xml:space="preserve">No caso das próteses do membro superior, algumas revisões apontam para uma evolução limitada das estratégias de controlo em aplicações comerciais, com uma progressão lenta desde as primeiras abordagens desenvolvidas no século XX. Persistem dificuldades relacionadas com a robustez dos sistemas e com a sua transferência de cenários laboratoriais para contextos reais de utilização. Mantêm-se também os desafios associados ao esforço cognitivo, ao tempo de aprendizagem e à inconsistência do desempenho em situações quotidianas </w:t>
      </w:r>
      <w:sdt>
        <w:sdtPr>
          <w:tag w:val="MENDELEY_CITATION_v3_eyJjaXRhdGlvbklEIjoiTUVOREVMRVlfQ0lUQVRJT05fYmZiZTdlYmMtYWNhNS00YTk4LWFjZGUtYTBiNzJlYjA3ZGIwIiwicHJvcGVydGllcyI6eyJub3RlSW5kZXgiOjB9LCJpc0VkaXRlZCI6ZmFsc2UsIm1hbnVhbE92ZXJyaWRlIjp7ImlzTWFudWFsbHlPdmVycmlkZGVuIjpmYWxzZSwiY2l0ZXByb2NUZXh0IjoiKENvcmRlbGxhIGV0IGFsLiwgMjAxNjsgTWFyaW5lbGxpIGV0IGFsLiwgMjAyMy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V19"/>
          <w:id w:val="-493030102"/>
          <w:placeholder>
            <w:docPart w:val="DefaultPlaceholder_-1854013440"/>
          </w:placeholder>
        </w:sdtPr>
        <w:sdtContent>
          <w:r>
            <w:rPr/>
          </w:r>
          <w:r>
            <w:rPr>
              <w:color w:val="000000"/>
            </w:rPr>
            <w:t>(Cordella et al., 2016; Marinelli et al., 2023)</w:t>
          </w:r>
        </w:sdtContent>
      </w:sdt>
      <w:r>
        <w:rPr/>
        <w:t>.</w:t>
      </w:r>
    </w:p>
    <w:p>
      <w:pPr>
        <w:pStyle w:val="TextoNormal-IPCA"/>
        <w:rPr/>
      </w:pPr>
      <w:r>
        <w:rPr/>
        <w:t xml:space="preserve">Esta lacuna não é exclusivamente técnica, pois reflete também uma conceptualização ainda insuficiente da interação utilizador–prótese como sistema integrado, no qual o controlo, a informação sensorial, o treino e o contexto de uso devem ser considerados em conjunto </w:t>
      </w:r>
      <w:sdt>
        <w:sdtPr>
          <w:tag w:val="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"/>
          <w:id w:val="1696260875"/>
          <w:placeholder>
            <w:docPart w:val="DefaultPlaceholder_-1854013440"/>
          </w:placeholder>
        </w:sdtPr>
        <w:sdtContent>
          <w:r>
            <w:rPr/>
          </w:r>
          <w:r>
            <w:rPr>
              <w:color w:val="000000"/>
            </w:rPr>
            <w:t>(Domínguez-Ruiz et al., 2023; Marinelli et al., 2023)</w:t>
          </w:r>
        </w:sdtContent>
      </w:sdt>
      <w:r>
        <w:rPr/>
        <w:t>.</w:t>
      </w:r>
    </w:p>
    <w:p>
      <w:pPr>
        <w:pStyle w:val="TextoNormal-IPCA"/>
        <w:rPr/>
      </w:pPr>
      <w:r>
        <w:rPr/>
      </w:r>
    </w:p>
    <w:p>
      <w:pPr>
        <w:pStyle w:val="Heading3"/>
        <w:numPr>
          <w:ilvl w:val="0"/>
          <w:numId w:val="0"/>
        </w:numPr>
        <w:ind w:hanging="0" w:start="0"/>
        <w:rPr/>
      </w:pPr>
      <w:bookmarkStart w:id="84" w:name="_Toc235564967"/>
      <w:r>
        <w:rPr/>
        <w:t>Lacuna 5 — Acesso, custo, manutenção e ASSIMETRIAS sistémicas</w:t>
      </w:r>
      <w:bookmarkEnd w:id="84"/>
    </w:p>
    <w:p>
      <w:pPr>
        <w:pStyle w:val="TextoNormal-IPCA"/>
        <w:keepNext w:val="true"/>
        <w:rPr/>
      </w:pPr>
      <w:r>
        <w:rPr/>
      </w:r>
    </w:p>
    <w:p>
      <w:pPr>
        <w:pStyle w:val="TextoNormal-IPCA"/>
        <w:rPr/>
      </w:pPr>
      <w:r>
        <w:rPr/>
        <w:t xml:space="preserve">A acessibilidade constitui um constrangimento central e persistente, tanto em contextos de baixos recursos como em sistemas de saúde mais robustos. As revisões identificam barreiras relacionadas com os custos elevados, a necessidade de formação especializada, os atrasos na prestação de cuidados e as pressões sistémicas que obrigam os utilizadores a negociar intensivamente para obter soluções adequadas. Nos contextos de baixos e médios rendimentos, são ainda destacados problemas de durabilidade e manutenção. Existem compromissos claros, uma vez que as soluções biomecanicamente mais sofisticadas podem ser mais frágeis e difíceis de manter, comprometendo a sustentabilidade do uso </w:t>
      </w:r>
      <w:sdt>
        <w:sdtPr>
          <w:tag w:val="MENDELEY_CITATION_v3_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V19"/>
          <w:id w:val="-2126374110"/>
          <w:placeholder>
            <w:docPart w:val="DefaultPlaceholder_-1854013440"/>
          </w:placeholder>
        </w:sdtPr>
        <w:sdtContent>
          <w:r>
            <w:rPr/>
          </w:r>
          <w:r>
            <w:rPr>
              <w:rFonts w:eastAsia="Times New Roman"/>
              <w:color w:val="000000"/>
            </w:rPr>
            <w:t>(Alluhydan et al., 2023; Andrysek, 2010; Baumann &amp; Maria, 2023)</w:t>
          </w:r>
        </w:sdtContent>
      </w:sdt>
      <w:r>
        <w:rPr/>
        <w:t>.</w:t>
      </w:r>
    </w:p>
    <w:p>
      <w:pPr>
        <w:pStyle w:val="TextoNormal-IPCA"/>
        <w:rPr/>
      </w:pPr>
      <w:r>
        <w:rPr/>
        <w:t xml:space="preserve">A inovação pode, assim, agravar as assimetrias de acesso ao criar dependências de infraestrutura, apoio técnico e cadeias de fornecimento indisponíveis para uma parcela significativa da população </w:t>
      </w:r>
      <w:sdt>
        <w:sdtPr>
          <w:tag w:val="MENDELEY_CITATION_v3_eyJjaXRhdGlvbklEIjoiTUVOREVMRVlfQ0lUQVRJT05fN2Y3NTBkMjAtYmQxMi00MTI2LWJmZGEtZWI3MGE4MjIwYjVjIiwicHJvcGVydGllcyI6eyJub3RlSW5kZXgiOjB9LCJpc0VkaXRlZCI6ZmFsc2UsIm1hbnVhbE92ZXJyaWRlIjp7ImlzTWFudWFsbHlPdmVycmlkZGVuIjpmYWxzZSwiY2l0ZXByb2NUZXh0IjoiKEFuZHJ5c2VrLCAyMDEwOyBTZWd1cmEgZXQgYWwuLCAyMDI0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Sx7ImlkIjoiNGVhMWU1MDItNDlkNC0zNjM2LWI4NzUtYjBhNzFiZmQ1MGZlIiwiaXRlbURhdGEiOnsidHlwZSI6ImFydGljbGUiLCJpZCI6IjRlYTFlNTAyLTQ5ZDQtMzYzNi1iODc1LWIwYTcxYmZkNTBmZSIsInRpdGxlIjoiVXBwZXIgTGltYiBQcm9zdGhlc2VzIGJ5IHRoZSBMZXZlbCBvZiBBbXB1dGF0aW9uOiBBIFN5c3RlbWF0aWMgUmV2aWV3IiwiYXV0aG9yIjpbeyJmYW1pbHkiOiJTZWd1cmEiLCJnaXZlbiI6IkRpZWdv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"/>
          <w:id w:val="-1019626505"/>
          <w:placeholder>
            <w:docPart w:val="DefaultPlaceholder_-1854013440"/>
          </w:placeholder>
        </w:sdtPr>
        <w:sdtContent>
          <w:r>
            <w:rPr/>
          </w:r>
          <w:r>
            <w:rPr>
              <w:color w:val="000000"/>
            </w:rPr>
            <w:t>(Andrysek, 2010; Segura et al., 2024)</w:t>
          </w:r>
        </w:sdtContent>
      </w:sdt>
      <w:r>
        <w:rPr/>
        <w:t>.</w:t>
      </w:r>
    </w:p>
    <w:p>
      <w:pPr>
        <w:pStyle w:val="Heading3"/>
        <w:numPr>
          <w:ilvl w:val="0"/>
          <w:numId w:val="0"/>
        </w:numPr>
        <w:ind w:hanging="0" w:start="0"/>
        <w:rPr/>
      </w:pPr>
      <w:bookmarkStart w:id="85" w:name="_Toc235564968"/>
      <w:r>
        <w:rPr/>
        <w:t>Lacuna 6 — Envolvimento do utilizador e registo metodológico insuficiente</w:t>
      </w:r>
      <w:bookmarkEnd w:id="85"/>
    </w:p>
    <w:p>
      <w:pPr>
        <w:pStyle w:val="TextoNormal-IPCA"/>
        <w:keepNext w:val="true"/>
        <w:rPr/>
      </w:pPr>
      <w:r>
        <w:rPr/>
      </w:r>
    </w:p>
    <w:p>
      <w:pPr>
        <w:pStyle w:val="TextoNormal-IPCA"/>
        <w:rPr/>
      </w:pPr>
      <w:r>
        <w:rPr/>
        <w:t>O envolvimento do utilizador continua a constituir uma fragilidade metodológica e ética no desenvolvimento de próteses. As revisões associam os processos pouco ajustados às necessidades individuais dos utilizadores ao abandono dos dispositivos e à dificuldade de responder a prioridades relevantes de uso. Em várias áreas, persiste a ausência de métodos qualitativos sistemáticos para captar a experiência, a aceitação e os fatores de rejeição, mesmo em componentes diretamente relacionados com o conforto, como os revestimentos de interface. Esta limitação reduz a compreensão dos fatores que condicionam a adoção, a continuidade de uso e</w:t>
      </w:r>
      <w:r>
        <w:rPr>
          <w:rFonts w:eastAsia="Times New Roman"/>
        </w:rPr>
        <w:t>(Marinelli et al., 2023; Richardson &amp; Dillon, 2017; Walters et al., 2025)</w:t>
      </w:r>
      <w:sdt>
        <w:sdtPr>
          <w:tag w:val="MENDELEY_CITATION_v3_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"/>
          <w:id w:val="-861821240"/>
          <w:placeholder>
            <w:docPart w:val="DefaultPlaceholder_-1854013440"/>
          </w:placeholder>
        </w:sdtPr>
        <w:sdtContent>
          <w:r>
            <w:rPr>
              <w:rFonts w:eastAsia="Times New Roman"/>
            </w:rPr>
          </w:r>
          <w:r>
            <w:rPr>
              <w:rFonts w:eastAsia="Times New Roman"/>
              <w:color w:val="000000"/>
            </w:rPr>
            <w:t>rdson &amp; Dillon, 2017; Walters et al., 2025)</w:t>
          </w:r>
        </w:sdtContent>
      </w:sdt>
      <w:r>
        <w:rPr/>
        <w:t>.</w:t>
      </w:r>
    </w:p>
    <w:p>
      <w:pPr>
        <w:pStyle w:val="TextoNormal-IPCA"/>
        <w:rPr/>
      </w:pPr>
      <w:r>
        <w:rPr/>
        <w:t xml:space="preserve">A heterogeneidade metodológica e a ausência de critérios comuns de avaliação, nomeadamente escalas partilhadas de utilidade e satisfação, dificultam a síntese dos resultados e a realização de meta-análises. O campo permanece, assim, fragmentado e caracterizado por uma reduzida comparabilidade entre estudos </w:t>
      </w:r>
      <w:sdt>
        <w:sdtPr>
          <w:tag w:val="MENDELEY_CITATION_v3_eyJjaXRhdGlvbklEIjoiTUVOREVMRVlfQ0lUQVRJT05fMWFmMGY1M2UtZGU4NC00OTNhLTllNWQtYWI4MmFmYmIwNzhjIiwicHJvcGVydGllcyI6eyJub3RlSW5kZXgiOjB9LCJpc0VkaXRlZCI6ZmFsc2UsIm1hbnVhbE92ZXJyaWRlIjp7ImlzTWFudWFsbHlPdmVycmlkZGVuIjpmYWxzZSwiY2l0ZXByb2NUZXh0IjoiKENvcmRlbGxhIGV0IGFsLiwgMjAxNjsgSGFmbmVyICYjMzg7IFNhd2VycywgMjAxNjsgUmljaGFyZHNvbiAmIzM4OyBEaWxsb24sIDIwMTc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
          <w:id w:val="960686830"/>
          <w:placeholder>
            <w:docPart w:val="DefaultPlaceholder_-1854013440"/>
          </w:placeholder>
        </w:sdtPr>
        <w:sdtContent>
          <w:r>
            <w:rPr/>
          </w:r>
          <w:r>
            <w:rPr>
              <w:rFonts w:eastAsia="Times New Roman"/>
              <w:color w:val="000000"/>
            </w:rPr>
            <w:t>(Cordella et al., 2016; Hafner &amp; Sawers, 2016; Richardson &amp; Dillon, 2017)</w:t>
          </w:r>
        </w:sdtContent>
      </w:sdt>
      <w:r>
        <w:rPr/>
        <w:t>.</w:t>
      </w:r>
    </w:p>
    <w:p>
      <w:pPr>
        <w:pStyle w:val="TextoNormal-IPCA"/>
        <w:rPr/>
      </w:pPr>
      <w:r>
        <w:rPr/>
      </w:r>
    </w:p>
    <w:p>
      <w:pPr>
        <w:pStyle w:val="Heading3"/>
        <w:numPr>
          <w:ilvl w:val="0"/>
          <w:numId w:val="0"/>
        </w:numPr>
        <w:ind w:hanging="0" w:start="0"/>
        <w:rPr/>
      </w:pPr>
      <w:bookmarkStart w:id="86" w:name="_Toc235564969"/>
      <w:r>
        <w:rPr/>
        <w:t>Implicações para esta investigação</w:t>
      </w:r>
      <w:bookmarkEnd w:id="86"/>
    </w:p>
    <w:p>
      <w:pPr>
        <w:pStyle w:val="TextoNormal-IPCA"/>
        <w:keepNext w:val="true"/>
        <w:rPr/>
      </w:pPr>
      <w:r>
        <w:rPr/>
      </w:r>
    </w:p>
    <w:p>
      <w:pPr>
        <w:pStyle w:val="TextoNormal-IPCA"/>
        <w:rPr/>
      </w:pPr>
      <w:r>
        <w:rPr/>
        <w:t>Consideradas em conjunto, estas lacunas apontam para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w:t>
      </w:r>
      <w:sdt>
        <w:sdtPr>
          <w:tag w:val="MENDELEY_CITATION_v3_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"/>
          <w:id w:val="302354248"/>
          <w:placeholder>
            <w:docPart w:val="DefaultPlaceholder_-1854013440"/>
          </w:placeholder>
        </w:sdtPr>
        <w:sdtContent>
          <w:r>
            <w:rPr/>
          </w:r>
          <w:r>
            <w:rPr>
              <w:rFonts w:eastAsia="Times New Roman"/>
              <w:color w:val="000000"/>
            </w:rPr>
            <w:t>(Anderson et al., 2024; Baumann &amp; Maria, 2023; Chadwell et al., 2020)</w:t>
          </w:r>
        </w:sdtContent>
      </w:sdt>
    </w:p>
    <w:p>
      <w:pPr>
        <w:pStyle w:val="TextoNormal-IPCA"/>
        <w:rPr/>
      </w:pPr>
      <w:r>
        <w:rPr/>
        <w:t>Estas necessidades excedem, contudo, a evidência que uma prova de conceito técnica pode produzir. A presente investigação adota como unidade de análise o encadeamento entre dados, parâmetros, geometria, interface e materialização preliminar. Não procura, portanto, resolver integralmente as seis lacunas identificadas, mas examinar mecanismos de projeto e condições de verificabilidade capazes de apoiar etapas posteriores de avaliação clínica, funcional e participativa. A Tabela 3 explicita esta delimitação e estabelece o quadro retomado na discussão dos resultados.</w:t>
      </w:r>
    </w:p>
    <w:p>
      <w:pPr>
        <w:pStyle w:val="TextoNormal-IPCA"/>
        <w:keepNext w:val="true"/>
        <w:rPr/>
      </w:pPr>
      <w:r>
        <w:rPr/>
      </w:r>
    </w:p>
    <w:p>
      <w:pPr>
        <w:pStyle w:val="Caption"/>
        <w:rPr/>
      </w:pPr>
      <w:bookmarkStart w:id="87" w:name="_Toc235562527"/>
      <w:r>
        <w:rPr/>
        <w:t xml:space="preserve">Tabela </w:t>
      </w:r>
      <w:r>
        <w:rPr/>
        <w:fldChar w:fldCharType="begin"/>
      </w:r>
      <w:r>
        <w:rPr/>
        <w:instrText xml:space="preserve"> SEQ Tabela \* ARABIC </w:instrText>
      </w:r>
      <w:r>
        <w:rPr/>
        <w:fldChar w:fldCharType="separate"/>
      </w:r>
      <w:r>
        <w:rPr/>
        <w:t>3</w:t>
      </w:r>
      <w:r>
        <w:rPr/>
        <w:fldChar w:fldCharType="end"/>
      </w:r>
      <w:r>
        <w:rPr/>
        <w:t xml:space="preserve"> — Correspondência entre lacunas do estado da arte, resposta da investigação e limites de avaliação</w:t>
      </w:r>
      <w:bookmarkEnd w:id="87"/>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Requisito selecionado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Validação empírica limitada e fraca transposição para contextos reais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Desalinhamento entre necessidades, métricas objetivas e qualidade de vida, identificado em revisões dos membros superior e inferior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Distinguir mecanismos de projeto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Problemas persistentes na interface corpo–prótese e no ajuste individualizado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Evolução limitada do controlo e da interação utilizador–prótese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Barreiras de acesso, custo, manutenção e contexto de serviço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 xml:space="preserve">Explorar uma arquitetura configurável baseada em tecnologias </w:t>
            </w:r>
            <w:r>
              <w:rPr>
                <w:i/>
                <w:iCs/>
                <w:sz w:val="20"/>
                <w:szCs w:val="20"/>
              </w:rPr>
              <w:t>web</w:t>
            </w:r>
            <w:r>
              <w:rPr>
                <w:sz w:val="20"/>
                <w:szCs w:val="20"/>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Envolvimento do utilizador e registo metodológico insuficiente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 xml:space="preserve">Ciclos de </w:t>
            </w:r>
            <w:r>
              <w:rPr>
                <w:i/>
                <w:iCs/>
                <w:sz w:val="20"/>
                <w:szCs w:val="20"/>
              </w:rPr>
              <w:t>Research Through Design</w:t>
            </w:r>
            <w:r>
              <w:rPr>
                <w:sz w:val="20"/>
                <w:szCs w:val="20"/>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i/>
                <w:iCs/>
                <w:sz w:val="20"/>
                <w:szCs w:val="20"/>
              </w:rPr>
              <w:t>Co-design</w:t>
            </w:r>
            <w:r>
              <w:rPr>
                <w:sz w:val="20"/>
                <w:szCs w:val="20"/>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bookmarkStart w:id="88" w:name="_Toc235564970"/>
      <w:r>
        <w:rPr/>
        <w:t>Capítulo 3 — Metodologia de Investigação</w:t>
      </w:r>
      <w:bookmarkEnd w:id="88"/>
    </w:p>
    <w:p>
      <w:pPr>
        <w:pStyle w:val="TextoNormal-IPCA"/>
        <w:keepNext w:val="true"/>
        <w:rPr/>
      </w:pPr>
      <w:r>
        <w:rPr/>
      </w:r>
    </w:p>
    <w:p>
      <w:pPr>
        <w:pStyle w:val="Heading2"/>
        <w:numPr>
          <w:ilvl w:val="0"/>
          <w:numId w:val="0"/>
        </w:numPr>
        <w:ind w:hanging="0" w:start="0"/>
        <w:rPr/>
      </w:pPr>
      <w:bookmarkStart w:id="89" w:name="_Toc235564971"/>
      <w:r>
        <w:rPr/>
        <w:t xml:space="preserve">3.1 Enquadramento metodológico e abordagem </w:t>
      </w:r>
      <w:r>
        <w:rPr>
          <w:i/>
          <w:iCs/>
        </w:rPr>
        <w:t>Research Through Design</w:t>
      </w:r>
      <w:bookmarkEnd w:id="89"/>
    </w:p>
    <w:p>
      <w:pPr>
        <w:pStyle w:val="TextoNormal-IPCA"/>
        <w:keepNext w:val="true"/>
        <w:rPr/>
      </w:pPr>
      <w:r>
        <w:rPr/>
      </w:r>
    </w:p>
    <w:p>
      <w:pPr>
        <w:pStyle w:val="TextoNormal-IPCA"/>
        <w:rPr/>
      </w:pPr>
      <w:r>
        <w:rPr/>
        <w:t xml:space="preserve">A presente investigação, de natureza aplicada, segue o enquadramento de </w:t>
      </w:r>
      <w:r>
        <w:rPr>
          <w:i/>
          <w:iCs/>
        </w:rPr>
        <w:t>Research Through Design</w:t>
      </w:r>
      <w:r>
        <w:rPr/>
        <w:t xml:space="preserve"> (RTD). Nesta abordagem, a conceção, a experimentação, a prototipagem e a reflexão crítica são atividades de investigação através das quais o artefacto permite formular e examinar conhecimento de projeto </w:t>
      </w:r>
      <w:sdt>
        <w:sdtPr>
          <w:tag w:val="MENDELEY_CITATION_v3_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"/>
          <w:id w:val="-1322274247"/>
          <w:placeholder>
            <w:docPart w:val="DefaultPlaceholder_-1854013440"/>
          </w:placeholder>
        </w:sdtPr>
        <w:sdtContent>
          <w:r>
            <w:rPr/>
          </w:r>
          <w:r>
            <w:rPr>
              <w:color w:val="000000"/>
            </w:rPr>
            <w:t>(Frayling, 1994; Showcase et al., 2007)</w:t>
          </w:r>
        </w:sdtContent>
      </w:sdt>
      <w:r>
        <w:rPr/>
        <w:t xml:space="preserve">. O artefacto central consiste num protótipo de investigação: uma plataforma </w:t>
      </w:r>
      <w:r>
        <w:rPr>
          <w:i/>
          <w:iCs/>
        </w:rPr>
        <w:t>web</w:t>
      </w:r>
      <w:r>
        <w:rPr/>
        <w:t xml:space="preserve"> que articula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identificados durante a construção. A integração de modelos </w:t>
      </w:r>
      <w:r>
        <w:rPr>
          <w:i/>
          <w:iCs/>
        </w:rPr>
        <w:t>open source</w:t>
      </w:r>
      <w:r>
        <w:rPr/>
        <w:t xml:space="preserve"> mostrou que cada família assenta em pressupostos dimensionais próprios. Os ensaios de ponta a ponta revelaram falhas que a inspeção isolada dos valores não permitia detetar, enquanto a impressão tornou evidentes condicionantes de orientação, escala, separação de peças e preparação. Estes resultados serviram para reformular o sistema e submetê-lo a novo exame. O RTD concretiza-se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Estrutura a abertura e a convergência dos ciclos, enquanto o RTD enquadra a produção de conhecimento através deles </w:t>
      </w:r>
      <w:sdt>
        <w:sdtPr>
          <w:tag w:val="MENDELEY_CITATION_v3_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"/>
          <w:id w:val="-475762567"/>
          <w:placeholder>
            <w:docPart w:val="DefaultPlaceholder_-1854013440"/>
          </w:placeholder>
        </w:sdtPr>
        <w:sdtContent>
          <w:r>
            <w:rPr/>
          </w:r>
          <w:r>
            <w:rPr>
              <w:color w:val="000000"/>
            </w:rPr>
            <w:t>(The Design Council, 2007)</w:t>
          </w:r>
        </w:sdtContent>
      </w:sdt>
      <w:r>
        <w:rPr/>
        <w:t xml:space="preserve">. A Tabela </w:t>
      </w:r>
      <w:r>
        <w:rPr/>
        <w:t>4 apresenta as iterações técnicas mais relevantes para o argumento da investigação.</w:t>
      </w:r>
    </w:p>
    <w:p>
      <w:pPr>
        <w:pStyle w:val="TextoNormal-IPCA"/>
        <w:keepNext w:val="true"/>
        <w:rPr/>
      </w:pPr>
      <w:r>
        <w:rPr/>
      </w:r>
    </w:p>
    <w:p>
      <w:pPr>
        <w:pStyle w:val="Caption"/>
        <w:keepNext w:val="true"/>
        <w:rPr/>
      </w:pPr>
      <w:bookmarkStart w:id="90" w:name="_TocRTDTable4"/>
      <w:r>
        <w:rPr/>
        <w:t xml:space="preserve">Tabela </w:t>
      </w:r>
      <w:r>
        <w:rPr/>
        <w:fldChar w:fldCharType="begin"/>
      </w:r>
      <w:r>
        <w:rPr/>
        <w:instrText xml:space="preserve"> SEQ Tabela \* ARABIC </w:instrText>
      </w:r>
      <w:r>
        <w:rPr/>
        <w:fldChar w:fldCharType="separate"/>
      </w:r>
      <w:r>
        <w:rPr/>
        <w:t>4</w:t>
      </w:r>
      <w:r>
        <w:rPr/>
        <w:fldChar w:fldCharType="end"/>
      </w:r>
      <w:r>
        <w:rPr/>
        <w:t xml:space="preserve"> — Ciclos de </w:t>
      </w:r>
      <w:r>
        <w:rPr>
          <w:i/>
          <w:iCs/>
        </w:rPr>
        <w:t>Research Through Design</w:t>
      </w:r>
      <w:r>
        <w:rPr/>
        <w:t xml:space="preserve"> documentados no desenvolvimento</w:t>
      </w:r>
      <w:bookmarkEnd w:id="90"/>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Seleção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Exportação 3MF com unidade em milímetros e materiais derivados das cores</w:t>
            </w:r>
          </w:p>
        </w:tc>
      </w:tr>
    </w:tbl>
    <w:p>
      <w:pPr>
        <w:pStyle w:val="TextoNormal-IPCA"/>
        <w:rPr/>
      </w:pPr>
      <w:r>
        <w:rPr/>
      </w:r>
    </w:p>
    <w:p>
      <w:pPr>
        <w:pStyle w:val="TextoNormal-IPCA"/>
        <w:rPr/>
      </w:pPr>
      <w:r>
        <w:rPr/>
        <w:t xml:space="preserve">A Figura 10 apresenta um precedente interdisciplinar que inclui avaliação clínica e participação de utilizadores. Neste estudo, serve de referência para um processo futuro mais amplo, uma vez que essas atividades clínicas e participativas não foram realizadas na presente investigação </w:t>
      </w:r>
      <w:sdt>
        <w:sdtPr>
          <w:tag w:val="MENDELEY_CITATION_v3_eyJjaXRhdGlvbklEIjoiTUVOREVMRVlfQ0lUQVRJT05fYzcxNjNlZTQtNzVhMi00MWY2LTg3N2ItOGI4NmVhNWUyOThi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1646936349"/>
          <w:placeholder>
            <w:docPart w:val="DefaultPlaceholder_-1854013440"/>
          </w:placeholder>
        </w:sdtPr>
        <w:sdtContent>
          <w:r>
            <w:rPr/>
          </w:r>
          <w:r>
            <w:rPr>
              <w:color w:val="000000"/>
            </w:rPr>
            <w:t>(L. A. da Silva et al., 2018)</w:t>
          </w:r>
        </w:sdtContent>
      </w:sdt>
      <w:r>
        <w:rPr/>
        <w:t>.</w:t>
      </w:r>
    </w:p>
    <w:p>
      <w:pPr>
        <w:pStyle w:val="TextoNormal-IPCA"/>
        <w:keepNext w:val="true"/>
        <w:rPr/>
      </w:pPr>
      <w:r>
        <w:rPr/>
      </w:r>
    </w:p>
    <w:p>
      <w:pPr>
        <w:pStyle w:val="Normal"/>
        <w:keepNext w:val="true"/>
        <w:jc w:val="center"/>
        <w:rPr/>
      </w:pPr>
      <w:r>
        <w:rPr/>
        <w:drawing>
          <wp:inline distT="0" distB="0" distL="0" distR="0">
            <wp:extent cx="5579745" cy="2129790"/>
            <wp:effectExtent l="0" t="0" r="0" b="0"/>
            <wp:docPr id="28"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44" descr="Image 10"/>
                    <pic:cNvPicPr>
                      <a:picLocks noChangeAspect="1" noChangeArrowheads="1"/>
                    </pic:cNvPicPr>
                  </pic:nvPicPr>
                  <pic:blipFill>
                    <a:blip r:embed="rId69"/>
                    <a:stretch>
                      <a:fillRect/>
                    </a:stretch>
                  </pic:blipFill>
                  <pic:spPr bwMode="auto">
                    <a:xfrm>
                      <a:off x="0" y="0"/>
                      <a:ext cx="5579745" cy="2129790"/>
                    </a:xfrm>
                    <a:prstGeom prst="rect">
                      <a:avLst/>
                    </a:prstGeom>
                    <a:noFill/>
                  </pic:spPr>
                </pic:pic>
              </a:graphicData>
            </a:graphic>
          </wp:inline>
        </w:drawing>
      </w:r>
    </w:p>
    <w:p>
      <w:pPr>
        <w:pStyle w:val="Caption"/>
        <w:rPr/>
      </w:pPr>
      <w:bookmarkStart w:id="91" w:name="_Toc235562504"/>
      <w:r>
        <w:rPr/>
        <w:t xml:space="preserve">Figura </w:t>
      </w:r>
      <w:r>
        <w:rPr/>
        <w:fldChar w:fldCharType="begin"/>
      </w:r>
      <w:r>
        <w:rPr/>
        <w:instrText xml:space="preserve"> SEQ Figura \* ARABIC </w:instrText>
      </w:r>
      <w:r>
        <w:rPr/>
        <w:fldChar w:fldCharType="separate"/>
      </w:r>
      <w:r>
        <w:rPr/>
        <w:t>10</w:t>
      </w:r>
      <w:r>
        <w:rPr/>
        <w:fldChar w:fldCharType="end"/>
      </w:r>
      <w:r>
        <w:rPr/>
        <w:t xml:space="preserve"> — Processo interdisciplinar de desenvolvimento de uma prótese de membro superior impressa em 3D.</w:t>
      </w:r>
      <w:bookmarkEnd w:id="91"/>
    </w:p>
    <w:p>
      <w:pPr>
        <w:pStyle w:val="Nota-IPCA"/>
        <w:rPr>
          <w:lang w:val="pt-PT"/>
        </w:rPr>
      </w:pPr>
      <w:r>
        <w:rPr>
          <w:lang w:val="pt-PT"/>
        </w:rPr>
        <w:t>Adaptado de</w:t>
      </w:r>
      <w:sdt>
        <w:sdtPr>
          <w:tag w:val="MENDELEY_CITATION_v3_eyJjaXRhdGlvbklEIjoiTUVOREVMRVlfQ0lUQVRJT05fOWU4MTQwYTctYmNhZC00YWNhLWFiZjUtMjE0YmFmZmEyM2Ez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1217086662"/>
          <w:placeholder>
            <w:docPart w:val="DefaultPlaceholder_-1854013440"/>
          </w:placeholder>
        </w:sdtPr>
        <w:sdtContent>
          <w:r>
            <w:rPr>
              <w:lang w:val="pt-PT"/>
            </w:rPr>
          </w:r>
          <w:r>
            <w:rPr>
              <w:rFonts w:cs="Arial"/>
              <w:color w:val="000000"/>
              <w:lang w:val="pt-PT"/>
            </w:rPr>
            <w:t>(L. A. da Silva et al., 2018)</w:t>
          </w:r>
        </w:sdtContent>
      </w:sdt>
      <w:r>
        <w:rPr>
          <w:lang w:val="pt-PT"/>
        </w:rPr>
        <w:t xml:space="preserve">. </w:t>
      </w:r>
      <w:r>
        <w:rPr>
          <w:lang w:val="en-US"/>
        </w:rPr>
        <w:t xml:space="preserve">Interdisciplinary-based development of user-friendly customized 3D printed upper limb prosthesis. </w:t>
      </w:r>
      <w:r>
        <w:rPr>
          <w:lang w:val="pt-PT"/>
        </w:rPr>
        <w:t>Comunicação em conferência.</w:t>
      </w:r>
    </w:p>
    <w:p>
      <w:pPr>
        <w:pStyle w:val="Nota-IPCA"/>
        <w:rPr>
          <w:lang w:val="pt-PT"/>
        </w:rPr>
      </w:pPr>
      <w:r>
        <w:rPr>
          <w:lang w:val="pt-PT"/>
        </w:rPr>
      </w:r>
    </w:p>
    <w:p>
      <w:pPr>
        <w:pStyle w:val="Heading3"/>
        <w:numPr>
          <w:ilvl w:val="0"/>
          <w:numId w:val="0"/>
        </w:numPr>
        <w:ind w:hanging="0" w:start="0"/>
        <w:rPr/>
      </w:pPr>
      <w:bookmarkStart w:id="92" w:name="_Toc235564972"/>
      <w:r>
        <w:rPr/>
        <w:t xml:space="preserve">3.2 O </w:t>
      </w:r>
      <w:r>
        <w:rPr>
          <w:i/>
          <w:iCs/>
        </w:rPr>
        <w:t>design</w:t>
      </w:r>
      <w:r>
        <w:rPr/>
        <w:t xml:space="preserve"> industrial como prática de investigação</w:t>
      </w:r>
      <w:bookmarkEnd w:id="92"/>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mediante a explicitação e o ensaio das traduções entre fontes antropométricas, parâmetros editáveis, regras geométricas, estados da interface e peças fabricadas. Esta opção relaciona-se com os </w:t>
      </w:r>
      <w:r>
        <w:rPr>
          <w:i/>
          <w:iCs/>
        </w:rPr>
        <w:t>designerly ways of knowing</w:t>
      </w:r>
      <w:r>
        <w:rPr/>
        <w:t xml:space="preserve">, que reconhecem a experimentação material e a formulação do projeto como modos de produção de conhecimento </w:t>
      </w:r>
      <w:sdt>
        <w:sdtPr>
          <w:tag w:val="MENDELEY_CITATION_v3_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"/>
          <w:id w:val="456836565"/>
          <w:placeholder>
            <w:docPart w:val="DefaultPlaceholder_-1854013440"/>
          </w:placeholder>
        </w:sdtPr>
        <w:sdtContent>
          <w:r>
            <w:rPr/>
          </w:r>
          <w:r>
            <w:rPr>
              <w:color w:val="000000"/>
            </w:rPr>
            <w:t>(Cross, 1982)</w:t>
          </w:r>
        </w:sdtContent>
      </w:sdt>
      <w:r>
        <w:rPr/>
        <w:t>. A unidade de análise é a cadeia de decisões e transformações do protótipo, não a experiência de uma pessoa utilizadora.</w:t>
      </w:r>
    </w:p>
    <w:p>
      <w:pPr>
        <w:pStyle w:val="TextoNormal-IPCA"/>
        <w:rPr/>
      </w:pPr>
      <w:r>
        <w:rPr/>
        <w:t>O contributo é examinado através da capacidade de localizar a origem de cada valor, observar a sua propagação e documentar falhas e alterações. Não foram avaliados o desempenho clínico nem os efeitos na experiência de pessoas amputadas; neste estudo, a dimensão humana constitui um requisito e um limite ético fundamentado na literatura.</w:t>
      </w:r>
    </w:p>
    <w:p>
      <w:pPr>
        <w:pStyle w:val="TextoNormal-IPCA"/>
        <w:rPr/>
      </w:pPr>
      <w:r>
        <w:rPr/>
        <w:t xml:space="preserve">A hipótese principal sustenta que a integração do </w:t>
      </w:r>
      <w:r>
        <w:rPr>
          <w:i/>
          <w:iCs/>
        </w:rPr>
        <w:t>design</w:t>
      </w:r>
      <w:r>
        <w:rPr/>
        <w:t xml:space="preserve"> paramétrico com ferramentas de inteligência artificial permite desenvolver próteses mais adequadas às necessidades anatómicas e funcionais dos utilizadores e tornar o processo de personalização mais acessível e escalável, sobretudo em contextos economicamente desfavorecidos. As hipóteses secundárias aprofundam esta perspetiva ao sugerirem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reduzindo simultaneamente a dependência de especialistas.</w:t>
      </w:r>
    </w:p>
    <w:p>
      <w:pPr>
        <w:pStyle w:val="TextoNormal-IPCA"/>
        <w:rPr/>
      </w:pPr>
      <w:r>
        <w:rPr/>
        <w:t>Estas formulações correspondem às hipóteses aprovadas para o projeto e mantêm-se como orientação geral da investigação. A componente empírica não incluiu participantes, comparação com um processo de referência, implantação em contextos economicamente desfavorecidos ou medição do conforto, da usabilidade e da aceitação. Por esse motivo, as hipóteses não são consideradas integralmente confirmadas nem rejeitadas. O estudo examina o seu suporte ao nível dos mecanismos de projeto: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bookmarkStart w:id="93" w:name="_Toc235564973"/>
      <w:r>
        <w:rPr/>
        <w:t>3.3 Estrutura metodológica do projeto</w:t>
      </w:r>
      <w:bookmarkEnd w:id="93"/>
    </w:p>
    <w:p>
      <w:pPr>
        <w:pStyle w:val="TextoNormal-IPCA"/>
        <w:keepNext w:val="true"/>
        <w:rPr/>
      </w:pPr>
      <w:r>
        <w:rPr/>
      </w:r>
    </w:p>
    <w:p>
      <w:pPr>
        <w:pStyle w:val="TextoNormal-IPCA"/>
        <w:rPr/>
      </w:pPr>
      <w:r>
        <w:rPr/>
        <w:t xml:space="preserve">A metodologia aprovada compreende três fases interligadas — conceptual, metodológica e empírica —, articuladas por ciclos de divergência e convergência do </w:t>
      </w:r>
      <w:r>
        <w:rPr>
          <w:i/>
          <w:iCs/>
        </w:rPr>
        <w:t>Double Diamond</w:t>
      </w:r>
      <w:r>
        <w:rPr/>
        <w:t xml:space="preserve">. A fase conceptual abrange a revisão crítica da literatura, a análise de soluções </w:t>
      </w:r>
      <w:r>
        <w:rPr>
          <w:i/>
          <w:iCs/>
        </w:rPr>
        <w:t>open source</w:t>
      </w:r>
      <w:r>
        <w:rPr/>
        <w:t xml:space="preserve"> e a definição dos requisitos. Na fase metodológica, estrutura-se a base antropométrica, integram-se os modelos OpenSCAD e implementam-se a plataforma e o módulo de IA. A fase empírica recorre a cenários simulados, registos de execução, malhas exportadas, perfis de preparação para impressão e protótipos físicos. Os resultados de cada fase são reintegrados no desenvolvimento através dos ciclos de </w:t>
      </w:r>
      <w:r>
        <w:rPr>
          <w:i/>
          <w:iCs/>
        </w:rPr>
        <w:t>Research Through Design</w:t>
      </w:r>
      <w:r>
        <w:rPr/>
        <w:t xml:space="preserve"> apresentados na Tabela 4. As verificações complementares documentadas nos Anexos B e D aprofundam a fase empírica sem alterar o desenho metodológico aprovado.</w:t>
      </w:r>
    </w:p>
    <w:p>
      <w:pPr>
        <w:pStyle w:val="TextoNormal-IPCA"/>
        <w:keepNext w:val="true"/>
        <w:rPr/>
      </w:pPr>
      <w:r>
        <w:rPr/>
      </w:r>
    </w:p>
    <w:p>
      <w:pPr>
        <w:pStyle w:val="Caption"/>
        <w:rPr/>
      </w:pPr>
      <w:bookmarkStart w:id="94" w:name="_Toc235562528"/>
      <w:r>
        <w:rPr/>
        <w:t xml:space="preserve">Tabela </w:t>
      </w:r>
      <w:r>
        <w:rPr/>
        <w:fldChar w:fldCharType="begin"/>
      </w:r>
      <w:r>
        <w:rPr/>
        <w:instrText xml:space="preserve"> SEQ Tabela \* ARABIC </w:instrText>
      </w:r>
      <w:r>
        <w:rPr/>
        <w:fldChar w:fldCharType="separate"/>
      </w:r>
      <w:r>
        <w:rPr/>
        <w:t>5</w:t>
      </w:r>
      <w:r>
        <w:rPr/>
        <w:fldChar w:fldCharType="end"/>
      </w:r>
      <w:r>
        <w:rPr/>
        <w:t xml:space="preserve"> — Correspondência entre perguntas, atividades, evidência e limites</w:t>
      </w:r>
      <w:bookmarkEnd w:id="94"/>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Atividades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Personalização, conforto, adequação funcional, acessibilidade e controlo sobre o projeto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Regras documentadas, respostas JSON, malhas, correções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RTD, ensaios unitários, cenários de ponta a ponta, inspeção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Registo das iterações, dez testes unitários aprovados, quatro projetos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Revisão da literatura, seleção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Decisões de projeto,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Aceitação, dignidade, autonomia quotidiana e avaliação situada dos significados estéticos e simbólicos</w:t>
            </w:r>
          </w:p>
        </w:tc>
      </w:tr>
    </w:tbl>
    <w:p>
      <w:pPr>
        <w:pStyle w:val="TextoNormal-IPCA"/>
        <w:rPr/>
      </w:pPr>
      <w:r>
        <w:rPr/>
      </w:r>
    </w:p>
    <w:p>
      <w:pPr>
        <w:pStyle w:val="TextoNormal-IPCA"/>
        <w:rPr/>
      </w:pPr>
      <w:r>
        <w:rPr/>
        <w:t>Foram selecionados para comparação o Flexy Beast, o Paraglider Hand e a UnLimbited Phoenix, por constituírem, no momento dos ensaios principais, os três modelos ativos com conjuntos de peças exportáveis e representarem estratégias distintas de transformação: escala inicial com proporções digitais, escala herdada com correções localizadas e escala global limitada por um valor mínimo. O Cyborg Beast foi integrado posteriormente, permanecendo, por isso, como evolução do projeto documentada no Anexo C, sem ter sido acrescentado retroativamente às séries comparativas.</w:t>
      </w:r>
    </w:p>
    <w:p>
      <w:pPr>
        <w:pStyle w:val="TextoNormal-IPCA"/>
        <w:rPr/>
      </w:pPr>
      <w:r>
        <w:rPr/>
        <w:t xml:space="preserve">Os quatro perfis de ensaio — </w:t>
      </w:r>
      <w:r>
        <w:rPr>
          <w:rFonts w:ascii="Consolas" w:hAnsi="Consolas"/>
        </w:rPr>
        <w:t>child_8</w:t>
      </w:r>
      <w:r>
        <w:rPr/>
        <w:t xml:space="preserve">, </w:t>
      </w:r>
      <w:r>
        <w:rPr>
          <w:rFonts w:ascii="Consolas" w:hAnsi="Consolas"/>
        </w:rPr>
        <w:t>teen_15</w:t>
      </w:r>
      <w:r>
        <w:rPr/>
        <w:t xml:space="preserve">, </w:t>
      </w:r>
      <w:r>
        <w:rPr>
          <w:rFonts w:ascii="Consolas" w:hAnsi="Consolas"/>
        </w:rPr>
        <w:t>adult_28</w:t>
      </w:r>
      <w:r>
        <w:rPr/>
        <w:t xml:space="preserve"> e </w:t>
      </w:r>
      <w:r>
        <w:rPr>
          <w:rFonts w:ascii="Consolas" w:hAnsi="Consolas"/>
        </w:rPr>
        <w:t>elderly_70</w:t>
      </w:r>
      <w:r>
        <w:rPr/>
        <w:t xml:space="preserve"> — foram escolhidos por abrangerem conjuntos dimensionais diferentes: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nem sustentam inferências sobre crescimento ou envelhecimento.</w:t>
      </w:r>
    </w:p>
    <w:p>
      <w:pPr>
        <w:pStyle w:val="TextoNormal-IPCA"/>
        <w:rPr/>
      </w:pPr>
      <w:r>
        <w:rPr/>
        <w:t>Os estados examinados são identificados pela atividade correspondente. Os ensaios iniciais de correspondência e geometria incidiram no estado usado nos ensaios principais, enquanto as séries complementares da plataforma do Anexo B foram executadas num estado posterior e a descrição técnica considera o estado final examinado. A preparação para fabrico do Anexo D incidiu nos projetos de preparação digital para impressão 3D com configuração analisada, identificando autonomamente as versões dos programas usados. Esta separação impede que o estado atual do protótipo seja apresentado como correspondendo exatamente ao estado de todas as execuções preservadas.</w:t>
      </w:r>
    </w:p>
    <w:p>
      <w:pPr>
        <w:pStyle w:val="TextoNormal-IPCA"/>
        <w:keepNext w:val="true"/>
        <w:rPr/>
      </w:pPr>
      <w:r>
        <w:rPr/>
      </w:r>
    </w:p>
    <w:p>
      <w:pPr>
        <w:pStyle w:val="Caption"/>
        <w:rPr/>
      </w:pPr>
      <w:bookmarkStart w:id="95" w:name="_Toc235562529"/>
      <w:r>
        <w:rPr/>
        <w:t xml:space="preserve">Tabela </w:t>
      </w:r>
      <w:r>
        <w:rPr/>
        <w:fldChar w:fldCharType="begin"/>
      </w:r>
      <w:r>
        <w:rPr/>
        <w:instrText xml:space="preserve"> SEQ Tabela \* ARABIC </w:instrText>
      </w:r>
      <w:r>
        <w:rPr/>
        <w:fldChar w:fldCharType="separate"/>
      </w:r>
      <w:r>
        <w:rPr/>
        <w:t>6</w:t>
      </w:r>
      <w:r>
        <w:rPr/>
        <w:fldChar w:fldCharType="end"/>
      </w:r>
      <w:r>
        <w:rPr/>
        <w:t xml:space="preserve"> — Métodos, unidades de análise, critérios e localização dos resultados</w:t>
      </w:r>
      <w:bookmarkEnd w:id="95"/>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Método ou atividade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lang w:val="en-US"/>
              </w:rPr>
            </w:pPr>
            <w:r>
              <w:rPr>
                <w:rFonts w:eastAsia="Calibri"/>
                <w:sz w:val="20"/>
                <w:szCs w:val="20"/>
                <w:lang w:val="en-US"/>
              </w:rPr>
              <w:t xml:space="preserve">Ciclo de </w:t>
            </w:r>
            <w:r>
              <w:rPr>
                <w:rFonts w:eastAsia="Calibri"/>
                <w:i/>
                <w:iCs/>
                <w:sz w:val="20"/>
                <w:szCs w:val="20"/>
                <w:lang w:val="en-US"/>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Existência de uma relação explícita entre observação e decisão de projeto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Tabelas 5 e 6</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Subcapítulo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Inspeção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 xml:space="preserve">Análise 3MF, </w:t>
            </w:r>
            <w:r>
              <w:rPr>
                <w:rFonts w:eastAsia="Calibri" w:ascii="Consolas" w:hAnsi="Consolas"/>
                <w:sz w:val="20"/>
                <w:szCs w:val="20"/>
              </w:rPr>
              <w:t>trimesh</w:t>
            </w:r>
            <w:r>
              <w:rPr>
                <w:rFonts w:eastAsia="Calibri"/>
                <w:sz w:val="20"/>
                <w:szCs w:val="20"/>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Subcapítulo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Série A — projetos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Projeto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Quatro projetos,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Geração de trajetórias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4/4 projetos processados; valores não comparáveis diretamente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Trajetórias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está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descreve o conteúdo de cada conjunto, enquanto o ficheiro manifesto_ficheiros.csv relaciona cada elemento com a respetiva origem e função.</w:t>
      </w:r>
    </w:p>
    <w:p>
      <w:pPr>
        <w:pStyle w:val="TextoNormal-IPCA"/>
        <w:rPr/>
      </w:pPr>
      <w:r>
        <w:rPr/>
      </w:r>
    </w:p>
    <w:p>
      <w:pPr>
        <w:pStyle w:val="Heading3"/>
        <w:numPr>
          <w:ilvl w:val="0"/>
          <w:numId w:val="0"/>
        </w:numPr>
        <w:ind w:hanging="0" w:start="0"/>
        <w:rPr/>
      </w:pPr>
      <w:bookmarkStart w:id="96" w:name="_Toc235564974"/>
      <w:r>
        <w:rPr/>
        <w:t>3.4 Métodos de recolha e análise de dados</w:t>
      </w:r>
      <w:bookmarkEnd w:id="96"/>
    </w:p>
    <w:p>
      <w:pPr>
        <w:pStyle w:val="TextoNormal-IPCA"/>
        <w:keepNext w:val="true"/>
        <w:rPr/>
      </w:pPr>
      <w:r>
        <w:rPr/>
      </w:r>
    </w:p>
    <w:p>
      <w:pPr>
        <w:pStyle w:val="TextoNormal-IPCA"/>
        <w:rPr/>
      </w:pPr>
      <w:r>
        <w:rPr/>
        <w:t>A recolha conjugou análise documental, comparação de precedentes, inspeção do código, construção paramétrica, cenários automatizados, medição de malhas, preparação para impressão, observação de peças físicas e reflexão sobre cada ciclo. A análise recorreu aos parâmetros e limites declarados no catálogo de modelos, às respostas JSON e aos metadados de execução, às dimensões das malhas exportadas, aos relatórios técnicos de cada modelo, aos ficheiros 3MF, aos quatro projetos com parâmetros de preparação, aos resultados de doze casos sob uma condição digital comum, às fotografias dos protótipos e aos registos de alterações do código.</w:t>
      </w:r>
    </w:p>
    <w:p>
      <w:pPr>
        <w:pStyle w:val="TextoNormal-IPCA"/>
        <w:rPr/>
      </w:pPr>
      <w:r>
        <w:rPr/>
        <w:t>A preparação para impressão converte a geometria numa sequência de camadas e trajetórias de deposição e define a altura de camada, as paredes, o enchimento, os suportes, as temperaturas e a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desativado. Uma vez que a geometria, o programa, a impressora, o material e as condições não são equivalentes, esta série descreve cada preparação, mas não permite comparar o desempenho entre equipamentos ou materiais.</w:t>
      </w:r>
    </w:p>
    <w:p>
      <w:pPr>
        <w:pStyle w:val="TextoNormal-IPCA"/>
        <w:rPr/>
      </w:pPr>
      <w:r>
        <w:rPr/>
        <w:t>A Série B complementa essa verificação, sem constituir uma nova metodologia, ao introduzir uma condição digital comum para comparar a exigência de preparação dos três modelos nos quatro perfis. Foram fixados os seguintes elementos: Bambu Lab A1 com bico de 0,4 mm, Bambu PLA Basic, camada de 0,20 mm, duas paredes, enchimento de 15% em grelha e suportes desligados. Manteve-se a orientação exportada e o programa dispôs as peças nas placas. Os doze casos produziram trajetórias e estimativas de tempo, filamento e massa. Os avisos relativos a regiões suspensas foram mantidos como resultados, pois a conclusão do processamento não demonstra que a peça possa ser impressa fisicamente sem rever a orientação ou os suportes.</w:t>
      </w:r>
    </w:p>
    <w:p>
      <w:pPr>
        <w:pStyle w:val="TextoNormal-IPCA"/>
        <w:rPr/>
      </w:pPr>
      <w:r>
        <w:rPr/>
        <w:t>A análise dimensional incidiu nas palmas isoladas dos mesmos doze casos. A partir das malhas 3MF, extraíram-se 36 extensões exteriores — X, Y e Z —, que descrevem a caixa envolvente da peça. Estes valores não são automaticamente equivalentes a larguras, comprimentos ou espessuras anatómicas, uma vez que as geometrias podem incluir abas, interfaces e margens de montagem. As mesmas extensões foram medidas nas palmas produzidas em PLA e PETG, à temperatura ambiente, perfazendo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inspeção geométrica independente aplicam critérios diferentes, pelo que foram conservados separadamente: a aceitação pelo programa de preparação não implica que a malha seja fechada e não contenha faces degeneradas. As medições físicas sustentam a comparação dimensional das palmas nos eixos X, Y e Z. Contudo,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portanto, assumida como descritiva. Três leituras independentes apenas seriam necessárias numa futura caracterização metrológica da dispersão e da incerteza, que não integra o âmbito deste estudo. A montagem sistemática também não foi abrangida pela avaliação; consequentemente, os resultados não são usados para afirmar adequação anatómica ou funcional.</w:t>
      </w:r>
    </w:p>
    <w:p>
      <w:pPr>
        <w:pStyle w:val="TextoNormal-IPCA"/>
        <w:rPr/>
      </w:pPr>
      <w:r>
        <w:rPr/>
        <w:t>Não são recolhidos dados pessoais ou biométricos de utilizadores reais, utilizando-se exclusivamente conjuntos de dados antropométricos públicos. O âmbito empírico fica, assim, delimitado ao domínio técnico e de desenvolvimento do projeto. Entre estes conjuntos, destaca-se a base local consolidada de medidas da mão e do membro superior distal, usada como infraestrutura intermédia para selecionar, comparar e normalizar medidas relevantes para a parametrização geométrica. A organização dos dados preserva informação sobre o país, a amostra, o tipo de medida, a estatística, a fonte documental e a granularidade dos subconjuntos analisados, explicitando a cobertura e as limitações de cada fonte antes da sua tradução em parâmetros de projeto.</w:t>
      </w:r>
    </w:p>
    <w:p>
      <w:pPr>
        <w:pStyle w:val="TextoNormal-IPCA"/>
        <w:rPr/>
      </w:pPr>
      <w:r>
        <w:rPr/>
        <w:t>Embora o presente estudo não utilize participantes, a literatura metodológica permite esclarecer a operacionalização de medições lineares e procedimentos de ajuste em contextos aplicados. A Figura 11 constitui um precedente para a tradução de medidas em parâmetros de projeto, não representando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29"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 descr="Image 1"/>
                    <pic:cNvPicPr>
                      <a:picLocks noChangeAspect="1" noChangeArrowheads="1"/>
                    </pic:cNvPicPr>
                  </pic:nvPicPr>
                  <pic:blipFill>
                    <a:blip r:embed="rId70"/>
                    <a:stretch>
                      <a:fillRect/>
                    </a:stretch>
                  </pic:blipFill>
                  <pic:spPr bwMode="auto">
                    <a:xfrm>
                      <a:off x="0" y="0"/>
                      <a:ext cx="5715000" cy="1905000"/>
                    </a:xfrm>
                    <a:prstGeom prst="rect">
                      <a:avLst/>
                    </a:prstGeom>
                    <a:noFill/>
                  </pic:spPr>
                </pic:pic>
              </a:graphicData>
            </a:graphic>
          </wp:inline>
        </w:drawing>
      </w:r>
    </w:p>
    <w:p>
      <w:pPr>
        <w:pStyle w:val="Caption"/>
        <w:rPr/>
      </w:pPr>
      <w:bookmarkStart w:id="97" w:name="_Toc235562505"/>
      <w:r>
        <w:rPr/>
        <w:t xml:space="preserve">Figura </w:t>
      </w:r>
      <w:r>
        <w:rPr/>
        <w:fldChar w:fldCharType="begin"/>
      </w:r>
      <w:r>
        <w:rPr/>
        <w:instrText xml:space="preserve"> SEQ Figura \* ARABIC </w:instrText>
      </w:r>
      <w:r>
        <w:rPr/>
        <w:fldChar w:fldCharType="separate"/>
      </w:r>
      <w:r>
        <w:rPr/>
        <w:t>11</w:t>
      </w:r>
      <w:r>
        <w:rPr/>
        <w:fldChar w:fldCharType="end"/>
      </w:r>
      <w:r>
        <w:rPr/>
        <w:t>— Exemplo de recolha dimensional para ajuste de prótese impressa em 3D.</w:t>
      </w:r>
      <w:bookmarkEnd w:id="97"/>
    </w:p>
    <w:p>
      <w:pPr>
        <w:pStyle w:val="Nota-IPCA"/>
        <w:rPr>
          <w:lang w:val="en-US"/>
        </w:rPr>
      </w:pPr>
      <w:r>
        <w:rPr>
          <w:lang w:val="pt-PT"/>
        </w:rPr>
        <w:t xml:space="preserve">Reproduzido de </w:t>
      </w:r>
      <w:sdt>
        <w:sdtPr>
          <w:tag w:val="MENDELEY_CITATION_v3_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"/>
          <w:id w:val="720402213"/>
          <w:placeholder>
            <w:docPart w:val="DefaultPlaceholder_-1854013440"/>
          </w:placeholder>
        </w:sdtPr>
        <w:sdtContent>
          <w:r>
            <w:rPr>
              <w:lang w:val="pt-PT"/>
            </w:rPr>
          </w:r>
          <w:r>
            <w:rPr>
              <w:rFonts w:cs="Arial"/>
              <w:color w:val="000000"/>
              <w:lang w:val="pt-PT"/>
            </w:rPr>
            <w:t>(Shannon et al., 2019)</w:t>
          </w:r>
        </w:sdtContent>
      </w:sdt>
      <w:r>
        <w:rPr>
          <w:lang w:val="pt-PT"/>
        </w:rPr>
        <w:t xml:space="preserve">. </w:t>
      </w:r>
      <w:r>
        <w:rPr>
          <w:lang w:val="en-US"/>
        </w:rPr>
        <w:t>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lang w:val="en-US"/>
        </w:rPr>
      </w:pPr>
      <w:r>
        <w:rPr>
          <w:lang w:val="en-US"/>
        </w:rPr>
      </w:r>
    </w:p>
    <w:p>
      <w:pPr>
        <w:pStyle w:val="Heading3"/>
        <w:numPr>
          <w:ilvl w:val="0"/>
          <w:numId w:val="0"/>
        </w:numPr>
        <w:ind w:hanging="0" w:start="0"/>
        <w:rPr/>
      </w:pPr>
      <w:bookmarkStart w:id="98" w:name="_Toc235564975"/>
      <w:r>
        <w:rPr/>
        <w:t>3.5 Critérios de avaliação e limitações metodológicas</w:t>
      </w:r>
      <w:bookmarkEnd w:id="98"/>
    </w:p>
    <w:p>
      <w:pPr>
        <w:pStyle w:val="TextoNormal-IPCA"/>
        <w:keepNext w:val="true"/>
        <w:rPr/>
      </w:pPr>
      <w:r>
        <w:rPr/>
      </w:r>
    </w:p>
    <w:p>
      <w:pPr>
        <w:pStyle w:val="TextoNormal-IPCA"/>
        <w:rPr/>
      </w:pPr>
      <w:r>
        <w:rPr/>
        <w:t>A avaliação aplica seis critérios principais: conformidade da saída com o esquema; respeito pelos intervalos declarados; preservação das relações dimensionais definidas; aplicação dos valores na geometria; conclusão dos fluxos principais da plataforma; e preparação digital das peças. A cada critério corresponde uma evidência observável: resposta JSON, comparação numérica, malha exportada, estado da interface, ficheiro de projeto ou trajetórias geradas pelo programa de preparação. Na Série A, o critério consistiu na obtenção de trajetórias e estimativas nos quatro projetos de preparação digital para impressão 3D com configuração analisada; na Série B, consistiu na obtenção desses resultados nos doze casos sob a condição comum, mantendo avisos e falhas. A estanquidade, os corpos e as faces degeneradas são descritores geométricos e não critérios de desempenho estrutural.</w:t>
      </w:r>
    </w:p>
    <w:p>
      <w:pPr>
        <w:pStyle w:val="TextoNormal-IPCA"/>
        <w:rPr/>
      </w:pPr>
      <w:r>
        <w:rPr/>
        <w:t>«Verificação» designa a confirmação de uma condição especificada; «avaliação», a interpretação conjunta dos resultados; e «prova de conceito», o protótipo integrado. O termo «validação clínica» fica reservado a estudos com métodos, profissionais e participantes adequados, ausentes neste trabalho.</w:t>
      </w:r>
    </w:p>
    <w:p>
      <w:pPr>
        <w:pStyle w:val="TextoNormal-IPCA"/>
        <w:rPr/>
      </w:pPr>
      <w:r>
        <w:rPr/>
        <w:t xml:space="preserve">Em complemento da avaliação inicial, foram executadas séries de ensaios orientados para três qualidades relevantes do processo de </w:t>
      </w:r>
      <w:r>
        <w:rPr>
          <w:i/>
          <w:iCs/>
        </w:rPr>
        <w:t>design</w:t>
      </w:r>
      <w:r>
        <w:rPr/>
        <w:t>: a consistência da geração paramétrica, a capacidade de recuperação perante valores ou falhas previsíveis e a acessibilidade técnica da interação. Os ensaios locais decorreram numa instância isolada e com perfis de ensaio, para não alterar os dados de desenvolvimento ou da plataforma pública.</w:t>
      </w:r>
    </w:p>
    <w:p>
      <w:pPr>
        <w:pStyle w:val="TextoNormal-IPCA"/>
        <w:rPr/>
      </w:pPr>
      <w:r>
        <w:rPr/>
        <w:t>O protocolo, os casos e os resultados completos constam do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que permita calcular o erro anatómico. As respostas geradas são sugestões iniciais e podem variar entre execuções; o estudo documenta exemplos e invariantes, sem estimar uma distribuição estatística do comportamento do modelo de linguagem.</w:t>
      </w:r>
    </w:p>
    <w:p>
      <w:pPr>
        <w:pStyle w:val="TextoNormal-IPCA"/>
        <w:rPr/>
      </w:pPr>
      <w:r>
        <w:rPr/>
        <w:t xml:space="preserve">As limitações principais são a ausência de participantes, dados clínicos, medições diretas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ambiente de teste, sem certificação como dispositivo médico e sem prontidão demonstrada para utilização clínica. Estas limitações delimitam a força das conclusões, sem invalidar o estudo técnico efetivamente realizado. </w:t>
      </w:r>
      <w:r>
        <w:br w:type="page"/>
      </w:r>
    </w:p>
    <w:p>
      <w:pPr>
        <w:pStyle w:val="Heading1"/>
        <w:numPr>
          <w:ilvl w:val="0"/>
          <w:numId w:val="0"/>
        </w:numPr>
        <w:spacing w:before="0" w:after="240"/>
        <w:ind w:hanging="0" w:start="0"/>
        <w:contextualSpacing/>
        <w:rPr/>
      </w:pPr>
      <w:bookmarkStart w:id="99" w:name="_Toc235564976"/>
      <w:r>
        <w:rPr/>
        <w:t>Capítulo 4 — Desenvolvimento do Modelo Paramétrico</w:t>
      </w:r>
      <w:bookmarkEnd w:id="99"/>
    </w:p>
    <w:p>
      <w:pPr>
        <w:pStyle w:val="TextoNormal-IPCA"/>
        <w:keepNext w:val="true"/>
        <w:rPr/>
      </w:pPr>
      <w:r>
        <w:rPr/>
      </w:r>
    </w:p>
    <w:p>
      <w:pPr>
        <w:pStyle w:val="TextoNormal-IPCA"/>
        <w:rPr/>
      </w:pPr>
      <w:r>
        <w:rPr/>
        <w:t>Este capítulo aborda um subconjunto delimitado do problema das próteses de membro superior: a adaptação paramétrica de modelos mecânicos passivos de mão destinados à exploração técnica e à prototipagem por fabrico aditivo. O trabalho implementado não abrange atuadores, sensores, fontes de energia, controlo mioeléctrico, desenho clínico de encaixes ou avaliação funcional com utilizadores. Estes temas integram 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integrar as séries comparativas ou físicas. A Tabela 20 apresenta o inventário dos modelos, incluindo a origem, a licença, a estratégia de escala e a evidência disponível.</w:t>
      </w:r>
    </w:p>
    <w:p>
      <w:pPr>
        <w:pStyle w:val="TextoNormal-IPCA"/>
        <w:rPr/>
      </w:pPr>
      <w:r>
        <w:rPr/>
        <w:t>A unidade de análise corresponde à relação entre um vector de parâmetros, a regra geométrica específica de cada modelo e a malha gerada. «Adaptação paramétrica» designa, neste contexto,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bookmarkStart w:id="100" w:name="_Toc235564977"/>
      <w:r>
        <w:rPr/>
        <w:t xml:space="preserve">4.1 Definição do problema de </w:t>
      </w:r>
      <w:r>
        <w:rPr>
          <w:i/>
          <w:iCs/>
        </w:rPr>
        <w:t>design</w:t>
      </w:r>
      <w:r>
        <w:rPr/>
        <w:t xml:space="preserve"> e requisitos</w:t>
      </w:r>
      <w:bookmarkEnd w:id="100"/>
    </w:p>
    <w:p>
      <w:pPr>
        <w:pStyle w:val="TextoNormal-IPCA"/>
        <w:keepNext w:val="true"/>
        <w:rPr/>
      </w:pPr>
      <w:r>
        <w:rPr/>
      </w:r>
    </w:p>
    <w:p>
      <w:pPr>
        <w:pStyle w:val="TextoNormal-IPCA"/>
        <w:rPr/>
      </w:pPr>
      <w:r>
        <w:rPr/>
        <w:t xml:space="preserve">A literatura enquadra o desenvolvimento de próteses de membro superior como um problema de elevada complexidade, situado na intersecção entre o desempenho biomecânico, a integração corpo-dispositivo e a experiência vivida do utilizador </w:t>
      </w:r>
      <w:sdt>
        <w:sdtPr>
          <w:tag w:val="MENDELEY_CITATION_v3_eyJjaXRhdGlvbklEIjoiTUVOREVMRVlfQ0lUQVRJT05fNzc0YTY4MGQtMWFiZC00ZjI2LTg5MmItZDIzYTI2ZDg1ODI2IiwicHJvcGVydGllcyI6eyJub3RlSW5kZXgiOjB9LCJpc0VkaXRlZCI6ZmFsc2UsIm1hbnVhbE92ZXJyaWRlIjp7ImlzTWFudWFsbHlPdmVycmlkZGVuIjpmYWxzZSwiY2l0ZXByb2NUZXh0IjoiKENvcmRlbGxhIGV0IGFsLiwgMjAxNjsgR3VvLCAyMDI1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"/>
          <w:id w:val="2123029394"/>
          <w:placeholder>
            <w:docPart w:val="DefaultPlaceholder_-1854013440"/>
          </w:placeholder>
        </w:sdtPr>
        <w:sdtContent>
          <w:r>
            <w:rPr/>
          </w:r>
          <w:r>
            <w:rPr>
              <w:color w:val="000000"/>
            </w:rPr>
            <w:t>(Cordella et al., 2016; Guo, 2025)</w:t>
          </w:r>
        </w:sdtContent>
      </w:sdt>
      <w:r>
        <w:rPr/>
        <w:t>(</w:t>
      </w:r>
      <w:r>
        <w:rPr/>
        <w:t>Cordella et al., 2016; Guo, 2025; Peerdeman et al., 2011). Este desafio ultrapassa a replicação formal da mão ou do segmento ausente e implica conceber dispositivos que conciliem funcionalidade, conforto, leveza, funcionamento consistente, controlo compreensível, aceitação estética e custos compatíveis com a produção, a adaptação, a manutenção e o acesso continuado à prótese, num contexto em que continuam a registar-se taxas elevadas de rejeição e abandono.</w:t>
      </w:r>
    </w:p>
    <w:p>
      <w:pPr>
        <w:pStyle w:val="TextoNormal-IPCA"/>
        <w:rPr/>
      </w:pPr>
      <w:r>
        <w:rPr/>
        <w:t xml:space="preserve">A literatura associa recorrentemente estas taxas ao desconforto no encaixe, ao peso excessivo, às limitações funcionais, à baixa robustez e a estratégias de controlo pouco intuitivas, revelando uma lacuna persistente entre a capacidade tecnológica dos dispositivos e as necessidades reais de uso </w:t>
      </w:r>
      <w:sdt>
        <w:sdtPr>
          <w:tag w:val="MENDELEY_CITATION_v3_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V19"/>
          <w:id w:val="-559400113"/>
          <w:placeholder>
            <w:docPart w:val="DefaultPlaceholder_-1854013440"/>
          </w:placeholder>
        </w:sdtPr>
        <w:sdtContent>
          <w:r>
            <w:rPr/>
          </w:r>
          <w:r>
            <w:rPr>
              <w:rFonts w:eastAsia="Times New Roman"/>
              <w:color w:val="000000"/>
            </w:rPr>
            <w:t>(Biddiss &amp; Chau, 2007; Cordella et al., 2016)</w:t>
          </w:r>
        </w:sdtContent>
      </w:sdt>
      <w:r>
        <w:rPr/>
        <w:t>.</w:t>
      </w:r>
    </w:p>
    <w:p>
      <w:pPr>
        <w:pStyle w:val="TextoNormal-IPCA"/>
        <w:rPr/>
      </w:pPr>
      <w:r>
        <w:rPr/>
        <w:t xml:space="preserve">A literatura identifica requisitos funcionais, ergonómicos, técnicos, produtivos e psicossociais que devem convergir num dispositivo protésico </w:t>
      </w:r>
      <w:sdt>
        <w:sdtPr>
          <w:tag w:val="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"/>
          <w:id w:val="-498577892"/>
          <w:placeholder>
            <w:docPart w:val="DefaultPlaceholder_-1854013440"/>
          </w:placeholder>
        </w:sdtPr>
        <w:sdtContent>
          <w:r>
            <w:rPr/>
          </w:r>
          <w:r>
            <w:rPr>
              <w:rFonts w:eastAsia="Times New Roman"/>
              <w:color w:val="000000"/>
            </w:rPr>
            <w:t>(Biddiss &amp; Chau, 2007; Brack &amp; Amalu, 2021; Henao et al., 2026; Walker et al., 2020)</w:t>
          </w:r>
        </w:sdtContent>
      </w:sdt>
      <w:r>
        <w:rPr/>
        <w:t>. Neste estudo, contudo, apenas três grupos foram traduzidos em propriedades observáveis do protótipo: dimensões e relações geométricas; preservação de interfaces mecânicas herdadas; e preparação preliminar para fabrico aditivo. O conforto, a usabilidade, a força, a amplitude funcional, a durabilidade, a segurança, a aceitação e a incorporação corporal não foram operacionalizados nem avaliados.</w:t>
      </w:r>
    </w:p>
    <w:p>
      <w:pPr>
        <w:pStyle w:val="TextoNormal-IPCA"/>
        <w:rPr/>
      </w:pPr>
      <w:r>
        <w:rPr/>
        <w:t>Os requisitos implementados foram formulados como condições de projeto: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a coerência e o comportamento geométrico, mas não substituem requisitos clínicos ou funcionais.</w:t>
      </w:r>
    </w:p>
    <w:p>
      <w:pPr>
        <w:pStyle w:val="TextoNormal-IPCA"/>
        <w:rPr/>
      </w:pPr>
      <w:r>
        <w:rPr/>
        <w:t>Neste projeto, os limites de adaptação foram formalizados como relações explícitas entre medidas, componentes e restrições de fabrico. A verificação incidiu sobre a geometria efetivamente gerada, e não apenas sobre o nome do parâmetro ou o intervalo apresentado na interface.</w:t>
      </w:r>
    </w:p>
    <w:p>
      <w:pPr>
        <w:pStyle w:val="TextoNormal-IPCA"/>
        <w:rPr/>
      </w:pPr>
      <w:r>
        <w:rPr/>
      </w:r>
    </w:p>
    <w:p>
      <w:pPr>
        <w:pStyle w:val="Heading2"/>
        <w:numPr>
          <w:ilvl w:val="0"/>
          <w:numId w:val="0"/>
        </w:numPr>
        <w:ind w:hanging="0" w:start="0"/>
        <w:rPr/>
      </w:pPr>
      <w:bookmarkStart w:id="101" w:name="_Toc235564978"/>
      <w:r>
        <w:rPr/>
        <w:t>4.2 Parâmetros antropométricos e estrutura do modelo</w:t>
      </w:r>
      <w:bookmarkEnd w:id="101"/>
    </w:p>
    <w:p>
      <w:pPr>
        <w:pStyle w:val="TextoNormal-IPCA"/>
        <w:keepNext w:val="true"/>
        <w:rPr/>
      </w:pPr>
      <w:r>
        <w:rPr/>
      </w:r>
    </w:p>
    <w:p>
      <w:pPr>
        <w:pStyle w:val="TextoNormal-IPCA"/>
        <w:rPr/>
      </w:pPr>
      <w:r>
        <w:rPr/>
        <w:t xml:space="preserve">No desenvolvimento de sistemas protésicos personalizados, as medições corporais estabelecem a ligação entre o corpo do utilizador e a configuração geométrica e funcional do modelo paramétrico. Nas próteses de membro superior, estas medições não devem ser tratadas como valores isolados, mas como componentes de um sistema estruturado que descreva a morfologia da mão, dos dedos, do punho e, quando aplicável, do antebraço ou do membro residual. A literatura recente converge em dois pontos: a personalização eficaz depende de medidas anatomicamente relevantes, não de escalonamentos genéricos, e essas medidas devem ser organizadas de modo a alimentar diretamente a lógica do modelo digital </w:t>
      </w:r>
      <w:sdt>
        <w:sdtPr>
          <w:tag w:val="MENDELEY_CITATION_v3_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fV19"/>
          <w:id w:val="1046719549"/>
          <w:placeholder>
            <w:docPart w:val="DefaultPlaceholder_-1854013440"/>
          </w:placeholder>
        </w:sdtPr>
        <w:sdtContent>
          <w:r>
            <w:rPr/>
          </w:r>
          <w:r>
            <w:rPr>
              <w:rFonts w:eastAsia="Times New Roman"/>
              <w:color w:val="000000"/>
            </w:rPr>
            <w:t>(Chatzıoglou et al., 2024; Moreo, 2016; Rodríguez-Vega &amp; Rodríguez-Vega, 2024)</w:t>
          </w:r>
        </w:sdtContent>
      </w:sdt>
      <w:r>
        <w:rPr/>
        <w:t>.</w:t>
      </w:r>
    </w:p>
    <w:p>
      <w:pPr>
        <w:pStyle w:val="TextoNormal-IPCA"/>
        <w:rPr/>
      </w:pPr>
      <w:r>
        <w:rPr/>
        <w:t>A necessidade de organizar as medições em parâmetros operáveis é particularmente evidente nos modelos digitais do dedo e da mão. A Figura 12 apresenta uma decomposição paramétrica em comprimentos, larguras e secções articulares, explicitando a estrutura dimensional que sustenta a passagem da antropometria à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30"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restaurada 45" descr="Image 12"/>
                    <pic:cNvPicPr>
                      <a:picLocks noChangeAspect="1" noChangeArrowheads="1"/>
                    </pic:cNvPicPr>
                  </pic:nvPicPr>
                  <pic:blipFill>
                    <a:blip r:embed="rId71"/>
                    <a:stretch>
                      <a:fillRect/>
                    </a:stretch>
                  </pic:blipFill>
                  <pic:spPr bwMode="auto">
                    <a:xfrm>
                      <a:off x="0" y="0"/>
                      <a:ext cx="4667250" cy="3467100"/>
                    </a:xfrm>
                    <a:prstGeom prst="rect">
                      <a:avLst/>
                    </a:prstGeom>
                    <a:noFill/>
                  </pic:spPr>
                </pic:pic>
              </a:graphicData>
            </a:graphic>
          </wp:inline>
        </w:drawing>
      </w:r>
    </w:p>
    <w:p>
      <w:pPr>
        <w:pStyle w:val="Caption"/>
        <w:rPr/>
      </w:pPr>
      <w:bookmarkStart w:id="102" w:name="_Toc235562506"/>
      <w:r>
        <w:rPr/>
        <w:t xml:space="preserve">Figura </w:t>
      </w:r>
      <w:r>
        <w:rPr/>
        <w:fldChar w:fldCharType="begin"/>
      </w:r>
      <w:r>
        <w:rPr/>
        <w:instrText xml:space="preserve"> SEQ Figura \* ARABIC </w:instrText>
      </w:r>
      <w:r>
        <w:rPr/>
        <w:fldChar w:fldCharType="separate"/>
      </w:r>
      <w:r>
        <w:rPr/>
        <w:t>12</w:t>
      </w:r>
      <w:r>
        <w:rPr/>
        <w:fldChar w:fldCharType="end"/>
      </w:r>
      <w:r>
        <w:rPr/>
        <w:t xml:space="preserve"> — Parâmetros antropométricos utilizados na modelação paramétrica de dedos protésicos.</w:t>
      </w:r>
      <w:bookmarkEnd w:id="102"/>
    </w:p>
    <w:p>
      <w:pPr>
        <w:pStyle w:val="Nota-IPCA"/>
        <w:rPr>
          <w:lang w:val="pt-PT"/>
        </w:rPr>
      </w:pPr>
      <w:r>
        <w:rPr>
          <w:lang w:val="pt-PT"/>
        </w:rPr>
        <w:t xml:space="preserve">Adaptado de </w:t>
      </w:r>
      <w:sdt>
        <w:sdtPr>
          <w:tag w:val="MENDELEY_CITATION_v3_eyJjaXRhdGlvbklEIjoiTUVOREVMRVlfQ0lUQVRJT05fOTNmOTM3ZTMtOGM1My00ZGZmLWE0NzMtMjIwYmQ5NGFkYzQ4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
          <w:id w:val="89752080"/>
          <w:placeholder>
            <w:docPart w:val="DefaultPlaceholder_-1854013440"/>
          </w:placeholder>
        </w:sdtPr>
        <w:sdtContent>
          <w:r>
            <w:rPr>
              <w:lang w:val="pt-PT"/>
            </w:rPr>
          </w:r>
          <w:r>
            <w:rPr>
              <w:rFonts w:cs="Arial"/>
              <w:color w:val="000000"/>
              <w:lang w:val="pt-PT"/>
            </w:rPr>
            <w:t>(Nini et al., 2024)</w:t>
          </w:r>
        </w:sdtContent>
      </w:sdt>
      <w:r>
        <w:rPr>
          <w:lang w:val="pt-PT"/>
        </w:rPr>
        <w:t xml:space="preserve">. </w:t>
      </w:r>
      <w:r>
        <w:rPr>
          <w:lang w:val="en-US"/>
        </w:rPr>
        <w:t xml:space="preserve">In 2024 10th IEEE RAS/EMBS International Conference for Biomedical Robotics and Biomechatronics (BioRob). </w:t>
      </w:r>
      <w:r>
        <w:rPr>
          <w:lang w:val="pt-PT"/>
        </w:rPr>
        <w:t>IEEE. https://doi.org/10.1109/BioRob60516.2024.10719909 (https://doi.org/10.1109/BioRob60516.2024.10719909)</w:t>
      </w:r>
    </w:p>
    <w:p>
      <w:pPr>
        <w:pStyle w:val="TextoNormal-IPCA"/>
        <w:rPr/>
      </w:pPr>
      <w:r>
        <w:rPr/>
      </w:r>
    </w:p>
    <w:p>
      <w:pPr>
        <w:pStyle w:val="TextoNormal-IPCA"/>
        <w:rPr/>
      </w:pPr>
      <w:r>
        <w:rPr/>
        <w:t xml:space="preserve">Os parâmetros antropométricos mais relevantes definem, antes de mais, a estrutura dimensional de base da mão. O comprimento e a largura da mão, bem como o comprimento da palma, constituem descritores dimensionais primários que permitem estabelecer a escala e a organização geral do modelo. Incluem-se ainda parâmetros relativos aos dedos, como os comprimentos segmentares e as proporções entre falanges, além das dimensões do polegar e do punho, essenciais para a funcionalidade e a integração da mão protésica no uso quotidiano </w:t>
      </w:r>
      <w:sdt>
        <w:sdtPr>
          <w:tag w:val="MENDELEY_CITATION_v3_eyJjaXRhdGlvbklEIjoiTUVOREVMRVlfQ0lUQVRJT05fMzI2YjU3OTItZDk0NC00OTE5LTkzMjUtZGFjZDA0NGJhNGM0IiwicHJvcGVydGllcyI6eyJub3RlSW5kZXgiOjB9LCJpc0VkaXRlZCI6ZmFsc2UsIm1hbnVhbE92ZXJyaWRlIjp7ImlzTWFudWFsbHlPdmVycmlkZGVuIjpmYWxzZSwiY2l0ZXByb2NUZXh0IjoiKENoYXR6xLFvZ2xvdSBldCBhbC4sIDIwMjQ7IE5hZyBldCBhbC4sIDIwMDM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"/>
          <w:id w:val="-1038431228"/>
          <w:placeholder>
            <w:docPart w:val="DefaultPlaceholder_-1854013440"/>
          </w:placeholder>
        </w:sdtPr>
        <w:sdtContent>
          <w:r>
            <w:rPr/>
          </w:r>
          <w:r>
            <w:rPr>
              <w:color w:val="000000"/>
            </w:rPr>
            <w:t>(Chatzıoglou et al., 2024; Nag et al., 2003)</w:t>
          </w:r>
        </w:sdtContent>
      </w:sdt>
      <w:r>
        <w:rPr/>
        <w:t>.</w:t>
      </w:r>
    </w:p>
    <w:p>
      <w:pPr>
        <w:pStyle w:val="TextoNormal-IPCA"/>
        <w:keepNext w:val="true"/>
        <w:rPr/>
      </w:pPr>
      <w:r>
        <w:rPr/>
      </w:r>
    </w:p>
    <w:p>
      <w:pPr>
        <w:pStyle w:val="Caption"/>
        <w:keepNext w:val="true"/>
        <w:rPr/>
      </w:pPr>
      <w:bookmarkStart w:id="103" w:name="_Toc235562530"/>
      <w:r>
        <w:rPr/>
        <w:t xml:space="preserve">Tabela </w:t>
      </w:r>
      <w:r>
        <w:rPr/>
        <w:fldChar w:fldCharType="begin"/>
      </w:r>
      <w:r>
        <w:rPr/>
        <w:instrText xml:space="preserve"> SEQ Tabela \* ARABIC </w:instrText>
      </w:r>
      <w:r>
        <w:rPr/>
        <w:fldChar w:fldCharType="separate"/>
      </w:r>
      <w:r>
        <w:rPr/>
        <w:t>7</w:t>
      </w:r>
      <w:r>
        <w:rPr/>
        <w:fldChar w:fldCharType="end"/>
      </w:r>
      <w:r>
        <w:rPr/>
        <w:t xml:space="preserve"> — Principais parâmetros antropométricos da mão e do membro superior relevantes para modelação paramétrica</w:t>
      </w:r>
      <w:bookmarkEnd w:id="103"/>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Ajuste do encaixe</w:t>
            </w:r>
          </w:p>
        </w:tc>
      </w:tr>
    </w:tbl>
    <w:p>
      <w:pPr>
        <w:pStyle w:val="Heading3"/>
        <w:numPr>
          <w:ilvl w:val="0"/>
          <w:numId w:val="0"/>
        </w:numPr>
        <w:ind w:hanging="0" w:start="0"/>
        <w:rPr/>
      </w:pPr>
      <w:r>
        <w:rPr/>
      </w:r>
    </w:p>
    <w:p>
      <w:pPr>
        <w:pStyle w:val="Heading3"/>
        <w:numPr>
          <w:ilvl w:val="0"/>
          <w:numId w:val="0"/>
        </w:numPr>
        <w:ind w:hanging="0" w:start="0"/>
        <w:jc w:val="both"/>
        <w:rPr/>
      </w:pPr>
      <w:bookmarkStart w:id="104" w:name="_Toc235564979"/>
      <w:r>
        <w:rPr/>
        <w:t>Conjuntos mínimos de parâmetros por nível de amputação</w:t>
      </w:r>
      <w:bookmarkEnd w:id="104"/>
    </w:p>
    <w:p>
      <w:pPr>
        <w:pStyle w:val="TextoNormal-IPCA"/>
        <w:keepNext w:val="true"/>
        <w:rPr/>
      </w:pPr>
      <w:r>
        <w:rPr/>
      </w:r>
    </w:p>
    <w:p>
      <w:pPr>
        <w:pStyle w:val="TextoNormal-IPCA"/>
        <w:rPr/>
      </w:pPr>
      <w:r>
        <w:rPr/>
        <w:t xml:space="preserve">O conjunto mínimo de parâmetros antropométricos varia consoante o nível de amputação, uma vez que as diferentes configurações protésicas requerem graus distintos de detalhe dimensional. A redução do número de medições necessárias torna os processos de personalização mais escaláveis e acessíveis, sobretudo quando os dados são recolhidos fora de contextos clínicos especializados </w:t>
      </w:r>
      <w:sdt>
        <w:sdtPr>
          <w:tag w:val="MENDELEY_CITATION_v3_eyJjaXRhdGlvbklEIjoiTUVOREVMRVlfQ0lUQVRJT05fMTAyMjMzOTItYjMyYi00MzgxLTg3NWEtYWVmYzYxNDY0OTdm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
          <w:id w:val="-1133790698"/>
          <w:placeholder>
            <w:docPart w:val="DefaultPlaceholder_-1854013440"/>
          </w:placeholder>
        </w:sdtPr>
        <w:sdtContent>
          <w:r>
            <w:rPr/>
          </w:r>
          <w:r>
            <w:rPr>
              <w:color w:val="000000"/>
            </w:rPr>
            <w:t>(Moreo, 2016; R. C. da S. Romero et al., 2025)</w:t>
          </w:r>
        </w:sdtContent>
      </w:sdt>
      <w:r>
        <w:rPr/>
        <w:t>.</w:t>
      </w:r>
    </w:p>
    <w:p>
      <w:pPr>
        <w:pStyle w:val="TextoNormal-IPCA"/>
        <w:keepNext w:val="true"/>
        <w:ind w:hanging="0"/>
        <w:rPr/>
      </w:pPr>
      <w:r>
        <w:rPr/>
      </w:r>
    </w:p>
    <w:p>
      <w:pPr>
        <w:pStyle w:val="Caption"/>
        <w:rPr/>
      </w:pPr>
      <w:bookmarkStart w:id="105" w:name="_Toc235562531"/>
      <w:r>
        <w:rPr/>
        <w:t xml:space="preserve">Tabela </w:t>
      </w:r>
      <w:r>
        <w:rPr/>
        <w:fldChar w:fldCharType="begin"/>
      </w:r>
      <w:r>
        <w:rPr/>
        <w:instrText xml:space="preserve"> SEQ Tabela \* ARABIC </w:instrText>
      </w:r>
      <w:r>
        <w:rPr/>
        <w:fldChar w:fldCharType="separate"/>
      </w:r>
      <w:r>
        <w:rPr/>
        <w:t>8</w:t>
      </w:r>
      <w:r>
        <w:rPr/>
        <w:fldChar w:fldCharType="end"/>
      </w:r>
      <w:r>
        <w:rPr/>
        <w:t>— Conjuntos mínimos de parâmetros por nível de amputação</w:t>
      </w:r>
      <w:bookmarkEnd w:id="105"/>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Comprimento da mão, largura da palma, comprimento dos dedos</w:t>
            </w:r>
          </w:p>
        </w:tc>
      </w:tr>
    </w:tbl>
    <w:p>
      <w:pPr>
        <w:pStyle w:val="TextoNormal-IPCA"/>
        <w:rPr/>
      </w:pPr>
      <w:r>
        <w:rPr/>
      </w:r>
    </w:p>
    <w:p>
      <w:pPr>
        <w:pStyle w:val="TextoNormal-IPCA"/>
        <w:rPr/>
      </w:pPr>
      <w:r>
        <w:rPr/>
        <w:t>Esta lógica permite estruturar o sistema paramétrico com base em entradas essenciais e controlar a complexidade inicial do processo sem inviabilizar a geração de uma solução funcional. Deve, contudo, distinguir-se entre parâmetros mínimos de configuração e parâmetros de refinamento. Os primeiros permitem gerar uma instância funcional do modelo; quando existem dados adicionais, os segundos aumentam a especificidade da configuração, afinando a coerência proporcional, a adequação geométrica ou o desempenho cinemático.</w:t>
      </w:r>
    </w:p>
    <w:p>
      <w:pPr>
        <w:pStyle w:val="TextoNormal-IPCA"/>
        <w:rPr/>
      </w:pPr>
      <w:r>
        <w:rPr/>
      </w:r>
    </w:p>
    <w:p>
      <w:pPr>
        <w:pStyle w:val="Heading3"/>
        <w:numPr>
          <w:ilvl w:val="0"/>
          <w:numId w:val="0"/>
        </w:numPr>
        <w:ind w:hanging="0" w:start="0"/>
        <w:rPr/>
      </w:pPr>
      <w:bookmarkStart w:id="106" w:name="_Toc235564980"/>
      <w:r>
        <w:rPr/>
        <w:t>Limitações do redimensionamento proporcional</w:t>
      </w:r>
      <w:bookmarkEnd w:id="106"/>
    </w:p>
    <w:p>
      <w:pPr>
        <w:pStyle w:val="TextoNormal-IPCA"/>
        <w:keepNext w:val="true"/>
        <w:rPr/>
      </w:pPr>
      <w:r>
        <w:rPr/>
      </w:r>
    </w:p>
    <w:p>
      <w:pPr>
        <w:pStyle w:val="TextoNormal-IPCA"/>
        <w:rPr/>
      </w:pPr>
      <w:r>
        <w:rPr/>
        <w:t>Uma limitação recorrente das abordagens simplificadas de modelação consiste no redimensionamento proporcional (</w:t>
      </w:r>
      <w:r>
        <w:rPr>
          <w:i/>
          <w:iCs/>
        </w:rPr>
        <w:t>uniform scaling</w:t>
      </w:r>
      <w:r>
        <w:rPr/>
        <w:t xml:space="preserve">), em que um modelo base é dimensionado proporcionalmente em todas as direções. Esta abordagem é inadequada no contexto antropométrico, pois as dimensões da mão apresentam correlações imperfeitas entre si e não variam uniformemente entre populações, sexos e grupos etários. Assim, indivíduos com larguras de mão semelhantes podem ter comprimentos digitais, proporções falângicas ou dimensões do polegar significativamente diferentes. A modelação paramétrica requer, portanto, parâmetros independentes que permitam derivar proporções locais sem pressupor uma homotetia global. As partes da prótese não são, por conseguinte, redimensionadas segundo uma proporção única, nem mantêm invariáveis todas as relações geométricas entre si </w:t>
      </w:r>
      <w:sdt>
        <w:sdtPr>
          <w:tag w:val="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"/>
          <w:id w:val="2039072178"/>
          <w:placeholder>
            <w:docPart w:val="DefaultPlaceholder_-1854013440"/>
          </w:placeholder>
        </w:sdtPr>
        <w:sdtContent>
          <w:r>
            <w:rPr/>
          </w:r>
          <w:r>
            <w:rPr>
              <w:rFonts w:eastAsia="Times New Roman"/>
              <w:color w:val="000000"/>
            </w:rPr>
            <w:t>(Lim et al., 2018; Nag et al., 2003; Rodríguez-Vega &amp; Rodríguez-Vega,</w:t>
          </w:r>
        </w:sdtContent>
      </w:sdt>
      <w:r>
        <w:rPr/>
        <w:t>.</w:t>
      </w:r>
    </w:p>
    <w:p>
      <w:pPr>
        <w:pStyle w:val="TextoNormal-IPCA"/>
        <w:rPr/>
      </w:pPr>
      <w:r>
        <w:rPr/>
        <w:t>A Figura 13 evidencia esta limitação ao comparar um modelo uniformemente escalado com outro parametrizado a partir de variáveis independentes. A comparação mostra que a configuração requer o controlo das relações geométricas internas e não se reduz ao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31"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13" descr="Image 13"/>
                    <pic:cNvPicPr>
                      <a:picLocks noChangeAspect="1" noChangeArrowheads="1"/>
                    </pic:cNvPicPr>
                  </pic:nvPicPr>
                  <pic:blipFill>
                    <a:blip r:embed="rId72"/>
                    <a:stretch>
                      <a:fillRect/>
                    </a:stretch>
                  </pic:blipFill>
                  <pic:spPr bwMode="auto">
                    <a:xfrm>
                      <a:off x="0" y="0"/>
                      <a:ext cx="5579745" cy="2352675"/>
                    </a:xfrm>
                    <a:prstGeom prst="rect">
                      <a:avLst/>
                    </a:prstGeom>
                    <a:noFill/>
                  </pic:spPr>
                </pic:pic>
              </a:graphicData>
            </a:graphic>
          </wp:inline>
        </w:drawing>
      </w:r>
    </w:p>
    <w:p>
      <w:pPr>
        <w:pStyle w:val="Caption"/>
        <w:rPr/>
      </w:pPr>
      <w:bookmarkStart w:id="107" w:name="_Toc235562507"/>
      <w:r>
        <w:rPr/>
        <w:t xml:space="preserve">Figura </w:t>
      </w:r>
      <w:r>
        <w:rPr/>
        <w:fldChar w:fldCharType="begin"/>
      </w:r>
      <w:r>
        <w:rPr/>
        <w:instrText xml:space="preserve"> SEQ Figura \* ARABIC </w:instrText>
      </w:r>
      <w:r>
        <w:rPr/>
        <w:fldChar w:fldCharType="separate"/>
      </w:r>
      <w:r>
        <w:rPr/>
        <w:t>13</w:t>
      </w:r>
      <w:r>
        <w:rPr/>
        <w:fldChar w:fldCharType="end"/>
      </w:r>
      <w:r>
        <w:rPr/>
        <w:t xml:space="preserve"> — Comparação entre o escalonamento uniforme e a modelação paramétrica de dedo protésico.</w:t>
      </w:r>
      <w:bookmarkEnd w:id="107"/>
    </w:p>
    <w:p>
      <w:pPr>
        <w:pStyle w:val="Nota-IPCA"/>
        <w:rPr>
          <w:lang w:val="en-US"/>
        </w:rPr>
      </w:pPr>
      <w:r>
        <w:rPr>
          <w:lang w:val="pt-PT"/>
        </w:rPr>
        <w:t xml:space="preserve">Adaptado de </w:t>
      </w:r>
      <w:sdt>
        <w:sdtPr>
          <w:tag w:val="MENDELEY_CITATION_v3_eyJjaXRhdGlvbklEIjoiTUVOREVMRVlfQ0lUQVRJT05fMGQ2OGFlZTctOWRjMS00OTk1LWExOWEtMTBkNDg2MzljOWUz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244327310"/>
          <w:placeholder>
            <w:docPart w:val="DefaultPlaceholder_-1854013440"/>
          </w:placeholder>
        </w:sdtPr>
        <w:sdtContent>
          <w:r>
            <w:rPr>
              <w:lang w:val="pt-PT"/>
            </w:rPr>
          </w:r>
          <w:r>
            <w:rPr>
              <w:rFonts w:cs="Arial"/>
              <w:color w:val="000000"/>
              <w:lang w:val="pt-PT"/>
            </w:rPr>
            <w:t>(Lim et al., 2018)</w:t>
          </w:r>
        </w:sdtContent>
      </w:sdt>
      <w:r>
        <w:rPr>
          <w:lang w:val="pt-PT"/>
        </w:rPr>
        <w:t xml:space="preserve">. </w:t>
      </w:r>
      <w:r>
        <w:rPr>
          <w:lang w:val="en-US"/>
        </w:rPr>
        <w:t>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rPr>
          <w:lang w:val="en-US"/>
        </w:rPr>
      </w:pPr>
      <w:r>
        <w:rPr>
          <w:lang w:val="en-US"/>
        </w:rPr>
      </w:r>
    </w:p>
    <w:p>
      <w:pPr>
        <w:pStyle w:val="Heading3"/>
        <w:numPr>
          <w:ilvl w:val="0"/>
          <w:numId w:val="0"/>
        </w:numPr>
        <w:ind w:hanging="0" w:start="0"/>
        <w:rPr/>
      </w:pPr>
      <w:bookmarkStart w:id="108" w:name="_Toc235564981"/>
      <w:r>
        <w:rPr/>
        <w:t>Métodos de recolha de dados antropométricos</w:t>
      </w:r>
      <w:bookmarkEnd w:id="108"/>
    </w:p>
    <w:p>
      <w:pPr>
        <w:pStyle w:val="TextoNormal-IPCA"/>
        <w:keepNext w:val="true"/>
        <w:rPr/>
      </w:pPr>
      <w:r>
        <w:rPr/>
      </w:r>
    </w:p>
    <w:p>
      <w:pPr>
        <w:pStyle w:val="TextoNormal-IPCA"/>
        <w:rPr/>
      </w:pPr>
      <w:r>
        <w:rPr/>
        <w:t xml:space="preserve">Os dados podem ser recolhidos por diferentes métodos, com implicações diretas na precisão das medições e na sua tradução em parâmetros de projeto. A escolha depende do objetivo da medição: parametrização dimensional básica, reconstrução geométrica fina, desenho do encaixe ou obtenção de relações internas entre superfícies e estruturas ósseas. </w:t>
      </w:r>
      <w:sdt>
        <w:sdtPr>
          <w:tag w:val="MENDELEY_CITATION_v3_eyJjaXRhdGlvbklEIjoiTUVOREVMRVlfQ0lUQVRJT05fOTNlODJhMzQtNWEzNS00M2Y5LWJiNDAtY2ExODgwM2VjNWYz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fV19"/>
          <w:id w:val="44343724"/>
          <w:placeholder>
            <w:docPart w:val="DefaultPlaceholder_-1854013440"/>
          </w:placeholder>
        </w:sdtPr>
        <w:sdtContent>
          <w:r>
            <w:rPr/>
          </w:r>
          <w:r>
            <w:rPr>
              <w:color w:val="000000"/>
            </w:rPr>
            <w:t>Ciklacandir et al. (2022)</w:t>
          </w:r>
        </w:sdtContent>
      </w:sdt>
      <w:r>
        <w:rPr/>
        <w:t xml:space="preserve"> e </w:t>
      </w:r>
      <w:sdt>
        <w:sdtPr>
          <w:tag w:val="MENDELEY_CITATION_v3_eyJjaXRhdGlvbklEIjoiTUVOREVMRVlfQ0lUQVRJT05fMDZkNjcwMGEtZTA4MC00YTZmLWE3MTctYjg5ZjljM2JkNzg5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
          <w:id w:val="1114869089"/>
          <w:placeholder>
            <w:docPart w:val="DefaultPlaceholder_-1854013440"/>
          </w:placeholder>
        </w:sdtPr>
        <w:sdtContent>
          <w:r>
            <w:rPr/>
          </w:r>
          <w:r>
            <w:rPr>
              <w:color w:val="000000"/>
            </w:rPr>
            <w:t>(Herbst et al., 2021)</w:t>
          </w:r>
        </w:sdtContent>
      </w:sdt>
      <w:r>
        <w:rPr/>
        <w:t xml:space="preserve"> mostram que nenhum método é universalmente superior; a sua adequação varia em função do custo, da acessibilidade e do tipo de dados necessários </w:t>
      </w:r>
      <w:sdt>
        <w:sdtPr>
          <w:tag w:val="MENDELEY_CITATION_v3_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"/>
          <w:id w:val="1446960335"/>
          <w:placeholder>
            <w:docPart w:val="DefaultPlaceholder_-1854013440"/>
          </w:placeholder>
        </w:sdtPr>
        <w:sdtContent>
          <w:r>
            <w:rPr/>
          </w:r>
          <w:r>
            <w:rPr>
              <w:color w:val="000000"/>
            </w:rPr>
            <w:t>(Ciklacandir et al., 2022; Herbst et al., 2021)</w:t>
          </w:r>
        </w:sdtContent>
      </w:sdt>
      <w:r>
        <w:rPr/>
        <w:t>.</w:t>
      </w:r>
    </w:p>
    <w:p>
      <w:pPr>
        <w:pStyle w:val="TextoNormal-IPCA"/>
        <w:keepNext w:val="true"/>
        <w:rPr/>
      </w:pPr>
      <w:r>
        <w:rPr/>
      </w:r>
    </w:p>
    <w:p>
      <w:pPr>
        <w:pStyle w:val="Caption"/>
        <w:rPr/>
      </w:pPr>
      <w:bookmarkStart w:id="109" w:name="_Toc235562532"/>
      <w:r>
        <w:rPr/>
        <w:t xml:space="preserve">Tabela </w:t>
      </w:r>
      <w:r>
        <w:rPr/>
        <w:fldChar w:fldCharType="begin"/>
      </w:r>
      <w:r>
        <w:rPr/>
        <w:instrText xml:space="preserve"> SEQ Tabela \* ARABIC </w:instrText>
      </w:r>
      <w:r>
        <w:rPr/>
        <w:fldChar w:fldCharType="separate"/>
      </w:r>
      <w:r>
        <w:rPr/>
        <w:t>9</w:t>
      </w:r>
      <w:r>
        <w:rPr/>
        <w:fldChar w:fldCharType="end"/>
      </w:r>
      <w:r>
        <w:rPr/>
        <w:t xml:space="preserve"> — Métodos de recolha de dados antropométricos e suas características</w:t>
      </w:r>
      <w:bookmarkEnd w:id="109"/>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Aquisição preliminar</w:t>
            </w:r>
          </w:p>
        </w:tc>
      </w:tr>
    </w:tbl>
    <w:p>
      <w:pPr>
        <w:pStyle w:val="Heading3"/>
        <w:numPr>
          <w:ilvl w:val="0"/>
          <w:numId w:val="0"/>
        </w:numPr>
        <w:ind w:hanging="0" w:start="0"/>
        <w:rPr/>
      </w:pPr>
      <w:r>
        <w:rPr/>
      </w:r>
    </w:p>
    <w:p>
      <w:pPr>
        <w:pStyle w:val="Heading3"/>
        <w:numPr>
          <w:ilvl w:val="0"/>
          <w:numId w:val="0"/>
        </w:numPr>
        <w:ind w:hanging="0" w:start="0"/>
        <w:rPr/>
      </w:pPr>
      <w:bookmarkStart w:id="110" w:name="_Toc235564982"/>
      <w:r>
        <w:rPr/>
        <w:t>Bases de dados antropométricas, extracção e normalização</w:t>
      </w:r>
      <w:bookmarkEnd w:id="110"/>
    </w:p>
    <w:p>
      <w:pPr>
        <w:pStyle w:val="TextoNormal-IPCA"/>
        <w:keepNext w:val="true"/>
        <w:rPr/>
      </w:pPr>
      <w:r>
        <w:rPr/>
      </w:r>
    </w:p>
    <w:p>
      <w:pPr>
        <w:pStyle w:val="TextoNormal-IPCA"/>
        <w:rPr/>
      </w:pPr>
      <w:r>
        <w:rPr/>
        <w:t>A configuração utiliza uma base local em formato longo, na qual cada linha representa uma estatística associada a uma medida e a um grupo, e não uma pessoa. O conjunto reúne fontes populacionais heterogéneas quanto à idade, ao sexo, ao país, à amostra, ao protocolo e às estatísticas disponíveis. Os valores constituem, por isso, referências iniciais, não substitutos da medição individual.</w:t>
      </w:r>
    </w:p>
    <w:p>
      <w:pPr>
        <w:pStyle w:val="TextoNormal-IPCA"/>
        <w:rPr/>
      </w:pPr>
      <w:r>
        <w:rPr/>
        <w:t>Na modelação, a base permite identificar medidas recorrentes, apoiar a definição de intervalos de configuração e fornecer casos populacionais para examinar a propagação dos parâmetros. A origem documental, a população, a unidade e as notas de qualidade mantêm-se associadas a cada valor, o que permite regressar à fonte quando surgem incompatibilidades.</w:t>
      </w:r>
    </w:p>
    <w:p>
      <w:pPr>
        <w:pStyle w:val="TextoNormal-IPCA"/>
        <w:rPr/>
      </w:pPr>
      <w:r>
        <w:rPr/>
        <w:t>A extração, a seleção das fontes, a normalização para milímetros, a cobertura populacional e as limitações documentais são apresentadas integralmente no Anexo A. No corpo do capítulo permanecem apenas as regras que influenciam decisões geométricas: as medidas disponíveis, a correspondência com os campos do modelo, o tratamento de ausências e os limites de utilização.</w:t>
      </w:r>
    </w:p>
    <w:p>
      <w:pPr>
        <w:pStyle w:val="TextoNormal-IPCA"/>
        <w:rPr/>
      </w:pPr>
      <w:r>
        <w:rPr/>
        <w:t>A maioria dos dados descreve pessoas sem amputação, pelo que não representa a forma do membro residual, a deformação dos tecidos nem a interface corpo–dispositivo. Uma referência populacional pode apoiar a configuração inicial, mas a adaptação individual requer medidas diretas, eventual digitalização tridimensional e avaliação própria.</w:t>
      </w:r>
    </w:p>
    <w:p>
      <w:pPr>
        <w:pStyle w:val="TextoNormal-IPCA"/>
        <w:keepNext w:val="true"/>
        <w:rPr/>
      </w:pPr>
      <w:r>
        <w:rPr/>
      </w:r>
    </w:p>
    <w:p>
      <w:pPr>
        <w:pStyle w:val="Caption"/>
        <w:rPr/>
      </w:pPr>
      <w:bookmarkStart w:id="111" w:name="_Toc235562533"/>
      <w:r>
        <w:rPr/>
        <w:t xml:space="preserve">Tabela  </w:t>
      </w:r>
      <w:r>
        <w:rPr/>
        <w:fldChar w:fldCharType="begin"/>
      </w:r>
      <w:r>
        <w:rPr/>
        <w:instrText xml:space="preserve"> SEQ Tabela \* ARABIC </w:instrText>
      </w:r>
      <w:r>
        <w:rPr/>
        <w:fldChar w:fldCharType="separate"/>
      </w:r>
      <w:r>
        <w:rPr/>
        <w:t>10</w:t>
      </w:r>
      <w:r>
        <w:rPr/>
        <w:fldChar w:fldCharType="end"/>
      </w:r>
      <w:r>
        <w:rPr/>
        <w:t>— Funções e limites da base antropométrica na configuração</w:t>
      </w:r>
      <w:bookmarkEnd w:id="111"/>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075"/>
        <w:gridCol w:w="3038"/>
        <w:gridCol w:w="3674"/>
      </w:tblGrid>
      <w:tr>
        <w:trPr>
          <w:tblHeader w:val="true"/>
          <w:cantSplit/>
        </w:trPr>
        <w:tc>
          <w:tcPr>
            <w:tcW w:w="2075"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Função no projeto</w:t>
            </w:r>
          </w:p>
        </w:tc>
        <w:tc>
          <w:tcPr>
            <w:tcW w:w="303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Limite de interpretação</w:t>
            </w:r>
          </w:p>
        </w:tc>
      </w:tr>
      <w:tr>
        <w:trPr>
          <w:cantSplit/>
        </w:trPr>
        <w:tc>
          <w:tcPr>
            <w:tcW w:w="207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Identificar medidas recorrentes</w:t>
            </w:r>
          </w:p>
        </w:tc>
        <w:tc>
          <w:tcPr>
            <w:tcW w:w="30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Medidas com o mesmo nome podem usar pontos anatómicos diferentes</w:t>
            </w:r>
          </w:p>
        </w:tc>
      </w:tr>
      <w:tr>
        <w:trPr>
          <w:cantSplit/>
        </w:trPr>
        <w:tc>
          <w:tcPr>
            <w:tcW w:w="207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Definir intervalos iniciais</w:t>
            </w:r>
          </w:p>
        </w:tc>
        <w:tc>
          <w:tcPr>
            <w:tcW w:w="30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Os intervalos populacionais não constituem limites clínicos</w:t>
            </w:r>
          </w:p>
        </w:tc>
      </w:tr>
      <w:tr>
        <w:trPr>
          <w:cantSplit/>
        </w:trPr>
        <w:tc>
          <w:tcPr>
            <w:tcW w:w="207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Construir casos de ensaio</w:t>
            </w:r>
          </w:p>
        </w:tc>
        <w:tc>
          <w:tcPr>
            <w:tcW w:w="30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perfil agregado não representa uma pessoa nem assegura correspondência nacional</w:t>
            </w:r>
          </w:p>
        </w:tc>
      </w:tr>
      <w:tr>
        <w:trPr>
          <w:cantSplit/>
        </w:trPr>
        <w:tc>
          <w:tcPr>
            <w:tcW w:w="207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Preencher parâmetros disponíveis</w:t>
            </w:r>
          </w:p>
        </w:tc>
        <w:tc>
          <w:tcPr>
            <w:tcW w:w="30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bookmarkStart w:id="112" w:name="_Toc235564983"/>
      <w:r>
        <w:rPr/>
        <w:t>Correspondência entre perfil populacional e parâmetros do modelo</w:t>
      </w:r>
      <w:bookmarkEnd w:id="112"/>
    </w:p>
    <w:p>
      <w:pPr>
        <w:pStyle w:val="TextoNormal-IPCA"/>
        <w:keepNext w:val="true"/>
        <w:rPr/>
      </w:pPr>
      <w:r>
        <w:rPr/>
      </w:r>
    </w:p>
    <w:p>
      <w:pPr>
        <w:pStyle w:val="TextoNormal-IPCA"/>
        <w:rPr/>
      </w:pPr>
      <w:r>
        <w:rPr/>
        <w:t>A plataforma converte as linhas dos CSV em perfis agregados, armazenados na base local da aplicação. No fecho do estudo, existiam 100 perfis: 97 importados em lote, dois por importação CSV e um criado manualmente. A correspondência entre uma descrição e estes perfis é determinística e realiza-se num serviço determinístico de correspondência de perfis.</w:t>
      </w:r>
    </w:p>
    <w:p>
      <w:pPr>
        <w:pStyle w:val="TextoNormal-IPCA"/>
        <w:rPr/>
      </w:pPr>
      <w:r>
        <w:rPr/>
        <w:t>O algoritmo extrai do texto o sexo e a idade, recorrendo opcionalmente a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corresponde ao seu ponto médio; num intervalo aberto, como «65+», acrescentam-se cinco anos ao limite. O perfil apenas é selecionado se a pontuação atingir 3. Quando o país indicado não consta da base, esse critério não acrescenta pontuação.</w:t>
      </w:r>
    </w:p>
    <w:p>
      <w:pPr>
        <w:pStyle w:val="TextoNormal-IPCA"/>
        <w:rPr/>
      </w:pPr>
      <w:r>
        <w:rPr/>
        <w:t>Após a seleção, um mapa canónico associa cada parâmetro a um caminho da estrutura antropométrica. As principais ligações incluem palm_breadth_mm a palm.width_mm, palm_length_mm a palm.length_mm, os comprimentos dos cinco dedos aos respetivos campos digits.*.total_length_mm, os comprimentos proximais a digits.*.proximal_length_mm e wrist_circumference_mm a wrist.circumference_mm. Apenas são aplicados parâmetros numéricos presentes no modelo e com medida positiva no perfil. Cada valor é arredondado a uma casa decimal e limitado pelo mínimo e máximo declarados. Os campos ausentes são ignorados, permanecendo disponíveis para introdução manual ou sugestão da IA.</w:t>
      </w:r>
    </w:p>
    <w:p>
      <w:pPr>
        <w:pStyle w:val="TextoNormal-IPCA"/>
        <w:rPr/>
      </w:pPr>
      <w:r>
        <w:rPr/>
        <w:t>Este processo seleciona uma referência inicial, não um equivalente individual. A pontuação é uma regra de correspondência desenvolvida para o protótipo e não representa uma distância antropométrica validada entre populações. No cenário «</w:t>
      </w:r>
      <w:r>
        <w:rPr>
          <w:i/>
          <w:iCs/>
        </w:rPr>
        <w:t>girl, 10 years old, ... Japan</w:t>
      </w:r>
      <w:r>
        <w:rPr/>
        <w:t>», por exemplo, a ausência do Japão leva o algoritmo a usar o sexo, a idade, a proximidade etária e a qualidade do grupo, sem evidência nacional japonesa.</w:t>
      </w:r>
    </w:p>
    <w:p>
      <w:pPr>
        <w:pStyle w:val="Heading3"/>
        <w:numPr>
          <w:ilvl w:val="0"/>
          <w:numId w:val="0"/>
        </w:numPr>
        <w:ind w:hanging="0" w:start="0"/>
        <w:rPr/>
      </w:pPr>
      <w:bookmarkStart w:id="113" w:name="_Toc235564984"/>
      <w:r>
        <w:rPr/>
        <w:t>Estrutura paramétrica e mapeamento de parâmetros</w:t>
      </w:r>
      <w:bookmarkEnd w:id="113"/>
    </w:p>
    <w:p>
      <w:pPr>
        <w:pStyle w:val="TextoNormal-IPCA"/>
        <w:keepNext w:val="true"/>
        <w:rPr/>
      </w:pPr>
      <w:r>
        <w:rPr/>
      </w:r>
    </w:p>
    <w:p>
      <w:pPr>
        <w:pStyle w:val="TextoNormal-IPCA"/>
        <w:rPr/>
      </w:pPr>
      <w:r>
        <w:rPr/>
        <w:t xml:space="preserve">A estrutura do modelo paramétrico organiza os parâmetros de forma hierárquica e relacional, distinguindo-os em primários, derivados, funcionais e construtivos. Esta distinção impede que o modelo seja metodologicamente tratado como um conjunto plano de medidas independentes. Estabelece-se antes uma cadeia de transformação na qual algumas variáveis constituem as principais entradas do utilizador, enquanto outras correspondem às suas consequências geométricas, cinemáticas ou produtivas </w:t>
      </w:r>
      <w:sdt>
        <w:sdtPr>
          <w:tag w:val="MENDELEY_CITATION_v3_eyJjaXRhdGlvbklEIjoiTUVOREVMRVlfQ0lUQVRJT05fNDY5ZDdiZTktODI3MS00NjFlLThmM2UtOGE0MDUyOGE2ZjA1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
          <w:id w:val="-58250613"/>
          <w:placeholder>
            <w:docPart w:val="DefaultPlaceholder_-1854013440"/>
          </w:placeholder>
        </w:sdtPr>
        <w:sdtContent>
          <w:r>
            <w:rPr/>
          </w:r>
          <w:r>
            <w:rPr>
              <w:color w:val="000000"/>
            </w:rPr>
            <w:t>(Moreo, 2016; R. C. da S. Romero et al., 2025)</w:t>
          </w:r>
        </w:sdtContent>
      </w:sdt>
      <w:r>
        <w:rPr/>
        <w:t>.</w:t>
      </w:r>
    </w:p>
    <w:p>
      <w:pPr>
        <w:pStyle w:val="TextoNormal-IPCA"/>
        <w:keepNext w:val="true"/>
        <w:rPr/>
      </w:pPr>
      <w:r>
        <w:rPr/>
      </w:r>
    </w:p>
    <w:p>
      <w:pPr>
        <w:pStyle w:val="Caption"/>
        <w:keepNext w:val="true"/>
        <w:rPr/>
      </w:pPr>
      <w:bookmarkStart w:id="114" w:name="_Toc235562534"/>
      <w:r>
        <w:rPr/>
        <w:t xml:space="preserve">Tabela </w:t>
      </w:r>
      <w:r>
        <w:rPr/>
        <w:fldChar w:fldCharType="begin"/>
      </w:r>
      <w:r>
        <w:rPr/>
        <w:instrText xml:space="preserve"> SEQ Tabela \* ARABIC </w:instrText>
      </w:r>
      <w:r>
        <w:rPr/>
        <w:fldChar w:fldCharType="separate"/>
      </w:r>
      <w:r>
        <w:rPr/>
        <w:t>11</w:t>
      </w:r>
      <w:r>
        <w:rPr/>
        <w:fldChar w:fldCharType="end"/>
      </w:r>
      <w:r>
        <w:rPr/>
        <w:t xml:space="preserve"> — Estrutura hierárquica dos parâmetros no modelo paramétrico</w:t>
      </w:r>
      <w:bookmarkEnd w:id="114"/>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Ajuste técnico</w:t>
            </w:r>
          </w:p>
        </w:tc>
      </w:tr>
    </w:tbl>
    <w:p>
      <w:pPr>
        <w:pStyle w:val="TextoNormal-IPCA"/>
        <w:rPr/>
      </w:pPr>
      <w:r>
        <w:rPr/>
      </w:r>
    </w:p>
    <w:p>
      <w:pPr>
        <w:pStyle w:val="TextoNormal-IPCA"/>
        <w:rPr/>
      </w:pPr>
      <w:r>
        <w:rPr/>
        <w:t>Estes parâmetros são traduzidos em geometria através de relações explícitas entre as medições e os componentes do modelo.</w:t>
      </w:r>
    </w:p>
    <w:p>
      <w:pPr>
        <w:pStyle w:val="Heading3"/>
        <w:numPr>
          <w:ilvl w:val="0"/>
          <w:numId w:val="0"/>
        </w:numPr>
        <w:ind w:hanging="0" w:start="0"/>
        <w:rPr/>
      </w:pPr>
      <w:r>
        <w:rPr/>
      </w:r>
    </w:p>
    <w:p>
      <w:pPr>
        <w:pStyle w:val="Heading3"/>
        <w:numPr>
          <w:ilvl w:val="0"/>
          <w:numId w:val="0"/>
        </w:numPr>
        <w:ind w:hanging="0" w:start="0"/>
        <w:rPr/>
      </w:pPr>
      <w:bookmarkStart w:id="115" w:name="_Toc235564985"/>
      <w:r>
        <w:rPr/>
        <w:t>OpenSCAD: enquadramento e justificação da escolha</w:t>
      </w:r>
      <w:bookmarkEnd w:id="115"/>
    </w:p>
    <w:p>
      <w:pPr>
        <w:pStyle w:val="TextoNormal-IPCA"/>
        <w:keepNext w:val="true"/>
        <w:rPr/>
      </w:pPr>
      <w:r>
        <w:rPr/>
      </w:r>
    </w:p>
    <w:p>
      <w:pPr>
        <w:pStyle w:val="TextoNormal-IPCA"/>
        <w:rPr/>
      </w:pPr>
      <w:r>
        <w:rPr/>
        <w:t xml:space="preserve">Antes da formalização do modelo, é necessário esclarecer o que é o OpenSCAD e a razão da sua escolha como ambiente de modelação paramétrica neste projeto. O OpenSCAD é um ambiente livre e </w:t>
      </w:r>
      <w:r>
        <w:rPr>
          <w:i/>
          <w:iCs/>
        </w:rPr>
        <w:t>open source</w:t>
      </w:r>
      <w:r>
        <w:rPr/>
        <w:t xml:space="preserve"> de CAD tridimensional, baseado em ficheiros de </w:t>
      </w:r>
      <w:r>
        <w:rPr>
          <w:i/>
          <w:iCs/>
        </w:rPr>
        <w:t>script</w:t>
      </w:r>
      <w:r>
        <w:rPr/>
        <w:t xml:space="preserve"> e orientado para a criação de geometria sólida, não para a modelação artística de superfícies. O modelo é descrito num ficheiro .scad, escrito numa linguagem própria, que o programa interpreta para gerar o sólido correspondente. Em termos geométricos, o OpenSCAD baseia-se numa lógica de </w:t>
      </w:r>
      <w:r>
        <w:rPr>
          <w:i/>
          <w:iCs/>
        </w:rPr>
        <w:t>Constructive Solid Geometry</w:t>
      </w:r>
      <w:r>
        <w:rPr/>
        <w:t xml:space="preserve"> (CSG), em que primitivas como cubos, cilindros, esferas e extrusões são combinadas mediante operações booleanas, transformações e relações hierárquicas entre módulos </w:t>
      </w:r>
      <w:sdt>
        <w:sdtPr>
          <w:tag w:val="MENDELEY_CITATION_v3_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"/>
          <w:id w:val="-608202288"/>
          <w:placeholder>
            <w:docPart w:val="DefaultPlaceholder_-1854013440"/>
          </w:placeholder>
        </w:sdtPr>
        <w:sdtContent>
          <w:r>
            <w:rPr/>
          </w:r>
          <w:r>
            <w:rPr>
              <w:color w:val="000000"/>
            </w:rPr>
            <w:t>(Avila et al., 2024; Ghali, 2008)</w:t>
          </w:r>
        </w:sdtContent>
      </w:sdt>
      <w:r>
        <w:rPr/>
        <w:t>.</w:t>
      </w:r>
    </w:p>
    <w:p>
      <w:pPr>
        <w:pStyle w:val="TextoNormal-IPCA"/>
        <w:rPr/>
      </w:pPr>
      <w:r>
        <w:rPr/>
        <w:t xml:space="preserve">A natureza programável do OpenSCAD distingue-o dos ambientes CAD convencionais, assentes sobretudo na manipulação gráfica direta. Em muitos sistemas CAD, o utilizador constrói uma sequência de operações num histórico visual e parametriza algumas das suas características. No OpenSCAD, a descrição textual constitui o próprio modelo paramétrico: as variáveis, funções e módulos não são uma camada posterior aplicada à geometria, mas a estrutura que a gera. Para a investigação, esta diferença torna mais explícitas, reexecutáveis e documentáveis as relações entre parâmetros, componentes e restrições, embora implique uma curva de aprendizagem maior e dificuldades conhecidas na navegação código-vista, na validação e na criação de formas orgânicas complexas </w:t>
      </w:r>
      <w:sdt>
        <w:sdtPr>
          <w:tag w:val="MENDELEY_CITATION_v3_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"/>
          <w:id w:val="2083559016"/>
          <w:placeholder>
            <w:docPart w:val="DefaultPlaceholder_-1854013440"/>
          </w:placeholder>
        </w:sdtPr>
        <w:sdtContent>
          <w:r>
            <w:rPr/>
          </w:r>
          <w:r>
            <w:rPr>
              <w:color w:val="000000"/>
            </w:rPr>
            <w:t>(Gonzalez Avila, 2024; Trautmann, 2021)</w:t>
          </w:r>
        </w:sdtContent>
      </w:sdt>
      <w:r>
        <w:rPr/>
        <w:t>.</w:t>
      </w:r>
    </w:p>
    <w:p>
      <w:pPr>
        <w:pStyle w:val="TextoNormal-IPCA"/>
        <w:rPr/>
      </w:pPr>
      <w:r>
        <w:rPr/>
        <w:t xml:space="preserve">A escolha do OpenSCAD decorre da sua adequação a processos documentados e consistentes de </w:t>
      </w:r>
      <w:r>
        <w:rPr>
          <w:i/>
          <w:iCs/>
        </w:rPr>
        <w:t>design</w:t>
      </w:r>
      <w:r>
        <w:rPr/>
        <w:t xml:space="preserve"> paramétrico. Por ser constituído por texto simples, o ficheiro-fonte pode ser mantido sob controlo de versões, comparado, analisado e reutilizado, facilitando o registo das decisões de modelação e a regeneração de variantes. Esta característica é valorizada no </w:t>
      </w:r>
      <w:r>
        <w:rPr>
          <w:i/>
          <w:iCs/>
        </w:rPr>
        <w:t>hardware</w:t>
      </w:r>
      <w:r>
        <w:rPr/>
        <w:t xml:space="preserve"> científico e </w:t>
      </w:r>
      <w:r>
        <w:rPr>
          <w:i/>
          <w:iCs/>
        </w:rPr>
        <w:t>open source</w:t>
      </w:r>
      <w:r>
        <w:rPr/>
        <w:t xml:space="preserve">, em que a documentação do processo assume uma importância equivalente à do ficheiro final exportado. O OpenSCAD também pode ser executado por linha de comando, receber valores por parâmetros e exportar automaticamente geometrias para formatos de fabrico digital, como STL ou 3MF, sendo assim compatível com fluxos de geração em lote e configuradores digitais </w:t>
      </w:r>
      <w:sdt>
        <w:sdtPr>
          <w:tag w:val="MENDELEY_CITATION_v3_eyJjaXRhdGlvbklEIjoiTUVOREVMRVlfQ0lUQVRJT05fYjdhODM5NmItMTViMi00OWZmLTgzM2UtNmI2NzFkMzdjNzBh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
          <w:id w:val="-1429335074"/>
          <w:placeholder>
            <w:docPart w:val="DefaultPlaceholder_-1854013440"/>
          </w:placeholder>
        </w:sdtPr>
        <w:sdtContent>
          <w:r>
            <w:rPr/>
          </w:r>
          <w:r>
            <w:rPr>
              <w:color w:val="000000"/>
            </w:rPr>
            <w:t>(Machado et al., 2019)</w:t>
          </w:r>
        </w:sdtContent>
      </w:sdt>
      <w:r>
        <w:rPr/>
        <w:t>.</w:t>
      </w:r>
    </w:p>
    <w:p>
      <w:pPr>
        <w:pStyle w:val="TextoNormal-IPCA"/>
        <w:rPr/>
      </w:pPr>
      <w:r>
        <w:rPr/>
        <w:t xml:space="preserve">Em segundo lugar, o OpenSCAD adequa-se à arquitetura </w:t>
      </w:r>
      <w:r>
        <w:rPr>
          <w:i/>
          <w:iCs/>
        </w:rPr>
        <w:t>web</w:t>
      </w:r>
      <w:r>
        <w:rPr/>
        <w:t xml:space="preserve"> proposta nesta investigação. A separação entre a definição geométrica e a interface permite manter o ficheiro .scad como núcleo técnico do modelo, enquanto a plataforma apresenta ao utilizador os parâmetros relevantes. Esta lógica foi já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ao demonstrar que o motor de geração pode ser executado no navegador e associado a editores, visualizadores 3D e interfaces de personalização, sem exigir a instalação local de </w:t>
      </w:r>
      <w:r>
        <w:rPr>
          <w:i/>
          <w:iCs/>
        </w:rPr>
        <w:t>software</w:t>
      </w:r>
      <w:r>
        <w:rPr/>
        <w:t xml:space="preserve"> CAD completo (</w:t>
      </w:r>
      <w:sdt>
        <w:sdtPr>
          <w:tag w:val="MENDELEY_CITATION_v3_eyJjaXRhdGlvbklEIjoiTUVOREVMRVlfQ0lUQVRJT05fYTM4MThhZDYtNWE5NS00Y2E0LTllNGEtMWE0Zjg0ODMxMmFkIiwicHJvcGVydGllcyI6eyJub3RlSW5kZXgiOjB9LCJpc0VkaXRlZCI6ZmFsc2UsIm1hbnVhbE92ZXJyaWRlIjp7ImlzTWFudWFsbHlPdmVycmlkZGVuIjp0cnVlLCJjaXRlcHJvY1RleHQiOiIoQ2FtZXJvbiBCcm9va3MsIDIwMjY7IE5pbHNpYW0gJiMzODsgUGVhcmNlLCAyMDE3KSIsIm1hbnVhbE92ZXJyaWRlVGV4dCI6IkNhbWVyb24gQnJvb2tzLCAyMDI2OyBOaWxzaWFtICYgUGVhcmNlLCAyMDE3KS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"/>
          <w:id w:val="794037053"/>
          <w:placeholder>
            <w:docPart w:val="DefaultPlaceholder_-1854013440"/>
          </w:placeholder>
        </w:sdtPr>
        <w:sdtContent>
          <w:r>
            <w:rPr/>
          </w:r>
          <w:r>
            <w:rPr>
              <w:rFonts w:eastAsia="Times New Roman"/>
              <w:color w:val="000000"/>
            </w:rPr>
            <w:t>Cameron Brooks, 2026; Nilsiam &amp; Pearce, 2017)</w:t>
          </w:r>
        </w:sdtContent>
      </w:sdt>
    </w:p>
    <w:p>
      <w:pPr>
        <w:pStyle w:val="TextoNormal-IPCA"/>
        <w:rPr/>
      </w:pPr>
      <w:r>
        <w:rPr/>
        <w:t xml:space="preserve">Em terceiro lugar, o OpenSCAD é particularmente compatível com um fluxo de </w:t>
      </w:r>
      <w:r>
        <w:rPr>
          <w:i/>
          <w:iCs/>
        </w:rPr>
        <w:t>design</w:t>
      </w:r>
      <w:r>
        <w:rPr/>
        <w:t xml:space="preserve"> apoiado por inteligência artificial. Por expressar a geometria em código curto, estruturado e relativamente legível, permite que uma IA sugira valores, explique relações entre variáveis ou proponha alterações ao </w:t>
      </w:r>
      <w:r>
        <w:rPr>
          <w:i/>
          <w:iCs/>
        </w:rPr>
        <w:t>script</w:t>
      </w:r>
      <w:r>
        <w:rPr/>
        <w:t xml:space="preserve"> sem substituir a lógica paramétrica por uma geometria opaca. Trabalhos recentes sobre a geração de modelos 3D a partir de linguagem natural e a automatização do desenho paramétrico mostram que os modelos de linguagem podem atuar sobre </w:t>
      </w:r>
      <w:r>
        <w:rPr>
          <w:i/>
          <w:iCs/>
        </w:rPr>
        <w:t>scripts</w:t>
      </w:r>
      <w:r>
        <w:rPr/>
        <w:t xml:space="preserve"> CAD, embora continuem a exigir revisão humana, verificação dimensional e validação técnica antes de qualquer aplicação produtiva ou clínica </w:t>
      </w:r>
      <w:sdt>
        <w:sdtPr>
          <w:tag w:val="MENDELEY_CITATION_v3_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"/>
          <w:id w:val="-1723516021"/>
          <w:placeholder>
            <w:docPart w:val="DefaultPlaceholder_-1854013440"/>
          </w:placeholder>
        </w:sdtPr>
        <w:sdtContent>
          <w:r>
            <w:rPr/>
          </w:r>
          <w:r>
            <w:rPr>
              <w:rFonts w:eastAsia="Times New Roman"/>
              <w:color w:val="000000"/>
            </w:rPr>
            <w:t>(ELhadad et al., 2025; Gonzalez Avila, 2024; Schöfer &amp; Seibel, 2025)</w:t>
          </w:r>
        </w:sdtContent>
      </w:sdt>
      <w:r>
        <w:rPr/>
        <w:t>.</w:t>
      </w:r>
    </w:p>
    <w:p>
      <w:pPr>
        <w:pStyle w:val="TextoNormal-IPCA"/>
        <w:rPr/>
      </w:pPr>
      <w:r>
        <w:rPr/>
        <w:t xml:space="preserve">No contexto específico das próteses e das tecnologias de apoio, esta escolha é reforçada por estudos que recorrem à modelação paramétrica para adaptar dedos protésicos, mãos mecânicas acionadas pelo corpo e outros dispositivos de apoio às medidas ou necessidades do utilizador. Estes trabalhos não eliminam a necessidade de ensaios funcionais, avaliação ergonómica ou validação clínica, mas demonstram que a personalização geométrica pode ser estruturada através de parâmetros explícitos e modelos reexecutáveis. Neste projeto, o OpenSCAD é adequado não por resolver isoladamente o problema da prótese personalizada, mas por oferecer uma base transparente para relacionar medidas antropométricas, regras de modelação, interface </w:t>
      </w:r>
      <w:r>
        <w:rPr>
          <w:i/>
          <w:iCs/>
        </w:rPr>
        <w:t>web</w:t>
      </w:r>
      <w:r>
        <w:rPr/>
        <w:t xml:space="preserve">, sugestões de IA, exportação para fabrico aditivo e revisão humana </w:t>
      </w:r>
      <w:sdt>
        <w:sdtPr>
          <w:tag w:val="MENDELEY_CITATION_v3_eyJjaXRhdGlvbklEIjoiTUVOREVMRVlfQ0lUQVRJT05fZjdmNDE4OGEtMDQ5Mi00YzliLWIwMTUtOWEyYzU5Y2NhODU0IiwicHJvcGVydGllcyI6eyJub3RlSW5kZXgiOjB9LCJpc0VkaXRlZCI6ZmFsc2UsIm1hbnVhbE92ZXJyaWRlIjp7ImlzTWFudWFsbHlPdmVycmlkZGVuIjpmYWxzZSwiY2l0ZXByb2NUZXh0IjoiKEJ1c3RhbWFudGUgZXQgYWwuLCAyMDE4OyBMaW0gZXQgYWwuLCAyMDE4OyBSb21hbmkgJiMzODsgTGV2aSwgMjAyM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"/>
          <w:id w:val="-702326419"/>
          <w:placeholder>
            <w:docPart w:val="DefaultPlaceholder_-1854013440"/>
          </w:placeholder>
        </w:sdtPr>
        <w:sdtContent>
          <w:r>
            <w:rPr/>
          </w:r>
          <w:r>
            <w:rPr>
              <w:rFonts w:eastAsia="Times New Roman"/>
              <w:color w:val="000000"/>
            </w:rPr>
            <w:t>(Bustamante et al., 2018; Lim et al., 2018; Romani &amp; Levi, 2020)</w:t>
          </w:r>
        </w:sdtContent>
      </w:sdt>
      <w:r>
        <w:rPr/>
        <w:t>.</w:t>
      </w:r>
    </w:p>
    <w:p>
      <w:pPr>
        <w:pStyle w:val="TextoNormal-IPCA"/>
        <w:keepNext w:val="true"/>
        <w:rPr/>
      </w:pPr>
      <w:r>
        <w:rPr/>
      </w:r>
    </w:p>
    <w:p>
      <w:pPr>
        <w:pStyle w:val="Caption"/>
        <w:keepNext w:val="true"/>
        <w:rPr/>
      </w:pPr>
      <w:bookmarkStart w:id="116" w:name="_Toc235562535"/>
      <w:r>
        <w:rPr/>
        <w:t xml:space="preserve">Tabela </w:t>
      </w:r>
      <w:r>
        <w:rPr/>
        <w:fldChar w:fldCharType="begin"/>
      </w:r>
      <w:r>
        <w:rPr/>
        <w:instrText xml:space="preserve"> SEQ Tabela \* ARABIC </w:instrText>
      </w:r>
      <w:r>
        <w:rPr/>
        <w:fldChar w:fldCharType="separate"/>
      </w:r>
      <w:r>
        <w:rPr/>
        <w:t>12</w:t>
      </w:r>
      <w:r>
        <w:rPr/>
        <w:fldChar w:fldCharType="end"/>
      </w:r>
      <w:r>
        <w:rPr/>
        <w:t>— Mapeamento entre parâmetros antropométricos e elementos do modelo</w:t>
      </w:r>
      <w:bookmarkEnd w:id="116"/>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Relações cinemáticas dos mecanismos digitais</w:t>
            </w:r>
          </w:p>
        </w:tc>
      </w:tr>
    </w:tbl>
    <w:p>
      <w:pPr>
        <w:pStyle w:val="TextoNormal-IPCA"/>
        <w:rPr/>
      </w:pPr>
      <w:r>
        <w:rPr/>
      </w:r>
    </w:p>
    <w:p>
      <w:pPr>
        <w:pStyle w:val="TextoNormal-IPCA"/>
        <w:rPr/>
      </w:pPr>
      <w:r>
        <w:rPr/>
        <w:t>Este mapeamento constitui a base da modelação paramétrica ao permitir converter dados antropométricos em configurações geométricas e funcionais. Na prática, a passagem da medição para a geometria não corresponde a uma transposição linear, mas à definição de relações controladas: alguns parâmetros regulam a escala geral, outros determinam proporções locais e outros funcionam como restrições de consistência geométrica, desempenho funcional ou compatibilidade com o processo de fabrico.</w:t>
      </w:r>
    </w:p>
    <w:p>
      <w:pPr>
        <w:pStyle w:val="TextoNormal-IPCA"/>
        <w:rPr/>
      </w:pPr>
      <w:r>
        <w:rPr/>
        <w:t>Antes de traduzir o modelo para o ambiente de modelação paramétrica, é necessário estabilizar três níveis: os dados de entrada, as relações entre parâmetros e os limites técnicos que condicionam a sua transformação em forma.</w:t>
      </w:r>
    </w:p>
    <w:p>
      <w:pPr>
        <w:pStyle w:val="TextoNormal-IPCA"/>
        <w:rPr/>
      </w:pPr>
      <w:r>
        <w:rPr/>
        <w:t>Nesta investigação, o subcapítulo 4.2 tem uma função delimitada: identificar os parâmetros antropométricos relevantes, a forma como são recolhidos ou inferidos e o modo como se organizam antes de integrarem a estrutura computacional do modelo. Com base nestes elementos, o subcapítulo seguinte mostra como o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bookmarkStart w:id="117" w:name="_Toc235564986"/>
      <w:r>
        <w:rPr/>
        <w:t>4.3 Modelação paramétrica em OpenSCAD</w:t>
      </w:r>
      <w:bookmarkEnd w:id="117"/>
    </w:p>
    <w:p>
      <w:pPr>
        <w:pStyle w:val="TextoNormal-IPCA"/>
        <w:keepNext w:val="true"/>
        <w:rPr/>
      </w:pPr>
      <w:r>
        <w:rPr/>
      </w:r>
    </w:p>
    <w:p>
      <w:pPr>
        <w:pStyle w:val="TextoNormal-IPCA"/>
        <w:rPr/>
      </w:pPr>
      <w:r>
        <w:rPr/>
        <w:t>Nesta investigação, a modelação paramétrica em OpenSCAD corresponde à passagem da estrutura definida no subcapítulo anterior, até então conceptual, para um modelo operacional capaz de traduzir parâmetros, relações e restrições em geometrias configuráveis. Os parâmetros antropométricos selecionados, as relações hierárquicas entre variáveis e os limites de configuração são inscritos em código, de modo que um mesmo conjunto de valores e uma mesma versão do modelo gerem a mesma geometria. A transição para OpenSCAD dá continuidade ao problema de transformar dados corporais e regras de projeto num modelo configurável que preserve a coerência formal e produtiva.</w:t>
      </w:r>
    </w:p>
    <w:p>
      <w:pPr>
        <w:pStyle w:val="TextoNormal-IPCA"/>
        <w:rPr/>
      </w:pPr>
      <w:r>
        <w:rPr/>
        <w:t xml:space="preserve">A modelação paramétrica em OpenSCAD é aqui entendida como uma abordagem na qual a geometria resulta de regras explícitas, parâmetros definidos em código e relações de dependência entre componentes, em vez da edição manual isolada de formas. No desenvolvimento de próteses personalizadas de membro superior, esta lógica permite conceber a prótese como um conjunto configurável de variantes, regenerável a partir de novos dados antropométricos, requisitos funcionais e limites de fabrico. Os estudos analisados sobre a aplicação da modelação paramétrica a próteses e sobre a modelação CAD programável associam estas abordagens a uma melhor documentação das decisões, à consistência entre variantes e à automatização dos fluxos de personalização digital </w:t>
      </w:r>
      <w:sdt>
        <w:sdtPr>
          <w:tag w:val="MENDELEY_CITATION_v3_eyJjaXRhdGlvbklEIjoiTUVOREVMRVlfQ0lUQVRJT05fYTIxNTU0OTctZTUzMy00MDc3LTg1ZDEtMGYxZmQ1N2I5ZGNjIiwicHJvcGVydGllcyI6eyJub3RlSW5kZXgiOjB9LCJpc0VkaXRlZCI6ZmFsc2UsIm1hbnVhbE92ZXJyaWRlIjp7ImlzTWFudWFsbHlPdmVycmlkZGVuIjpmYWxzZSwiY2l0ZXByb2NUZXh0IjoiKE1hY2hhZG8gZXQgYWwuLCAyMDE5OyBNb3JlbywgMjAxNjsgUi4gQy4gZGEgUy4gUm9tZXJvIGV0IGFsLiwgMjAyN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
          <w:id w:val="219719372"/>
          <w:placeholder>
            <w:docPart w:val="DefaultPlaceholder_-1854013440"/>
          </w:placeholder>
        </w:sdtPr>
        <w:sdtContent>
          <w:r>
            <w:rPr/>
          </w:r>
          <w:r>
            <w:rPr>
              <w:color w:val="000000"/>
            </w:rPr>
            <w:t>(Machado et al., 2019; Moreo, 2016; R. C. da S. Romero et al., 2025)</w:t>
          </w:r>
        </w:sdtContent>
      </w:sdt>
    </w:p>
    <w:p>
      <w:pPr>
        <w:pStyle w:val="TextoNormal-IPCA"/>
        <w:rPr/>
      </w:pPr>
      <w:r>
        <w:rPr/>
        <w:t xml:space="preserve">Ao contrário dos ambientes centrados na manipulação gráfica direta, o OpenSCAD funciona como uma especificação computacional do objeto. Esta característica permite compreender o modelo simultaneamente como resultado geométrico e como estrutura explícita de projeto, na qual ficam registadas as relações entre entradas antropométricas, módulos geométricos, restrições construtivas e decisões formais. A modelação baseada em código articula-se, deste modo, com </w:t>
      </w:r>
      <w:r>
        <w:rPr>
          <w:i/>
          <w:iCs/>
        </w:rPr>
        <w:t>Research Through Design</w:t>
      </w:r>
      <w:r>
        <w:rPr/>
        <w:t>, uma vez que o próprio modelo pode ser lido, analisado, testado e documentado como estrutura de conhecimento técnico e de projeto.</w:t>
      </w:r>
    </w:p>
    <w:p>
      <w:pPr>
        <w:pStyle w:val="TextoNormal-IPCA"/>
        <w:rPr/>
      </w:pPr>
      <w:r>
        <w:rPr/>
        <w:t>A Figura 14 evidencia a passagem entre a definição paramétrica, o modelo virtual e o protótipo físico. Para esta investigação, o seu valor não reside na replicação da solução apresentada, mas na representação da cadeia que liga a decomposição dimensional do dedo, a modelação computacional e a verificação material, preservando o mesmo tipo de continuidade procurado pelo modelo em OpenSCAD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32"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14" descr="Image 14"/>
                    <pic:cNvPicPr>
                      <a:picLocks noChangeAspect="1" noChangeArrowheads="1"/>
                    </pic:cNvPicPr>
                  </pic:nvPicPr>
                  <pic:blipFill>
                    <a:blip r:embed="rId73"/>
                    <a:stretch>
                      <a:fillRect/>
                    </a:stretch>
                  </pic:blipFill>
                  <pic:spPr bwMode="auto">
                    <a:xfrm>
                      <a:off x="0" y="0"/>
                      <a:ext cx="5579745" cy="2873375"/>
                    </a:xfrm>
                    <a:prstGeom prst="rect">
                      <a:avLst/>
                    </a:prstGeom>
                    <a:noFill/>
                  </pic:spPr>
                </pic:pic>
              </a:graphicData>
            </a:graphic>
          </wp:inline>
        </w:drawing>
      </w:r>
    </w:p>
    <w:p>
      <w:pPr>
        <w:pStyle w:val="Caption"/>
        <w:rPr/>
      </w:pPr>
      <w:bookmarkStart w:id="118" w:name="_Toc235562508"/>
      <w:r>
        <w:rPr/>
        <w:t xml:space="preserve">Figura </w:t>
      </w:r>
      <w:r>
        <w:rPr/>
        <w:fldChar w:fldCharType="begin"/>
      </w:r>
      <w:r>
        <w:rPr/>
        <w:instrText xml:space="preserve"> SEQ Figura \* ARABIC </w:instrText>
      </w:r>
      <w:r>
        <w:rPr/>
        <w:fldChar w:fldCharType="separate"/>
      </w:r>
      <w:r>
        <w:rPr/>
        <w:t>14</w:t>
      </w:r>
      <w:r>
        <w:rPr/>
        <w:fldChar w:fldCharType="end"/>
      </w:r>
      <w:r>
        <w:rPr/>
        <w:t xml:space="preserve"> — Relação entre modelo paramétrico digital, prototipagem e verificação de um dedo protésico.</w:t>
      </w:r>
      <w:bookmarkEnd w:id="118"/>
    </w:p>
    <w:p>
      <w:pPr>
        <w:pStyle w:val="Nota-IPCA"/>
        <w:rPr>
          <w:lang w:val="pt-PT"/>
        </w:rPr>
      </w:pPr>
      <w:r>
        <w:rPr>
          <w:lang w:val="en-US"/>
        </w:rPr>
        <w:t xml:space="preserve">Reproduzido de </w:t>
      </w:r>
      <w:sdt>
        <w:sdtPr>
          <w:tag w:val="MENDELEY_CITATION_v3_eyJjaXRhdGlvbklEIjoiTUVOREVMRVlfQ0lUQVRJT05fZDhkNDg3NjYtODkyNC00NWZkLWE3OTUtMTM3NzQ5MzE5YTRm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
          <w:id w:val="-1327273715"/>
          <w:placeholder>
            <w:docPart w:val="DefaultPlaceholder_-1854013440"/>
          </w:placeholder>
        </w:sdtPr>
        <w:sdtContent>
          <w:r>
            <w:rPr>
              <w:lang w:val="en-US"/>
            </w:rPr>
          </w:r>
          <w:r>
            <w:rPr>
              <w:rFonts w:cs="Arial"/>
              <w:color w:val="000000"/>
              <w:lang w:val="en-US"/>
            </w:rPr>
            <w:t>(Nini et al., 2024)</w:t>
          </w:r>
        </w:sdtContent>
      </w:sdt>
      <w:r>
        <w:rPr>
          <w:lang w:val="en-US"/>
        </w:rPr>
        <w:t xml:space="preserve"> </w:t>
      </w:r>
      <w:r>
        <w:rPr>
          <w:lang w:val="en-US"/>
        </w:rPr>
        <w:t xml:space="preserve">Parametric 3D modeling of a customized prosthetic hand finger for additive manufacturing. In 2024 10th IEEE RAS/EMBS International Conference for Biomedical Robotics and Biomechatronics (BioRob). </w:t>
      </w:r>
      <w:r>
        <w:rPr>
          <w:lang w:val="pt-PT"/>
        </w:rPr>
        <w:t>IEEE. https://doi.org/10.1109/BioRob60516.2024.10719909</w:t>
      </w:r>
    </w:p>
    <w:p>
      <w:pPr>
        <w:pStyle w:val="TextoNormal-IPCA"/>
        <w:rPr/>
      </w:pPr>
      <w:r>
        <w:rPr/>
      </w:r>
    </w:p>
    <w:p>
      <w:pPr>
        <w:pStyle w:val="Heading3"/>
        <w:numPr>
          <w:ilvl w:val="0"/>
          <w:numId w:val="0"/>
        </w:numPr>
        <w:ind w:hanging="0" w:start="0"/>
        <w:rPr/>
      </w:pPr>
      <w:bookmarkStart w:id="119" w:name="_Toc235564987"/>
      <w:r>
        <w:rPr/>
        <w:t>4.3.1 Estrutura técnica, parâmetros e restrições</w:t>
      </w:r>
      <w:bookmarkEnd w:id="119"/>
    </w:p>
    <w:p>
      <w:pPr>
        <w:pStyle w:val="TextoNormal-IPCA"/>
        <w:keepNext w:val="true"/>
        <w:rPr/>
      </w:pPr>
      <w:r>
        <w:rPr/>
      </w:r>
    </w:p>
    <w:p>
      <w:pPr>
        <w:pStyle w:val="TextoNormal-IPCA"/>
        <w:rPr/>
      </w:pPr>
      <w:r>
        <w:rPr/>
        <w:t>A organização interna de um modelo paramétrico baseado em OpenSCAD pode ser compreendida como uma arquitetura em camadas.</w:t>
      </w:r>
    </w:p>
    <w:p>
      <w:pPr>
        <w:pStyle w:val="TextoNormal-IPCA"/>
        <w:rPr/>
      </w:pPr>
      <w:r>
        <w:rPr/>
        <w:t xml:space="preserve">A primeira camada reúne os dados de entrada provenientes de medições lineares, dados consolidados de referência ou digitalização tridimensional. Na segunda, estes dados são convertidos em parâmetros geométricos derivados, que estabelecem proporções, espessuras, posições articulares e relações entre subcomponentes. A camada funcional define as exigências de mobilidade, montagem ou integração mecânica, enquanto a camada de restrições produtivas enquadra espessuras mínimas, folgas, tolerâncias e limites de fabrico. Esta organização permite controlar a personalização sem comprometer a coerência interna do sistema </w:t>
      </w:r>
      <w:sdt>
        <w:sdtPr>
          <w:tag w:val="MENDELEY_CITATION_v3_eyJjaXRhdGlvbklEIjoiTUVOREVMRVlfQ0lUQVRJT05fNTQyYTE1MjgtNjE4Mi00NDE4LWI2YjYtZGFiM2MzYTZkODZiIiwicHJvcGVydGllcyI6eyJub3RlSW5kZXgiOjB9LCJpc0VkaXRlZCI6ZmFsc2UsIm1hbnVhbE92ZXJyaWRlIjp7ImlzTWFudWFsbHlPdmVycmlkZGVuIjpmYWxzZSwiY2l0ZXByb2NUZXh0IjoiKE1vcmVvLCAyMDE2OyBOaW5pIGV0IGFsLiwgMjAyNDsgU2FsZGFycmlhZ2EgZXQgYWwuLCAyMDI0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
          <w:id w:val="-1468743135"/>
          <w:placeholder>
            <w:docPart w:val="DefaultPlaceholder_-1854013440"/>
          </w:placeholder>
        </w:sdtPr>
        <w:sdtContent>
          <w:r>
            <w:rPr/>
          </w:r>
          <w:r>
            <w:rPr>
              <w:color w:val="000000"/>
            </w:rPr>
            <w:t>(Moreo, 2016; Nini et al., 2024; Saldarriaga et al., 2024)</w:t>
          </w:r>
        </w:sdtContent>
      </w:sdt>
      <w:r>
        <w:rPr/>
        <w:t>.</w:t>
      </w:r>
    </w:p>
    <w:p>
      <w:pPr>
        <w:pStyle w:val="TextoNormal-IPCA"/>
        <w:keepNext w:val="true"/>
        <w:rPr/>
      </w:pPr>
      <w:r>
        <w:rPr/>
      </w:r>
    </w:p>
    <w:p>
      <w:pPr>
        <w:pStyle w:val="Caption"/>
        <w:rPr/>
      </w:pPr>
      <w:bookmarkStart w:id="120" w:name="_Toc235562536"/>
      <w:r>
        <w:rPr/>
        <w:t xml:space="preserve">Tabela </w:t>
      </w:r>
      <w:r>
        <w:rPr/>
        <w:fldChar w:fldCharType="begin"/>
      </w:r>
      <w:r>
        <w:rPr/>
        <w:instrText xml:space="preserve"> SEQ Tabela \* ARABIC </w:instrText>
      </w:r>
      <w:r>
        <w:rPr/>
        <w:fldChar w:fldCharType="separate"/>
      </w:r>
      <w:r>
        <w:rPr/>
        <w:t>13</w:t>
      </w:r>
      <w:r>
        <w:rPr/>
        <w:fldChar w:fldCharType="end"/>
      </w:r>
      <w:r>
        <w:rPr/>
        <w:t xml:space="preserve"> — Estrutura técnica em camadas de um modelo paramétrico em OpenSCAD para próteses personalizadas</w:t>
      </w:r>
      <w:bookmarkEnd w:id="120"/>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Espessura mínima, folgas, raios mínimos</w:t>
            </w:r>
          </w:p>
        </w:tc>
      </w:tr>
    </w:tbl>
    <w:p>
      <w:pPr>
        <w:pStyle w:val="TextoNormal-IPCA"/>
        <w:rPr/>
      </w:pPr>
      <w:r>
        <w:rPr/>
      </w:r>
    </w:p>
    <w:p>
      <w:pPr>
        <w:pStyle w:val="TextoNormal-IPCA"/>
        <w:rPr/>
      </w:pPr>
      <w:r>
        <w:rPr/>
        <w:t xml:space="preserve">Quando transposta para o ambiente de modelação em OpenSCAD, esta arquitetura tende a concretizar-se em módulos relativamente autónomos. Em vez de concentrar toda a definição geométrica num único bloco de código, o modelo pode ser distribuído por módulos correspondentes à palma, aos dedos, às articulações, às interfaces de fixação ou ao encaixe. Esta modularidade reduz a opacidade do sistema e facilita a regeneração controlada de variantes. Num contexto protésico, permite ainda que as alterações aos parâmetros de entrada se propaguem pelo modelo segundo relações previamente explicitadas e localizáveis, e não de forma arbitrária </w:t>
      </w:r>
      <w:sdt>
        <w:sdtPr>
          <w:tag w:val="MENDELEY_CITATION_v3_eyJjaXRhdGlvbklEIjoiTUVOREVMRVlfQ0lUQVRJT05fM2E1NDQzODctNmQxZS00MjA1LWFlM2EtYWM4MjRiYmNlZWJmIiwicHJvcGVydGllcyI6eyJub3RlSW5kZXgiOjB9LCJpc0VkaXRlZCI6ZmFsc2UsIm1hbnVhbE92ZXJyaWRlIjp7ImlzTWFudWFsbHlPdmVycmlkZGVuIjpmYWxzZSwiY2l0ZXByb2NUZXh0IjoiKE1hY2hhZG8gZXQgYWwuLCAyMDE5OyBFLiBSb21lcm8gZXQgYWwuLCAyMDI1Y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"/>
          <w:id w:val="-130875622"/>
          <w:placeholder>
            <w:docPart w:val="DefaultPlaceholder_-1854013440"/>
          </w:placeholder>
        </w:sdtPr>
        <w:sdtContent>
          <w:r>
            <w:rPr/>
          </w:r>
          <w:r>
            <w:rPr>
              <w:color w:val="000000"/>
            </w:rPr>
            <w:t>(Machado et al., 2019; E. Romero et al., 2025a)</w:t>
          </w:r>
        </w:sdtContent>
      </w:sdt>
      <w:r>
        <w:rPr/>
        <w:t>.</w:t>
      </w:r>
    </w:p>
    <w:p>
      <w:pPr>
        <w:pStyle w:val="TextoNormal-IPCA"/>
        <w:rPr/>
      </w:pPr>
      <w:r>
        <w:rPr/>
        <w:t>A integração direta de restrições na lógica paramétrica constitui outro aspeto central. Em vez de remeter a compatibilidade com o fabrico aditivo exclusivamente para uma etapa posterior, o modelo pode incorporar desde o início limites mínimos de espessura, folgas entre elementos móveis, margens de tolerância e verificações condicionais que evitem combinações inválidas.</w:t>
      </w:r>
    </w:p>
    <w:p>
      <w:pPr>
        <w:pStyle w:val="TextoNormal-IPCA"/>
        <w:rPr/>
      </w:pPr>
      <w:r>
        <w:rPr/>
        <w:t xml:space="preserve">Este princípio é particularmente relevante nas próteses produzidas por fabrico aditivo, em que pequenas alterações dimensionais podem comprometer a montagem, a resistência ou a viabilidade de impressão. Os estudos sobre modelação paramétrica de dedos e encaixes protésicos personalizados mostram que a estabilidade do sistema depende da articulação entre parâmetros antropométricos e restrições construtivas, e não da liberdade de alteração geométrica </w:t>
      </w:r>
      <w:sdt>
        <w:sdtPr>
          <w:tag w:val="MENDELEY_CITATION_v3_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"/>
          <w:id w:val="-143285531"/>
          <w:placeholder>
            <w:docPart w:val="DefaultPlaceholder_-1854013440"/>
          </w:placeholder>
        </w:sdtPr>
        <w:sdtContent>
          <w:r>
            <w:rPr/>
          </w:r>
          <w:r>
            <w:rPr>
              <w:color w:val="000000"/>
            </w:rPr>
            <w:t>(Nini et al., 2024; Saldarriaga et al., 2024)</w:t>
          </w:r>
        </w:sdtContent>
      </w:sdt>
      <w:r>
        <w:rPr/>
        <w:t>.</w:t>
      </w:r>
    </w:p>
    <w:p>
      <w:pPr>
        <w:pStyle w:val="TextoNormal-IPCA"/>
        <w:rPr/>
      </w:pPr>
      <w:r>
        <w:rPr/>
        <w:t xml:space="preserve">A modelação em OpenSCAD pode articular-se com fluxos de dados mais complexos, incluindo a digitalização tridimensional e a automatização parcial do desenho. Trabalhos como os de </w:t>
      </w:r>
      <w:sdt>
        <w:sdtPr>
          <w:tag w:val="MENDELEY_CITATION_v3_eyJjaXRhdGlvbklEIjoiTUVOREVMRVlfQ0lUQVRJT05fOWFhYjYzNWYtOTNiMi00MTgxLTk3NzQtZThhNzBmMDIyYTFm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
          <w:id w:val="502947601"/>
          <w:placeholder>
            <w:docPart w:val="DefaultPlaceholder_-1854013440"/>
          </w:placeholder>
        </w:sdtPr>
        <w:sdtContent>
          <w:r>
            <w:rPr/>
          </w:r>
          <w:r>
            <w:rPr>
              <w:color w:val="000000"/>
            </w:rPr>
            <w:t>(Herbst et al., 2021)</w:t>
          </w:r>
        </w:sdtContent>
      </w:sdt>
      <w:r>
        <w:rPr/>
        <w:t xml:space="preserve"> e </w:t>
      </w:r>
      <w:sdt>
        <w:sdtPr>
          <w:tag w:val="MENDELEY_CITATION_v3_eyJjaXRhdGlvbklEIjoiTUVOREVMRVlfQ0lUQVRJT05fZmFlOWQ4OGEtZmQ1YS00ZWZlLTlhYzAtYTI2MzMwOTAwNjQ3IiwicHJvcGVydGllcyI6eyJub3RlSW5kZXgiOjB9LCJpc0VkaXRlZCI6ZmFsc2UsIm1hbnVhbE92ZXJyaWRlIjp7ImlzTWFudWFsbHlPdmVycmlkZGVuIjpmYWxzZSwiY2l0ZXByb2NUZXh0IjoiKFNhbGRhcnJpYWdhIGV0IGFsLiwgMjAyNCkiLCJtYW51YWxPdmVycmlkZVRleHQiOiIifSwiY2l0YXRpb25JdGVtcyI6W3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V19"/>
          <w:id w:val="-1817092378"/>
          <w:placeholder>
            <w:docPart w:val="DefaultPlaceholder_-1854013440"/>
          </w:placeholder>
        </w:sdtPr>
        <w:sdtContent>
          <w:r>
            <w:rPr/>
          </w:r>
          <w:r>
            <w:rPr>
              <w:color w:val="000000"/>
            </w:rPr>
            <w:t>(Saldarriaga et al., 2024)</w:t>
          </w:r>
        </w:sdtContent>
      </w:sdt>
      <w:r>
        <w:rPr/>
        <w:t xml:space="preserve"> mostram que a personalização tende a aproximar a medição, a parametrização e o fabrico, reduzindo o intervalo entre a captura anatómica e a geração de modelos prontos para produção. Nesta investigação, essa articulação utiliza a lógica explícita do código como núcleo organizador da integração consistente e documentada de dados, restrições e interfaces de configuração.</w:t>
      </w:r>
    </w:p>
    <w:p>
      <w:pPr>
        <w:pStyle w:val="TextoNormal-IPCA"/>
        <w:rPr/>
      </w:pPr>
      <w:r>
        <w:rPr/>
      </w:r>
    </w:p>
    <w:p>
      <w:pPr>
        <w:pStyle w:val="Heading3"/>
        <w:numPr>
          <w:ilvl w:val="0"/>
          <w:numId w:val="0"/>
        </w:numPr>
        <w:ind w:hanging="0" w:start="0"/>
        <w:rPr/>
      </w:pPr>
      <w:bookmarkStart w:id="121" w:name="_Toc235564988"/>
      <w:r>
        <w:rPr/>
        <w:t>4.3.2 Análise crítica da abordagem</w:t>
      </w:r>
      <w:bookmarkEnd w:id="121"/>
    </w:p>
    <w:p>
      <w:pPr>
        <w:pStyle w:val="TextoNormal-IPCA"/>
        <w:keepNext w:val="true"/>
        <w:rPr/>
      </w:pPr>
      <w:r>
        <w:rPr/>
      </w:r>
    </w:p>
    <w:p>
      <w:pPr>
        <w:pStyle w:val="TextoNormal-IPCA"/>
        <w:rPr/>
      </w:pPr>
      <w:r>
        <w:rPr/>
        <w:t>A adoção do OpenSCAD neste projeto apresenta vantagens metodológicas, sobretudo por explicitar a construção do modelo paramétrico. A sua definição por código facilita a identificação das relações entre variáveis, dependências e restrições, comparativamente com muitos fluxos CAD baseados em operações gráficas. Esta condição favorece a transparência do processo, a análise crítica e a reconstituição das decisões de modelação, qualidades particularmente importantes num trabalho académico em que o modelo paramétrico é simultaneamente um instrumento de produção formal e um objeto de análise (Machado et al., 2019).</w:t>
      </w:r>
    </w:p>
    <w:p>
      <w:pPr>
        <w:pStyle w:val="TextoNormal-IPCA"/>
        <w:rPr/>
      </w:pPr>
      <w:r>
        <w:rPr/>
        <w:t xml:space="preserve">Outra vantagem decorre da afinidade entre a modelação baseada em código, a automatização e a partilha aberta. Os estudos analisados indicam que o OpenSCAD é particularmente adequado a fluxos de personalização digital nos quais o modelo é configurado por parâmetros, evitando a edição manual da geometria após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diretamente o código em cada iteração reforça a sua pertinência em cont</w:t>
      </w:r>
      <w:r>
        <w:rPr>
          <w:rFonts w:eastAsia="Times New Roman"/>
        </w:rPr>
        <w:t>(Nilsiam &amp; Pearce, 2017)</w:t>
      </w:r>
      <w:r>
        <w:rPr/>
        <w:t xml:space="preserve">e fabrico digital </w:t>
      </w:r>
      <w:sdt>
        <w:sdtPr>
          <w:tag w:val="MENDELEY_CITATION_v3_eyJjaXRhdGlvbklEIjoiTUVOREVMRVlfQ0lUQVRJT05fMThkYzlkNDctOWYzMS00NzUyLTkxYTctZmQyOWQzNDQwY2YxIiwicHJvcGVydGllcyI6eyJub3RlSW5kZXgiOjB9LCJpc0VkaXRlZCI6ZmFsc2UsIm1hbnVhbE92ZXJyaWRlIjp7ImlzTWFudWFsbHlPdmVycmlkZGVuIjpmYWxzZSwiY2l0ZXByb2NUZXh0IjoiKE5pbHNpYW0gJiMzODsgUGVhcmNlLCAyMDE3KSIsIm1hbnVhbE92ZXJyaWRlVGV4dCI6Ii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V19"/>
          <w:id w:val="1870031841"/>
          <w:placeholder>
            <w:docPart w:val="DefaultPlaceholder_-1854013440"/>
          </w:placeholder>
        </w:sdtPr>
        <w:sdtContent>
          <w:r>
            <w:rPr/>
          </w:r>
          <w:r>
            <w:rPr>
              <w:rFonts w:eastAsia="Times New Roman"/>
              <w:color w:val="000000"/>
            </w:rPr>
            <w:t>(Nilsiam &amp; Pearce, 2017)</w:t>
          </w:r>
        </w:sdtContent>
      </w:sdt>
      <w:r>
        <w:rPr/>
        <w:t>. Num projeto que articula parametrização, interface e apoio computacional, esta característica assume especial relevância.</w:t>
      </w:r>
    </w:p>
    <w:p>
      <w:pPr>
        <w:pStyle w:val="TextoNormal-IPCA"/>
        <w:rPr/>
      </w:pPr>
      <w:r>
        <w:rPr/>
        <w:t xml:space="preserve">Esta abordagem apresenta, contudo, limitações importantes. Uma delas é a exigência técnica e conceptual da programação: mesmo num modelo modular e bem estruturado, a edição direta em OpenSCAD requer capacidade para interpretar transformações geométricas, dependências paramétricas e operações booleanas. A utilidade do OpenSCAD aumenta, por isso, quando o sistema é mediado por camadas intermédias de interface ou por procedimentos que exponham apenas os parâmetros necessários à configuração. Outra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 xml:space="preserve">Existe ainda uma limitação de interoperabilidade. Os estudos comparativos sobre OpenSCAD sublinham que este ambiente de modelação está fortemente orientado para formatos baseados em malhas, nos quais a geometria é representada por uma aproximação poligonal da superfície, como sucede nos ficheiros STL. Embora favoreça os fluxos de fabrico digital e impressão 3D, esta orientação pode dificultar a integração com certos circuitos CAD industriais ou com ambientes que exijam a preservação completa da informação paramétrica em formatos normalizados </w:t>
      </w:r>
      <w:sdt>
        <w:sdtPr>
          <w:tag w:val="MENDELEY_CITATION_v3_eyJjaXRhdGlvbklEIjoiTUVOREVMRVlfQ0lUQVRJT05fMGVmNjAzNjQtMjcwNS00ODM3LTlmYmQtZDEzMDVkYjM1MzFk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
          <w:id w:val="627524037"/>
          <w:placeholder>
            <w:docPart w:val="DefaultPlaceholder_-1854013440"/>
          </w:placeholder>
        </w:sdtPr>
        <w:sdtContent>
          <w:r>
            <w:rPr/>
          </w:r>
          <w:r>
            <w:rPr>
              <w:color w:val="000000"/>
            </w:rPr>
            <w:t>(Machado et al., 2019)</w:t>
          </w:r>
        </w:sdtContent>
      </w:sdt>
      <w:r>
        <w:rPr/>
        <w:t xml:space="preserve">. Tal não invalida a adequação do </w:t>
      </w:r>
      <w:r>
        <w:rPr/>
        <w:t>OpenSCAD ao presente projeto, mas implica que a sua adoção seja entendida como uma escolha situada: muito eficaz na estruturação de um núcleo paramétrico explícito, mas menos adequada quando o objetivo depende da plena continuidade com certos fluxos proprietários de engenharia.</w:t>
      </w:r>
    </w:p>
    <w:p>
      <w:pPr>
        <w:pStyle w:val="TextoNormal-IPCA"/>
        <w:rPr/>
      </w:pPr>
      <w:r>
        <w:rPr/>
        <w:t>A avaliação da abordagem exige, por fim, que a geração da geometria seja articulada com as etapas subsequentes. Mesmo com uma lógica paramétrica clara e restrições integradas, a confirmação técnica do modelo depende da inspeção durante a preparação para impressão 3D, do controlo dimensional, de eventual simulação estrutural e da observação da peça física.</w:t>
      </w:r>
    </w:p>
    <w:p>
      <w:pPr>
        <w:pStyle w:val="TextoNormal-IPCA"/>
        <w:rPr/>
      </w:pPr>
      <w:r>
        <w:rPr/>
        <w:t>O valor do OpenSCAD nesta investigação não reside, portanto, numa promessa de automatização total, mas na sua capacidade para fornecer uma infraestrutura técnica clara que articule a personalização antropométrica, a modularidade, as restrições de fabrico e a documentação do processo. A combinação entre explicitação, execução repetida e possibilidade de revisão crítica justifica a sua escolha como base da modelação paramétrica aqui desenvolvida.</w:t>
      </w:r>
    </w:p>
    <w:p>
      <w:pPr>
        <w:pStyle w:val="TextoNormal-IPCA"/>
        <w:rPr/>
      </w:pPr>
      <w:r>
        <w:rPr/>
      </w:r>
    </w:p>
    <w:p>
      <w:pPr>
        <w:pStyle w:val="Heading3"/>
        <w:numPr>
          <w:ilvl w:val="0"/>
          <w:numId w:val="0"/>
        </w:numPr>
        <w:ind w:hanging="0" w:start="0"/>
        <w:rPr/>
      </w:pPr>
      <w:bookmarkStart w:id="122" w:name="_Toc235564989"/>
      <w:r>
        <w:rPr/>
        <w:t>4.3.3 Relações implementadas nos modelos avaliados</w:t>
      </w:r>
      <w:bookmarkEnd w:id="122"/>
    </w:p>
    <w:p>
      <w:pPr>
        <w:pStyle w:val="TextoNormal-IPCA"/>
        <w:keepNext w:val="true"/>
        <w:rPr/>
      </w:pPr>
      <w:r>
        <w:rPr/>
      </w:r>
    </w:p>
    <w:p>
      <w:pPr>
        <w:pStyle w:val="TextoNormal-IPCA"/>
        <w:rPr/>
      </w:pPr>
      <w:r>
        <w:rPr/>
        <w:t>As relações gerais das Tabelas 11 e 12 foram concretizadas de modo distinto em cada família. O estado utilizado nos ensaios principais corresponde ao dicionário do Suplemento 3 — Parametrização e percurso numérico. Uma revisão posterior acrescentou a braçadeira comum do Flexy Beast e relações mais completas do Cyborg Beast. No estado final examinado, uniformizaram-se a organização dos grupos e os nomes dos controlos de lateralidade e disposição, sem alterar as relações geométricas avaliadas. Estes desenvolvimentos posteriores não são retractivamente apresentados como parte dos ensaios concluídos anteriormente. As fórmulas descrevem a implementação e não representam relações anatómicas universais.</w:t>
      </w:r>
    </w:p>
    <w:p>
      <w:pPr>
        <w:pStyle w:val="TextoNormal-IPCA"/>
        <w:keepNext w:val="true"/>
        <w:rPr/>
      </w:pPr>
      <w:r>
        <w:rPr/>
      </w:r>
    </w:p>
    <w:p>
      <w:pPr>
        <w:pStyle w:val="Caption"/>
        <w:rPr/>
      </w:pPr>
      <w:bookmarkStart w:id="123" w:name="_Toc235562537"/>
      <w:r>
        <w:rPr/>
        <w:t xml:space="preserve">Tabela </w:t>
      </w:r>
      <w:r>
        <w:rPr/>
        <w:fldChar w:fldCharType="begin"/>
      </w:r>
      <w:r>
        <w:rPr/>
        <w:instrText xml:space="preserve"> SEQ Tabela \* ARABIC </w:instrText>
      </w:r>
      <w:r>
        <w:rPr/>
        <w:fldChar w:fldCharType="separate"/>
      </w:r>
      <w:r>
        <w:rPr/>
        <w:t>14</w:t>
      </w:r>
      <w:r>
        <w:rPr/>
        <w:fldChar w:fldCharType="end"/>
      </w:r>
      <w:r>
        <w:rPr/>
        <w:t xml:space="preserve"> — Síntese das relações implementadas e respetivas limitações</w:t>
      </w:r>
      <w:bookmarkEnd w:id="123"/>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1396"/>
        <w:gridCol w:w="2030"/>
        <w:gridCol w:w="2702"/>
        <w:gridCol w:w="2659"/>
      </w:tblGrid>
      <w:tr>
        <w:trPr>
          <w:tblHeader w:val="true"/>
          <w:cantSplit/>
        </w:trPr>
        <w:tc>
          <w:tcPr>
            <w:tcW w:w="1396"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w:t>
            </w:r>
          </w:p>
        </w:tc>
        <w:tc>
          <w:tcPr>
            <w:tcW w:w="203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Entradas ativas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Limitação que deve acompanhar a leitura</w:t>
            </w:r>
          </w:p>
        </w:tc>
      </w:tr>
      <w:tr>
        <w:trPr>
          <w:cantSplit/>
        </w:trPr>
        <w:tc>
          <w:tcPr>
            <w:tcW w:w="13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203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largura introduzida alimenta uma fórmula herdada e não coincide diretamente com a extensão transversal da malha</w:t>
            </w:r>
          </w:p>
        </w:tc>
      </w:tr>
      <w:tr>
        <w:trPr>
          <w:cantSplit/>
        </w:trPr>
        <w:tc>
          <w:tcPr>
            <w:tcW w:w="13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Cyborg Beast</w:t>
            </w:r>
          </w:p>
        </w:tc>
        <w:tc>
          <w:tcPr>
            <w:tcW w:w="203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As curvas são calibrações da geometria e possuem limites internos; o modelo não integrou a comparação principal</w:t>
            </w:r>
          </w:p>
        </w:tc>
      </w:tr>
      <w:tr>
        <w:trPr>
          <w:cantSplit/>
        </w:trPr>
        <w:tc>
          <w:tcPr>
            <w:tcW w:w="13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203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overall_scale = palm_breadth_mm / 66,4; correção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palma mantém escala uniforme; comprimento e espessura são contextuais; o polegar ainda usa a escala do médio</w:t>
            </w:r>
          </w:p>
        </w:tc>
      </w:tr>
      <w:tr>
        <w:trPr>
          <w:cantSplit/>
        </w:trPr>
        <w:tc>
          <w:tcPr>
            <w:tcW w:w="13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 Hand</w:t>
            </w:r>
          </w:p>
        </w:tc>
        <w:tc>
          <w:tcPr>
            <w:tcW w:w="203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Perfis inferiores a 82 mm atingem o limite mínimo; os comprimentos digitais são novamente afetados pela escala global</w:t>
            </w:r>
          </w:p>
        </w:tc>
      </w:tr>
    </w:tbl>
    <w:p>
      <w:pPr>
        <w:pStyle w:val="TextoNormal-IPCA"/>
        <w:rPr/>
      </w:pPr>
      <w:r>
        <w:rPr/>
      </w:r>
    </w:p>
    <w:p>
      <w:pPr>
        <w:pStyle w:val="TextoNormal-IPCA"/>
        <w:rPr/>
      </w:pPr>
      <w:r>
        <w:rPr/>
        <w:t>O escalonamento uniforme não foi eliminado em todos os modelos, tendo sido mantido quando a arquitetura herdada exigia preservar furos circulares, espaçamentos e componentes montados como conjunto. No Paraglider, esta opção protege a palma e os pinos, enquanto parte dos dedos recebe escalas próprias. No Phoenix, a montagem completa conserva uma escala uniforme, sendo os dedos alongados apenas em faixas sem furos. Como o alongamento antecede a escala global, o comprimento final depende de ambas 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não adapta e de que modo afeta as restantes dimensões.</w:t>
      </w:r>
    </w:p>
    <w:p>
      <w:pPr>
        <w:pStyle w:val="TextoNormal-IPCA"/>
        <w:rPr/>
      </w:pPr>
      <w:r>
        <w:rPr/>
        <w:t xml:space="preserve">Os parâmetros de lateralidade constituem uma classe separada. No estado final examinado, os quatro modelos registados usam o campo booleano mirrored; a anterior designação </w:t>
      </w:r>
      <w:r>
        <w:rPr>
          <w:i/>
          <w:iCs/>
        </w:rPr>
        <w:t>LeftRight</w:t>
      </w:r>
      <w:r>
        <w:rPr/>
        <w:t xml:space="preserve"> do </w:t>
      </w:r>
      <w:r>
        <w:rPr>
          <w:i/>
          <w:iCs/>
        </w:rPr>
        <w:t>Phoenix</w:t>
      </w:r>
      <w:r>
        <w:rPr/>
        <w:t xml:space="preserve"> foi eliminada. Estes campos desempenham o papel </w:t>
      </w:r>
      <w:r>
        <w:rPr>
          <w:i/>
          <w:iCs/>
        </w:rPr>
        <w:t>laterality</w:t>
      </w:r>
      <w:r>
        <w:rPr/>
        <w:t>,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bookmarkStart w:id="124" w:name="_Toc235564990"/>
      <w:r>
        <w:rPr/>
        <w:t>4.3.4 Dicionário operacional de parâmetros</w:t>
      </w:r>
      <w:bookmarkEnd w:id="124"/>
    </w:p>
    <w:p>
      <w:pPr>
        <w:pStyle w:val="TextoNormal-IPCA"/>
        <w:keepNext w:val="true"/>
        <w:rPr/>
      </w:pPr>
      <w:r>
        <w:rPr/>
      </w:r>
    </w:p>
    <w:p>
      <w:pPr>
        <w:pStyle w:val="TextoNormal-IPCA"/>
        <w:rPr/>
      </w:pPr>
      <w:r>
        <w:rPr/>
        <w:t>Para clarificar a relação entre os dados, a configuração paramétrica e a geometria, foram consolidados os parâmetros numéricos com influência antropométrica, geométrica ou mecânica nos três modelos comparados. Apresentada na Tabela 15, esta consolidação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adotados na plataforma, com função técnica e paramétrica.</w:t>
      </w:r>
    </w:p>
    <w:p>
      <w:pPr>
        <w:pStyle w:val="TextoNormal-IPCA"/>
        <w:rPr/>
      </w:pPr>
      <w:r>
        <w:rPr/>
        <w:t>O Suplemento 3 — Parametrização e percurso numérico apresenta a versão integral do dicionário de parâmetros e preserva as 42 declarações numéricas na sua forma desagregada. Inclui o incremento, o grupo funcional, a designação e a descrição em português, a função determinística e a indicação de exclusão dos processos de sugestão por IA. No corpo do texto, a tabela agrupa apenas as variáveis com a mesma origem, intervalo e transformação, para manter legível a comparação.</w:t>
      </w:r>
    </w:p>
    <w:p>
      <w:pPr>
        <w:pStyle w:val="TextoNormal-IPCA"/>
        <w:keepNext w:val="true"/>
        <w:rPr/>
      </w:pPr>
      <w:r>
        <w:rPr/>
      </w:r>
    </w:p>
    <w:p>
      <w:pPr>
        <w:pStyle w:val="Caption"/>
        <w:rPr/>
      </w:pPr>
      <w:bookmarkStart w:id="125" w:name="_Toc235562538"/>
      <w:r>
        <w:rPr/>
        <w:t xml:space="preserve">Tabela </w:t>
      </w:r>
      <w:r>
        <w:rPr/>
        <w:fldChar w:fldCharType="begin"/>
      </w:r>
      <w:r>
        <w:rPr/>
        <w:instrText xml:space="preserve"> SEQ Tabela \* ARABIC </w:instrText>
      </w:r>
      <w:r>
        <w:rPr/>
        <w:fldChar w:fldCharType="separate"/>
      </w:r>
      <w:r>
        <w:rPr/>
        <w:t>15</w:t>
      </w:r>
      <w:r>
        <w:rPr/>
        <w:fldChar w:fldCharType="end"/>
      </w:r>
      <w:r>
        <w:rPr/>
        <w:t xml:space="preserve"> — Dicionário operacional dos parâmetros numéricos dos modelos avaliados</w:t>
      </w:r>
      <w:bookmarkEnd w:id="125"/>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72</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68; 68</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 65</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4</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 0</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0,35</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95; 32</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 65</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0,9; 0,9</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3–6;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82</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0–160;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18–55;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72; 31</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parâmetros antropométricos correspondem a medidas directas ou referências populacionais; os derivados transformam essas entradas segundo as fórmulas definidas no modelo; os mecânicos representam escolhas de projeto, folgas ou interfaces, sem correspondência directa com características anatómicas. Os parâmetros booleanos de visibilidade, cores, disposição para impressão e lateralidade permanecem no ficheiro de configuração completo, mas não integram a Tabela 15, por não constituírem grandezas numéricas.</w:t>
      </w:r>
    </w:p>
    <w:p>
      <w:pPr>
        <w:pStyle w:val="TextoNormal-IPCA"/>
        <w:rPr/>
      </w:pPr>
      <w:r>
        <w:rPr/>
        <w:t>O Anexo C complementa o dicionário utilizado nos ensaios principais, reunindo as adaptações posteriores, as relações internas do Cyborg Beast, os valores confirmáveis de folga e espessura, as excepções à escala uniforme e os campos que ainda não produzem uma transformação geométrica própria.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bookmarkStart w:id="126" w:name="_Toc235564991"/>
      <w:r>
        <w:rPr/>
        <w:t>4.3.5 Exemplo numérico completo: perfil infantil no Flexy Beast</w:t>
      </w:r>
      <w:bookmarkEnd w:id="126"/>
    </w:p>
    <w:p>
      <w:pPr>
        <w:pStyle w:val="Normal"/>
        <w:keepNext w:val="true"/>
        <w:rPr/>
      </w:pPr>
      <w:r>
        <w:rPr/>
      </w:r>
    </w:p>
    <w:p>
      <w:pPr>
        <w:pStyle w:val="TextoNormal-IPCA"/>
        <w:rPr/>
      </w:pPr>
      <w:r>
        <w:rPr/>
        <w:t>Este exemplo mostra concretamente a passagem de um perfil de ensaio para o vector de medidas aceite pela plataforma e para a geometria resultante no modelo Flexy Beast. A Tabela 16 apresenta um percurso integral preservado na série de ensaios. Para isolar a transformação geométrica, a análise centra-se no conjunto de medidas aplicado ao modelo, não na nacionalidade declarada nem na escolha da referência populacional. O perfil de ensaio correspondia a um rapaz de oito anos, 26 kg, 128 cm de altura, do Brasil e com mãos pequenas. Uma vez que a base utilizada não contém uma população brasileira, este caso deve ser entendido como uma demonstração do funcionamento do esquema de dados e da transformação paramétrica, e não como confirmação da adequação antropométrica à população indicada. O exemplo demonstra como os parâmetros aceites pela estrutura da plataforma são convertidos em geometria mensurável.</w:t>
      </w:r>
    </w:p>
    <w:p>
      <w:pPr>
        <w:pStyle w:val="Caption"/>
        <w:keepNext w:val="true"/>
        <w:rPr/>
      </w:pPr>
      <w:r>
        <w:rPr/>
      </w:r>
    </w:p>
    <w:p>
      <w:pPr>
        <w:pStyle w:val="Caption"/>
        <w:rPr/>
      </w:pPr>
      <w:bookmarkStart w:id="127" w:name="_Toc235562539"/>
      <w:r>
        <w:rPr/>
        <w:t xml:space="preserve">Tabela </w:t>
      </w:r>
      <w:r>
        <w:rPr/>
        <w:fldChar w:fldCharType="begin"/>
      </w:r>
      <w:r>
        <w:rPr/>
        <w:instrText xml:space="preserve"> SEQ Tabela \* ARABIC </w:instrText>
      </w:r>
      <w:r>
        <w:rPr/>
        <w:fldChar w:fldCharType="separate"/>
      </w:r>
      <w:r>
        <w:rPr/>
        <w:t>16</w:t>
      </w:r>
      <w:r>
        <w:rPr/>
        <w:fldChar w:fldCharType="end"/>
      </w:r>
      <w:r>
        <w:rPr/>
        <w:t xml:space="preserve"> — Exemplo da transformação das medidas antropométricas em geometria digital no Flexy Beast</w:t>
      </w:r>
      <w:bookmarkEnd w:id="127"/>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Etapa</w:t>
            </w:r>
          </w:p>
        </w:tc>
        <w:tc>
          <w:tcPr>
            <w:tcW w:w="3427"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Comparação com os intervalos da Tabela 15</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52,183 × 14,913 × 22,697 mm; 1.198 faces; aberta</w:t>
            </w:r>
          </w:p>
        </w:tc>
      </w:tr>
    </w:tbl>
    <w:p>
      <w:pPr>
        <w:pStyle w:val="TextoNormal-IPCA"/>
        <w:rPr/>
      </w:pPr>
      <w:r>
        <w:rPr/>
      </w:r>
    </w:p>
    <w:p>
      <w:pPr>
        <w:pStyle w:val="TextoNormal-IPCA"/>
        <w:spacing w:lineRule="auto" w:line="360"/>
        <w:rPr/>
      </w:pPr>
      <w:r>
        <w:rPr/>
        <w:t>A ponta do dedo médio apresenta uma geometria aberta porque a configuração adoptada reserva uma cavidade para a inserção da almofada de aderência. Neste caso, a ausência de estanquidade deve ser interpretada em função da intenção construtiva da peça, não como uma falha automática de exportação. A palma e o segmento proximal, em contraste, foram identificados como sólidos fechados.</w:t>
      </w:r>
    </w:p>
    <w:p>
      <w:pPr>
        <w:pStyle w:val="TextoNormal-IPCA"/>
        <w:spacing w:lineRule="auto" w:line="360"/>
        <w:rPr/>
      </w:pPr>
      <w:r>
        <w:rPr/>
        <w:t>O percurso evidencia também que o valor de 64 mm atribuído à largura da palma constitui um parâmetro de cálculo, não uma dimensão final directa da caixa envolvente. Este valor alimenta a fórmula herdada do Cyborg Beast e gera uma escala global aplicada a uma geometria-base; por essa razão, a caixa envolvente transversal medida no modelo resultante foi de 80,103 mm. A diferença decorre da transformação implementada e indica que a correspondência entre a designação antropométrica do parâmetro e a dimensão final da peça deve ser calibrada antes de qualquer afirmação sobre o ajuste anatómico.</w:t>
      </w:r>
    </w:p>
    <w:p>
      <w:pPr>
        <w:pStyle w:val="TextoNormal-IPCA"/>
        <w:spacing w:lineRule="auto" w:line="360"/>
        <w:rPr/>
      </w:pPr>
      <w:r>
        <w:rPr/>
        <w:t>Os registos dos parâmetros, as malhas, o percurso de transformação e o dicionário completo integram o Suplemento 3 — Parametrização e percurso numérico.</w:t>
      </w:r>
    </w:p>
    <w:p>
      <w:pPr>
        <w:pStyle w:val="TextoNormal-IPCA"/>
        <w:spacing w:lineRule="auto" w:line="360"/>
        <w:rPr/>
      </w:pPr>
      <w:r>
        <w:rPr/>
        <w:t>Os exemplos complementares do Anexo C mostram duas dependências adicionais não abrangidas por este percurso. No Paraglider, o comprimento do polegar ainda depende de relações internas do modelo, não de uma escala própria plenamente isolada. No Phoenix, a escala global volta a multiplicar comprimentos definidos localmente, o que exige cautela na leitura directa da relação entre o parâmetro antropométrico e a dimensão final da geometria.</w:t>
      </w:r>
    </w:p>
    <w:p>
      <w:pPr>
        <w:pStyle w:val="BodyText"/>
        <w:spacing w:lineRule="auto" w:line="360"/>
        <w:rPr/>
      </w:pPr>
      <w:r>
        <w:rPr/>
      </w:r>
    </w:p>
    <w:p>
      <w:pPr>
        <w:pStyle w:val="Heading2"/>
        <w:numPr>
          <w:ilvl w:val="0"/>
          <w:numId w:val="0"/>
        </w:numPr>
        <w:ind w:hanging="0" w:start="0"/>
        <w:rPr/>
      </w:pPr>
      <w:bookmarkStart w:id="128" w:name="_Toc235564992"/>
      <w:r>
        <w:rPr/>
        <w:t>4.4 Iterações e decisões de projeto</w:t>
      </w:r>
      <w:bookmarkEnd w:id="128"/>
    </w:p>
    <w:p>
      <w:pPr>
        <w:pStyle w:val="TextoNormal-IPCA"/>
        <w:keepNext w:val="true"/>
        <w:rPr/>
      </w:pPr>
      <w:r>
        <w:rPr/>
      </w:r>
    </w:p>
    <w:p>
      <w:pPr>
        <w:pStyle w:val="TextoNormal-IPCA"/>
        <w:rPr/>
      </w:pPr>
      <w:r>
        <w:rPr/>
        <w:t>A evolução dos modelos foi documentada com base em momentos de revisão nos quais uma configuração, uma malha ou uma montagem tornou visível uma limitação e conduziu a uma alteração específica. A Tabela 17 resume os momentos de revisão que mais influenciaram a estrutura paramétrica. As alterações posteriores ao fecho da comparação principal são apresentadas como desenvolvimento subsequente, não como resultados atribuídos retroactivamente aos ensaios anteriores.</w:t>
      </w:r>
    </w:p>
    <w:p>
      <w:pPr>
        <w:pStyle w:val="TextoNormal-IPCA"/>
        <w:keepNext w:val="true"/>
        <w:rPr/>
      </w:pPr>
      <w:r>
        <w:rPr/>
      </w:r>
    </w:p>
    <w:p>
      <w:pPr>
        <w:pStyle w:val="Caption"/>
        <w:rPr/>
      </w:pPr>
      <w:bookmarkStart w:id="129" w:name="_Toc235562540"/>
      <w:r>
        <w:rPr/>
        <w:t xml:space="preserve">Tabela </w:t>
      </w:r>
      <w:r>
        <w:rPr/>
        <w:fldChar w:fldCharType="begin"/>
      </w:r>
      <w:r>
        <w:rPr/>
        <w:instrText xml:space="preserve"> SEQ Tabela \* ARABIC </w:instrText>
      </w:r>
      <w:r>
        <w:rPr/>
        <w:fldChar w:fldCharType="separate"/>
      </w:r>
      <w:r>
        <w:rPr/>
        <w:t>17</w:t>
      </w:r>
      <w:r>
        <w:rPr/>
        <w:fldChar w:fldCharType="end"/>
      </w:r>
      <w:r>
        <w:rPr/>
        <w:t xml:space="preserve"> — Cronologia das principais iterações paramétricas</w:t>
      </w:r>
      <w:bookmarkEnd w:id="129"/>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Aprendizagem de projeto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Identificação e compensação do fator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Limites equivalentes devem atuar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IA alterava a lateralidade, apesar de esta corresponder a uma decisão binária e crítica do projeto.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componente de fixação do Flexy não tinha ligação direta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Adoção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Destes momentos de revisão resultaram quatro conclusões circunscritas. A integração de um modelo aberto exige o exame do âmbito das variáveis em cada ficheiro, não apenas dos controlos apresentados. A preservação de uma interface mecânica pode justificar uma escala uniforme local ou um alongamento seletivo. Um intervalo declarado na interface não dispensa a verificação da própria transformação geométrica. Por fim, a equivalência nominal entre uma medida e um parâmetro deve ser confirmada na malha, uma vez 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objeto configurável e conduziu a uma regra mais explícita. O resultado não é uma metodologia universal de personalização protésica, mas um conjunto documentado de decisões para integrar modelos heterogéneos, preservar as suas interfaces e tornar visíveis os respetivos limites.</w:t>
      </w:r>
      <w:r>
        <w:br w:type="page"/>
      </w:r>
    </w:p>
    <w:p>
      <w:pPr>
        <w:pStyle w:val="Heading1"/>
        <w:numPr>
          <w:ilvl w:val="0"/>
          <w:numId w:val="0"/>
        </w:numPr>
        <w:spacing w:before="0" w:after="240"/>
        <w:ind w:hanging="0" w:start="0"/>
        <w:contextualSpacing/>
        <w:rPr/>
      </w:pPr>
      <w:bookmarkStart w:id="130" w:name="_Toc235564993"/>
      <w:r>
        <w:rPr/>
        <w:t xml:space="preserve">Capítulo 5 — Plataforma </w:t>
      </w:r>
      <w:r>
        <w:rPr>
          <w:i/>
          <w:iCs/>
        </w:rPr>
        <w:t>Web</w:t>
      </w:r>
      <w:r>
        <w:rPr/>
        <w:t xml:space="preserve"> e Integração Digital</w:t>
      </w:r>
      <w:bookmarkEnd w:id="130"/>
    </w:p>
    <w:p>
      <w:pPr>
        <w:pStyle w:val="TextoNormal-IPCA"/>
        <w:keepNext w:val="true"/>
        <w:rPr/>
      </w:pPr>
      <w:r>
        <w:rPr/>
      </w:r>
    </w:p>
    <w:p>
      <w:pPr>
        <w:pStyle w:val="Heading2"/>
        <w:numPr>
          <w:ilvl w:val="0"/>
          <w:numId w:val="0"/>
        </w:numPr>
        <w:ind w:hanging="0" w:start="0"/>
        <w:rPr/>
      </w:pPr>
      <w:bookmarkStart w:id="131" w:name="_Toc235564994"/>
      <w:r>
        <w:rPr/>
        <w:t>5.1 Enquadramento conceptual e perfis de utilizador</w:t>
      </w:r>
      <w:bookmarkEnd w:id="131"/>
    </w:p>
    <w:p>
      <w:pPr>
        <w:pStyle w:val="TextoNormal-IPCA"/>
        <w:keepNext w:val="true"/>
        <w:rPr/>
      </w:pPr>
      <w:r>
        <w:rPr/>
      </w:r>
    </w:p>
    <w:p>
      <w:pPr>
        <w:pStyle w:val="TextoNormal-IPCA"/>
        <w:rPr/>
      </w:pPr>
      <w:r>
        <w:rPr/>
        <w:t xml:space="preserve">A plataforma </w:t>
      </w:r>
      <w:r>
        <w:rPr>
          <w:i/>
          <w:iCs/>
        </w:rPr>
        <w:t>web</w:t>
      </w:r>
      <w:r>
        <w:rPr/>
        <w:t xml:space="preserve"> desenvolvida neste projeto estabelece a mediação entre o modelo paramétrico, os dados de entrada e a configuração digital da mão protésica. A versão pública está disponível em https://handfab.pedrocandeias.net/;</w:t>
      </w:r>
    </w:p>
    <w:p>
      <w:pPr>
        <w:pStyle w:val="TextoNormal-IPCA"/>
        <w:rPr/>
      </w:pPr>
      <w:r>
        <w:rPr/>
        <w:t>Os ensaios principais e a série complementar de interface incidiram sobre estados anteriores da plataforma. Mantém-se esta separação temporal porque a plataforma continuou a evoluir depois dos ensaios, nomeadamente quanto à organização e à nomenclatura dos controlos, sem que essas alterações posteriores possam ser apresentadas como parte dos resultados anteriores.</w:t>
      </w:r>
    </w:p>
    <w:p>
      <w:pPr>
        <w:pStyle w:val="TextoNormal-IPCA"/>
        <w:rPr/>
      </w:pPr>
      <w:r>
        <w:rPr/>
        <w:t xml:space="preserve">No contexto do </w:t>
      </w:r>
      <w:r>
        <w:rPr>
          <w:i/>
          <w:iCs/>
        </w:rPr>
        <w:t>Design</w:t>
      </w:r>
      <w:r>
        <w:rPr/>
        <w:t xml:space="preserve"> e Desenvolvimento de Produto, a plataforma não constitui um fim autónomo, mas organiza a passagem entre intenção, dados, parâmetros, forma visualizada e ficheiro destinado ao fabrico. A interface expõe uma parte controlada do espaço de variação, evitando que a configuração dependa da edição direta do código OpenSCAD. Esta interpretação é coerente com os estudos sobre personalização digital e personalização em massa, nos quais os configuradores são descritos como sistemas capazes de disponibilizar variação sem comprometer as relações do modelo-base </w:t>
      </w:r>
      <w:sdt>
        <w:sdtPr>
          <w:tag w:val="MENDELEY_CITATION_v3_eyJjaXRhdGlvbklEIjoiTUVOREVMRVlfQ0lUQVRJT05fNTZlMGVkNjYtZGVmNi00MDFiLTlhOTAtNTJjN2EyODUyM2Fl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
          <w:id w:val="-1580897932"/>
          <w:placeholder>
            <w:docPart w:val="DefaultPlaceholder_-1854013440"/>
          </w:placeholder>
        </w:sdtPr>
        <w:sdtContent>
          <w:r>
            <w:rPr/>
          </w:r>
          <w:r>
            <w:rPr>
              <w:color w:val="000000"/>
            </w:rPr>
            <w:t>(Ozdemir et al., 2022; van Stralen, 2018)</w:t>
          </w:r>
        </w:sdtContent>
      </w:sdt>
      <w:r>
        <w:rPr/>
        <w:t>.</w:t>
      </w:r>
    </w:p>
    <w:p>
      <w:pPr>
        <w:pStyle w:val="TextoNormal-IPCA"/>
        <w:rPr/>
      </w:pPr>
      <w:r>
        <w:rPr/>
        <w:t>Em termos funcionais, a plataforma foi concebida para suportar um processo progressivo de configuração, em que a definição geométrica articula a recolha de dados, a seleção do modelo, o ajustamento de parâmetros, a visualização do resultado e a eventual exportação para prototipagem. Esta organização reúne num único percurso de projeto etapas anteriormente dispersas, mas não permite concluir que pessoas sem formação técnica consigam executá-lo com menor esforço.</w:t>
      </w:r>
    </w:p>
    <w:p>
      <w:pPr>
        <w:pStyle w:val="TextoNormal-IPCA"/>
        <w:rPr/>
      </w:pPr>
      <w:r>
        <w:rPr/>
        <w:t>O sistema disponibiliza controlos paramétricos, pré-visualização tridimensional e gestão de configurações, dispensando o contacto direto com a estrutura interna do ficheiro OpenSCAD. Neste capítulo, esta característica é descrita como uma decisão de interface; a facilidade de aprendizagem e a redução efetiva da dependência técnica permanecem por avaliar com participantes.</w:t>
      </w:r>
    </w:p>
    <w:p>
      <w:pPr>
        <w:pStyle w:val="TextoNormal-IPCA"/>
        <w:rPr/>
      </w:pPr>
      <w:r>
        <w:rPr/>
        <w:t xml:space="preserve">Esta opção aproxima-se de abordagens recentes em plataformas de personalização de próteses, nas quais a interface torna observável, configurável e progressivamente verificável um processo que, de outro modo, permaneceria dependente de </w:t>
      </w:r>
      <w:r>
        <w:rPr>
          <w:i/>
          <w:iCs/>
        </w:rPr>
        <w:t>software</w:t>
      </w:r>
      <w:r>
        <w:rPr/>
        <w:t xml:space="preserve"> especializado ou de mediação exclusivamente técnica </w:t>
      </w:r>
      <w:sdt>
        <w:sdtPr>
          <w:tag w:val="MENDELEY_CITATION_v3_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"/>
          <w:id w:val="-1485152510"/>
          <w:placeholder>
            <w:docPart w:val="DefaultPlaceholder_-1854013440"/>
          </w:placeholder>
        </w:sdtPr>
        <w:sdtContent>
          <w:r>
            <w:rPr/>
          </w:r>
          <w:r>
            <w:rPr>
              <w:color w:val="000000"/>
            </w:rPr>
            <w:t>(Peixoto et al., 2025)</w:t>
          </w:r>
        </w:sdtContent>
      </w:sdt>
      <w:r>
        <w:rPr/>
        <w:t>.</w:t>
      </w:r>
    </w:p>
    <w:p>
      <w:pPr>
        <w:pStyle w:val="TextoNormal-IPCA"/>
        <w:keepNext w:val="true"/>
        <w:rPr/>
      </w:pPr>
      <w:r>
        <w:rPr/>
      </w:r>
    </w:p>
    <w:p>
      <w:pPr>
        <w:pStyle w:val="Normal"/>
        <w:keepNext w:val="true"/>
        <w:jc w:val="center"/>
        <w:rPr/>
      </w:pPr>
      <w:r>
        <w:rPr/>
        <w:drawing>
          <wp:inline distT="0" distB="0" distL="0" distR="0">
            <wp:extent cx="5579745" cy="2613025"/>
            <wp:effectExtent l="0" t="0" r="0" b="0"/>
            <wp:docPr id="33"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15" descr="Image 15"/>
                    <pic:cNvPicPr>
                      <a:picLocks noChangeAspect="1" noChangeArrowheads="1"/>
                    </pic:cNvPicPr>
                  </pic:nvPicPr>
                  <pic:blipFill>
                    <a:blip r:embed="rId74"/>
                    <a:stretch>
                      <a:fillRect/>
                    </a:stretch>
                  </pic:blipFill>
                  <pic:spPr bwMode="auto">
                    <a:xfrm>
                      <a:off x="0" y="0"/>
                      <a:ext cx="5579745" cy="2613025"/>
                    </a:xfrm>
                    <a:prstGeom prst="rect">
                      <a:avLst/>
                    </a:prstGeom>
                    <a:noFill/>
                  </pic:spPr>
                </pic:pic>
              </a:graphicData>
            </a:graphic>
          </wp:inline>
        </w:drawing>
      </w:r>
    </w:p>
    <w:p>
      <w:pPr>
        <w:pStyle w:val="Caption"/>
        <w:rPr/>
      </w:pPr>
      <w:bookmarkStart w:id="132" w:name="_Toc235562509"/>
      <w:r>
        <w:rPr/>
        <w:t xml:space="preserve">Figura </w:t>
      </w:r>
      <w:r>
        <w:rPr/>
        <w:fldChar w:fldCharType="begin"/>
      </w:r>
      <w:r>
        <w:rPr/>
        <w:instrText xml:space="preserve"> SEQ Figura \* ARABIC </w:instrText>
      </w:r>
      <w:r>
        <w:rPr/>
        <w:fldChar w:fldCharType="separate"/>
      </w:r>
      <w:r>
        <w:rPr/>
        <w:t>15</w:t>
      </w:r>
      <w:r>
        <w:rPr/>
        <w:fldChar w:fldCharType="end"/>
      </w:r>
      <w:r>
        <w:rPr/>
        <w:t xml:space="preserve"> — Fluxo geral de produção personalizada de próteses a partir de plataforma </w:t>
      </w:r>
      <w:r>
        <w:rPr>
          <w:i/>
          <w:iCs/>
        </w:rPr>
        <w:t>web</w:t>
      </w:r>
      <w:r>
        <w:rPr/>
        <w:t xml:space="preserve"> – HandFab</w:t>
      </w:r>
      <w:bookmarkEnd w:id="132"/>
    </w:p>
    <w:p>
      <w:pPr>
        <w:pStyle w:val="Nota-IPCA"/>
        <w:rPr>
          <w:lang w:val="pt-PT"/>
        </w:rPr>
      </w:pPr>
      <w:r>
        <w:rPr>
          <w:lang w:val="pt-PT"/>
        </w:rPr>
        <w:t>Fonte: produção própria.</w:t>
      </w:r>
    </w:p>
    <w:p>
      <w:pPr>
        <w:pStyle w:val="TextoNormal-IPCA"/>
        <w:rPr/>
      </w:pPr>
      <w:r>
        <w:rPr/>
      </w:r>
    </w:p>
    <w:p>
      <w:pPr>
        <w:pStyle w:val="TextoNormal-IPCA"/>
        <w:rPr/>
      </w:pPr>
      <w:r>
        <w:rPr/>
        <w:t>A plataforma funciona como uma infraestrutura de mediação entre componentes técnicos, utilizadores e intervenientes especializados. A configuração é entendida como um processo distribuído, no qual os vários intervenientes participam com diferentes graus de responsabilidade, conhecimento e controlo.</w:t>
      </w:r>
    </w:p>
    <w:p>
      <w:pPr>
        <w:pStyle w:val="TextoNormal-IPCA"/>
        <w:rPr/>
      </w:pPr>
      <w:r>
        <w:rPr/>
        <w:t xml:space="preserve">No contexto das próteses personalizadas, o resultado pode depender da articulação entre o utilizador final, o designer, o técnico ou o clínico, assim como de condicionantes produtivas e critérios de validação. A plataforma procura oferecer uma infraestrutura digital que acomode esta pluralidade de agentes sem comprometer a consistência técnica da configuração paramétrica nem transferir indevidamente a responsabilidade para o utilizador menos especializado </w:t>
      </w:r>
      <w:sdt>
        <w:sdtPr>
          <w:tag w:val="MENDELEY_CITATION_v3_eyJjaXRhdGlvbklEIjoiTUVOREVMRVlfQ0lUQVRJT05fYTdiOWVjYzgtYmI2Ny00MjA2LTg5ZmYtZTE2ZGE2MGQxYjcy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926178006"/>
          <w:placeholder>
            <w:docPart w:val="DefaultPlaceholder_-1854013440"/>
          </w:placeholder>
        </w:sdtPr>
        <w:sdtContent>
          <w:r>
            <w:rPr/>
          </w:r>
          <w:r>
            <w:rPr>
              <w:color w:val="000000"/>
            </w:rPr>
            <w:t>(Bai et al., 2024; Quintero et al., 2018)</w:t>
          </w:r>
        </w:sdtContent>
      </w:sdt>
      <w:r>
        <w:rPr/>
        <w:t>.</w:t>
      </w:r>
    </w:p>
    <w:p>
      <w:pPr>
        <w:pStyle w:val="TextoNormal-IPCA"/>
        <w:rPr/>
      </w:pPr>
      <w:r>
        <w:rPr/>
        <w:t>A definição dos perfis de utilizador é uma decisão estruturante no desenho da plataforma, pois determina a distribuição de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e da base de dados antropométricos. O perfil técnico destina-se a profissionais intermédios, como técnicos de ortoprotesia, clínicos ou operadores especializados, aos quais permite criar, editar e acompanhar configurações próprias e, quando aplicável, aceder às configurações dos utilizadores que acompanham. O perfil de utilizador corresponde ao nível mais restrito e centra-se na consulta das suas configurações, no acompanhamento do processo e nas interações delimitadas pelo sistema.</w:t>
      </w:r>
    </w:p>
    <w:p>
      <w:pPr>
        <w:pStyle w:val="TextoNormal-IPCA"/>
        <w:keepNext w:val="true"/>
        <w:rPr/>
      </w:pPr>
      <w:r>
        <w:rPr/>
      </w:r>
    </w:p>
    <w:p>
      <w:pPr>
        <w:pStyle w:val="Caption"/>
        <w:rPr/>
      </w:pPr>
      <w:bookmarkStart w:id="133" w:name="_Toc235562510"/>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34"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restaurada 47"/>
                    <pic:cNvPicPr>
                      <a:picLocks noChangeAspect="1" noChangeArrowheads="1"/>
                    </pic:cNvPicPr>
                  </pic:nvPicPr>
                  <pic:blipFill>
                    <a:blip r:embed="rId75"/>
                    <a:stretch>
                      <a:fillRect/>
                    </a:stretch>
                  </pic:blipFill>
                  <pic:spPr bwMode="auto">
                    <a:xfrm>
                      <a:off x="0" y="0"/>
                      <a:ext cx="5579745" cy="3148330"/>
                    </a:xfrm>
                    <a:prstGeom prst="rect">
                      <a:avLst/>
                    </a:prstGeom>
                    <a:noFill/>
                  </pic:spPr>
                </pic:pic>
              </a:graphicData>
            </a:graphic>
          </wp:anchor>
        </w:drawing>
      </w:r>
      <w:r>
        <w:rPr/>
        <w:t xml:space="preserve">Figura </w:t>
      </w:r>
      <w:r>
        <w:rPr/>
        <w:fldChar w:fldCharType="begin"/>
      </w:r>
      <w:r>
        <w:rPr/>
        <w:instrText xml:space="preserve"> SEQ Figura \* ARABIC </w:instrText>
      </w:r>
      <w:r>
        <w:rPr/>
        <w:fldChar w:fldCharType="separate"/>
      </w:r>
      <w:r>
        <w:rPr/>
        <w:t>16</w:t>
      </w:r>
      <w:r>
        <w:rPr/>
        <w:fldChar w:fldCharType="end"/>
      </w:r>
      <w:r>
        <w:rPr/>
        <w:t xml:space="preserve"> — Painel de configuração dos perfis de utilizador na plataforma HandFab.</w:t>
      </w:r>
      <w:bookmarkEnd w:id="133"/>
    </w:p>
    <w:p>
      <w:pPr>
        <w:pStyle w:val="Nota-IPCA"/>
        <w:rPr>
          <w:lang w:val="pt-PT"/>
        </w:rPr>
      </w:pPr>
      <w:r>
        <w:rPr>
          <w:lang w:val="pt-PT"/>
        </w:rPr>
        <w:t>Fonte: produção própria.</w:t>
      </w:r>
    </w:p>
    <w:p>
      <w:pPr>
        <w:pStyle w:val="TextoNormal-IPCA"/>
        <w:rPr/>
      </w:pPr>
      <w:r>
        <w:rPr/>
      </w:r>
    </w:p>
    <w:p>
      <w:pPr>
        <w:pStyle w:val="TextoNormal-IPCA"/>
        <w:rPr/>
      </w:pPr>
      <w:r>
        <w:rPr/>
        <w:t>Esta segmentação concretiza uma lógica de controlo de acesso baseada em papéis, que procura equilibrar autonomia, segurança e responsabilidade distribuída mediante a definição clara dos limites de intervenção de cada perfil. A diferenciação determina diretamente o modo como a plataforma enquadra a configuração.</w:t>
      </w:r>
    </w:p>
    <w:p>
      <w:pPr>
        <w:pStyle w:val="TextoNormal-IPCA"/>
        <w:rPr/>
      </w:pPr>
      <w:r>
        <w:rPr/>
        <w:t xml:space="preserve">Ao reservar determinados parâmetros, decisões ou operações aos perfis técnicos, o sistema reconhece que alguns aspetos da configuração exigem acesso condicionado. Em domínios sensíveis, como o das próteses, a interface deve conferir visibilidade ao processo e delimitar o campo de ação segundo critérios de supervisão e segurança. A literatura sobre interfaces clínicas e interação em próteses inteligentes assinala a necessidade de distinguir a participação informada do utilizador do controlo técnico supervisionado. Esta distinção procura evitar tanto a opacidade excessiva como a transferência imprudente de responsabilidade para agentes sem formação específica </w:t>
      </w:r>
      <w:sdt>
        <w:sdtPr>
          <w:tag w:val="MENDELEY_CITATION_v3_eyJjaXRhdGlvbklEIjoiTUVOREVMRVlfQ0lUQVRJT05fNzg0NWJlMmMtMzgwMC00OTk1LWJlYTEtZWU4OWZhZGY3MTQ0IiwicHJvcGVydGllcyI6eyJub3RlSW5kZXgiOjB9LCJpc0VkaXRlZCI6ZmFsc2UsIm1hbnVhbE92ZXJyaWRlIjp7ImlzTWFudWFsbHlPdmVycmlkZGVuIjpmYWxzZSwiY2l0ZXByb2NUZXh0IjoiKEJhaSBldCBhbC4sIDIwMjQ7IFF1aW50ZXJvIGV0IGFsLiwgMjAxOCkiLCJtYW51YWxPdmVycmlkZVRleHQiOiIifSwiY2l0YXRpb25JdGVtcyI6W3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Sx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XX0="/>
          <w:id w:val="-1836145996"/>
          <w:placeholder>
            <w:docPart w:val="DefaultPlaceholder_-1854013440"/>
          </w:placeholder>
        </w:sdtPr>
        <w:sdtContent>
          <w:r>
            <w:rPr/>
          </w:r>
          <w:r>
            <w:rPr>
              <w:color w:val="000000"/>
            </w:rPr>
            <w:t>(Bai et al., 2024; Quintero et al., 2018)</w:t>
          </w:r>
        </w:sdtContent>
      </w:sdt>
      <w:r>
        <w:rPr/>
        <w:t>.</w:t>
      </w:r>
    </w:p>
    <w:p>
      <w:pPr>
        <w:pStyle w:val="TextoNormal-IPCA"/>
        <w:rPr/>
      </w:pPr>
      <w:r>
        <w:rPr/>
        <w:t xml:space="preserve">O enquadramento conceptual articula três objetivos: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embora a compreensão da sequência e a adequação dos papéis permaneçam por avaliar. A arquitetura apresentada no subcapítulo seguinte assenta nesta articulação entre configuração, interface e responsabilidades.</w:t>
      </w:r>
    </w:p>
    <w:p>
      <w:pPr>
        <w:pStyle w:val="TextoNormal-IPCA"/>
        <w:rPr/>
      </w:pPr>
      <w:r>
        <w:rPr/>
      </w:r>
    </w:p>
    <w:p>
      <w:pPr>
        <w:pStyle w:val="Heading2"/>
        <w:numPr>
          <w:ilvl w:val="0"/>
          <w:numId w:val="0"/>
        </w:numPr>
        <w:ind w:hanging="0" w:start="0"/>
        <w:rPr/>
      </w:pPr>
      <w:bookmarkStart w:id="134" w:name="_Toc235564995"/>
      <w:r>
        <w:rPr/>
        <w:t>5.2 Arquitectura geral do sistema</w:t>
      </w:r>
      <w:bookmarkEnd w:id="134"/>
    </w:p>
    <w:p>
      <w:pPr>
        <w:pStyle w:val="TextoNormal-IPCA"/>
        <w:keepNext w:val="true"/>
        <w:rPr/>
      </w:pPr>
      <w:r>
        <w:rPr/>
      </w:r>
    </w:p>
    <w:p>
      <w:pPr>
        <w:pStyle w:val="TextoNormal-IPCA"/>
        <w:rPr/>
      </w:pPr>
      <w:r>
        <w:rPr/>
        <w:t>O sistema organiza-se numa estrutura em camadas, distinguindo interface, configuração, cálculo geométrico, visualização, persistência e serviços externos. Esta estrutura permite operar em ambiente web um modelo paramétrico tecnicamente exigente sem concentrar a interação, o cálculo, o armazenamento e o controlo de acesso no mesmo componente. A Tabela 18 apresenta o fluxo completo antes da descrição de cada tecnologia.</w:t>
      </w:r>
    </w:p>
    <w:p>
      <w:pPr>
        <w:pStyle w:val="TextoNormal-IPCA"/>
        <w:keepNext w:val="true"/>
        <w:rPr/>
      </w:pPr>
      <w:r>
        <w:rPr/>
      </w:r>
    </w:p>
    <w:p>
      <w:pPr>
        <w:pStyle w:val="Caption"/>
        <w:rPr/>
      </w:pPr>
      <w:bookmarkStart w:id="135" w:name="_Toc235562541"/>
      <w:r>
        <w:rPr/>
        <w:t xml:space="preserve">Tabela </w:t>
      </w:r>
      <w:r>
        <w:rPr/>
        <w:fldChar w:fldCharType="begin"/>
      </w:r>
      <w:r>
        <w:rPr/>
        <w:instrText xml:space="preserve"> SEQ Tabela \* ARABIC </w:instrText>
      </w:r>
      <w:r>
        <w:rPr/>
        <w:fldChar w:fldCharType="separate"/>
      </w:r>
      <w:r>
        <w:rPr/>
        <w:t>18</w:t>
      </w:r>
      <w:r>
        <w:rPr/>
        <w:fldChar w:fldCharType="end"/>
      </w:r>
      <w:r>
        <w:rPr/>
        <w:t>— Fluxo de dados e responsabilidades da plataforma</w:t>
      </w:r>
      <w:bookmarkEnd w:id="135"/>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 xml:space="preserve">Interface </w:t>
            </w:r>
            <w:r>
              <w:rPr>
                <w:rFonts w:eastAsia="Calibri"/>
                <w:i/>
                <w:iCs/>
                <w:sz w:val="20"/>
                <w:szCs w:val="20"/>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 xml:space="preserve">OpenSCAD em </w:t>
            </w:r>
            <w:r>
              <w:rPr>
                <w:rFonts w:eastAsia="Calibri"/>
                <w:i/>
                <w:iCs/>
                <w:sz w:val="20"/>
                <w:szCs w:val="20"/>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Script</w:t>
            </w:r>
            <w:r>
              <w:rPr>
                <w:rFonts w:eastAsia="Calibri"/>
                <w:sz w:val="20"/>
                <w:szCs w:val="20"/>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Definir camadas, orientação, suportes e trajetórias;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Autenticar, aplicar permissões e guardar estados da configuração</w:t>
            </w:r>
          </w:p>
        </w:tc>
      </w:tr>
    </w:tbl>
    <w:p>
      <w:pPr>
        <w:pStyle w:val="TextoNormal-IPCA"/>
        <w:rPr/>
      </w:pPr>
      <w:r>
        <w:rPr/>
      </w:r>
    </w:p>
    <w:p>
      <w:pPr>
        <w:pStyle w:val="TextoNormal-IPCA"/>
        <w:rPr/>
      </w:pPr>
      <w:r>
        <w:rPr/>
        <w:t>A Figura 17 representa a arquitetura implementada e as fronteiras entre o navegador, o servidor, o fornecedor externo de IA e o fabrico. A geometria é calculada no navegador; a autenticação, os dados e os pedidos de IA passam pelo servidor;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35"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16" descr="Image 16"/>
                    <pic:cNvPicPr>
                      <a:picLocks noChangeAspect="1" noChangeArrowheads="1"/>
                    </pic:cNvPicPr>
                  </pic:nvPicPr>
                  <pic:blipFill>
                    <a:blip r:embed="rId76"/>
                    <a:stretch>
                      <a:fillRect/>
                    </a:stretch>
                  </pic:blipFill>
                  <pic:spPr bwMode="auto">
                    <a:xfrm>
                      <a:off x="0" y="0"/>
                      <a:ext cx="5579745" cy="3347720"/>
                    </a:xfrm>
                    <a:prstGeom prst="rect">
                      <a:avLst/>
                    </a:prstGeom>
                    <a:noFill/>
                  </pic:spPr>
                </pic:pic>
              </a:graphicData>
            </a:graphic>
          </wp:inline>
        </w:drawing>
      </w:r>
    </w:p>
    <w:p>
      <w:pPr>
        <w:pStyle w:val="Caption"/>
        <w:rPr/>
      </w:pPr>
      <w:bookmarkStart w:id="136" w:name="_Toc235562511"/>
      <w:r>
        <w:rPr/>
        <w:t xml:space="preserve">Figura </w:t>
      </w:r>
      <w:r>
        <w:rPr/>
        <w:fldChar w:fldCharType="begin"/>
      </w:r>
      <w:r>
        <w:rPr/>
        <w:instrText xml:space="preserve"> SEQ Figura \* ARABIC </w:instrText>
      </w:r>
      <w:r>
        <w:rPr/>
        <w:fldChar w:fldCharType="separate"/>
      </w:r>
      <w:r>
        <w:rPr/>
        <w:t>17</w:t>
      </w:r>
      <w:r>
        <w:rPr/>
        <w:fldChar w:fldCharType="end"/>
      </w:r>
      <w:r>
        <w:rPr/>
        <w:t xml:space="preserve"> — Arquitetura da plataforma e fronteiras entre navegador, servidor, serviço externo de IA e preparação do fabrico.</w:t>
      </w:r>
      <w:bookmarkEnd w:id="136"/>
    </w:p>
    <w:p>
      <w:pPr>
        <w:pStyle w:val="Nota-IPCA"/>
        <w:rPr>
          <w:lang w:val="pt-PT"/>
        </w:rPr>
      </w:pPr>
      <w:r>
        <w:rPr>
          <w:lang w:val="pt-PT"/>
        </w:rPr>
        <w:t>Fonte: produção própria.</w:t>
      </w:r>
    </w:p>
    <w:p>
      <w:pPr>
        <w:pStyle w:val="TextoNormal-IPCA"/>
        <w:rPr/>
      </w:pPr>
      <w:r>
        <w:rPr/>
      </w:r>
    </w:p>
    <w:p>
      <w:pPr>
        <w:pStyle w:val="TextoNormal-IPCA"/>
        <w:rPr/>
      </w:pPr>
      <w:r>
        <w:rPr/>
        <w:t>A Figura 18 complementa o diagrama de arquitetura com a sequência operacional do sistema, desde a interpretação do perfil até à geração da geometria. No servidor, o perfil do utilizador, ou a descrição introduzida, é associado a uma referência antropométrica, com base na qual a IA externa sugere valores iniciais condicionados pelo esquema do modelo. O servidor filtra a resposta, e a configuração apenas é aplicada após revisão humana. Em seguida, a geometria é gerada de forma determinística no OpenSCAD executado no navegador, permanecendo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36"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iagrama de sequência perfil-IA-OpenSCAD-exportação" descr="Sequência desde o perfil antropométrico até à exportação da geometria"/>
                    <pic:cNvPicPr>
                      <a:picLocks noChangeAspect="1" noChangeArrowheads="1"/>
                    </pic:cNvPicPr>
                  </pic:nvPicPr>
                  <pic:blipFill>
                    <a:blip r:embed="rId77"/>
                    <a:stretch>
                      <a:fillRect/>
                    </a:stretch>
                  </pic:blipFill>
                  <pic:spPr bwMode="auto">
                    <a:xfrm>
                      <a:off x="0" y="0"/>
                      <a:ext cx="5303520" cy="4606925"/>
                    </a:xfrm>
                    <a:prstGeom prst="rect">
                      <a:avLst/>
                    </a:prstGeom>
                    <a:noFill/>
                  </pic:spPr>
                </pic:pic>
              </a:graphicData>
            </a:graphic>
          </wp:inline>
        </w:drawing>
      </w:r>
    </w:p>
    <w:p>
      <w:pPr>
        <w:pStyle w:val="Caption"/>
        <w:rPr/>
      </w:pPr>
      <w:bookmarkStart w:id="137" w:name="_Toc235562512"/>
      <w:r>
        <w:rPr/>
        <w:t xml:space="preserve">Figura </w:t>
      </w:r>
      <w:r>
        <w:rPr/>
        <w:fldChar w:fldCharType="begin"/>
      </w:r>
      <w:r>
        <w:rPr/>
        <w:instrText xml:space="preserve"> SEQ Figura \* ARABIC </w:instrText>
      </w:r>
      <w:r>
        <w:rPr/>
        <w:fldChar w:fldCharType="separate"/>
      </w:r>
      <w:r>
        <w:rPr/>
        <w:t>18</w:t>
      </w:r>
      <w:r>
        <w:rPr/>
        <w:fldChar w:fldCharType="end"/>
      </w:r>
      <w:r>
        <w:rPr/>
        <w:t xml:space="preserve"> — Sequência de dados e decisões desde o perfil ou descrição até à sugestão, confirmação, geração determinística e exportação.</w:t>
      </w:r>
      <w:bookmarkEnd w:id="137"/>
    </w:p>
    <w:p>
      <w:pPr>
        <w:pStyle w:val="Nota-IPCA"/>
        <w:rPr>
          <w:lang w:val="pt-PT"/>
        </w:rPr>
      </w:pPr>
      <w:r>
        <w:rPr>
          <w:lang w:val="pt-PT"/>
        </w:rPr>
        <w:t>Fonte: produção própria.</w:t>
      </w:r>
    </w:p>
    <w:p>
      <w:pPr>
        <w:pStyle w:val="TextoNormal-IPCA"/>
        <w:rPr/>
      </w:pPr>
      <w:r>
        <w:rPr/>
      </w:r>
    </w:p>
    <w:p>
      <w:pPr>
        <w:pStyle w:val="TextoNormal-IPCA"/>
        <w:rPr/>
      </w:pPr>
      <w:r>
        <w:rPr/>
        <w:t>A Tabela 19 identifica o estado técnico necessário para interpretar o artefacto sem transformar esta investigação numa descrição exaustiva da implementação. Os estados e componentes são registados por condicionarem a leitura dos ensaios.</w:t>
      </w:r>
    </w:p>
    <w:p>
      <w:pPr>
        <w:pStyle w:val="TextoNormal-IPCA"/>
        <w:keepNext w:val="true"/>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bookmarkStart w:id="138" w:name="_Toc235562542"/>
      <w:r>
        <w:rPr/>
        <w:t xml:space="preserve">Tabela </w:t>
      </w:r>
      <w:r>
        <w:rPr/>
        <w:fldChar w:fldCharType="begin"/>
      </w:r>
      <w:r>
        <w:rPr/>
        <w:instrText xml:space="preserve"> SEQ Tabela \* ARABIC </w:instrText>
      </w:r>
      <w:r>
        <w:rPr/>
        <w:fldChar w:fldCharType="separate"/>
      </w:r>
      <w:r>
        <w:rPr/>
        <w:t>19</w:t>
      </w:r>
      <w:r>
        <w:rPr/>
        <w:fldChar w:fldCharType="end"/>
      </w:r>
      <w:r>
        <w:rPr/>
        <w:t>— Componentes, estados e limites do protótipo examinado</w:t>
      </w:r>
      <w:bookmarkEnd w:id="138"/>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1461"/>
        <w:gridCol w:w="2541"/>
        <w:gridCol w:w="2147"/>
        <w:gridCol w:w="2638"/>
      </w:tblGrid>
      <w:tr>
        <w:trPr>
          <w:tblHeader w:val="true"/>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Implementação e estado examinado</w:t>
            </w:r>
          </w:p>
        </w:tc>
        <w:tc>
          <w:tcPr>
            <w:tcW w:w="2147"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rFonts w:eastAsia="Calibri"/>
                <w:b/>
                <w:bCs/>
                <w:sz w:val="20"/>
                <w:szCs w:val="20"/>
              </w:rPr>
              <w:t xml:space="preserve">Função no processo de </w:t>
            </w:r>
            <w:r>
              <w:rPr>
                <w:rFonts w:eastAsia="Calibri"/>
                <w:b/>
                <w:bCs/>
                <w:i/>
                <w:iCs/>
                <w:sz w:val="20"/>
                <w:szCs w:val="20"/>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rStyle w:val="Strong"/>
                <w:sz w:val="20"/>
                <w:szCs w:val="20"/>
              </w:rPr>
              <w:t>Alcance da verificação</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Estado final examinado; ensaios principais e complementares realizados em estados anteriores</w:t>
            </w:r>
          </w:p>
        </w:tc>
        <w:tc>
          <w:tcPr>
            <w:tcW w:w="214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 evolução do protótipo impede atribuir retractivamente funções novas aos ensaios anteriores</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rFonts w:eastAsia="Calibri"/>
                <w:sz w:val="20"/>
                <w:szCs w:val="20"/>
              </w:rPr>
              <w:t xml:space="preserve">Aplicação </w:t>
            </w:r>
            <w:r>
              <w:rPr>
                <w:rFonts w:eastAsia="Calibri"/>
                <w:i/>
                <w:iCs/>
                <w:sz w:val="20"/>
                <w:szCs w:val="20"/>
              </w:rPr>
              <w:t>web</w:t>
            </w:r>
            <w:r>
              <w:rPr>
                <w:rFonts w:eastAsia="Calibri"/>
                <w:sz w:val="20"/>
                <w:szCs w:val="20"/>
              </w:rPr>
              <w:t xml:space="preserve"> com visualizador tridimensional</w:t>
            </w:r>
          </w:p>
        </w:tc>
        <w:tc>
          <w:tcPr>
            <w:tcW w:w="214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Chromium e Firefox produziram o mesmo resultado no caso comparado; WebKit permaneceu inconclusivo; não foi demonstrada compatibilidade universal</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rFonts w:eastAsia="Calibri"/>
                <w:sz w:val="20"/>
                <w:szCs w:val="20"/>
              </w:rPr>
              <w:t xml:space="preserve">OpenSCAD executado em </w:t>
            </w:r>
            <w:r>
              <w:rPr>
                <w:rFonts w:eastAsia="Calibri"/>
                <w:i/>
                <w:iCs/>
                <w:sz w:val="20"/>
                <w:szCs w:val="20"/>
              </w:rPr>
              <w:t>WebAssembly</w:t>
            </w:r>
            <w:r>
              <w:rPr>
                <w:rFonts w:eastAsia="Calibri"/>
                <w:sz w:val="20"/>
                <w:szCs w:val="20"/>
              </w:rPr>
              <w:t xml:space="preserve"> num </w:t>
            </w:r>
            <w:r>
              <w:rPr>
                <w:rFonts w:eastAsia="Calibri"/>
                <w:i/>
                <w:iCs/>
                <w:sz w:val="20"/>
                <w:szCs w:val="20"/>
              </w:rPr>
              <w:t>Web Worker</w:t>
            </w:r>
          </w:p>
        </w:tc>
        <w:tc>
          <w:tcPr>
            <w:tcW w:w="214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O tempo e a conclusão dependem do modelo e dos recursos do equipamento</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Node.js 22.14.0, Express 4.18.3 e autenticação por perfis</w:t>
            </w:r>
          </w:p>
        </w:tc>
        <w:tc>
          <w:tcPr>
            <w:tcW w:w="214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O funcionamento foi examinado em casos delimitados</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SQLite integrado no Node.js</w:t>
            </w:r>
          </w:p>
        </w:tc>
        <w:tc>
          <w:tcPr>
            <w:tcW w:w="214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Adequado ao protótipo examinado</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Anthropic ou OpenAI, selecionável; claude-sonnet-4-6 nos ensaios</w:t>
            </w:r>
          </w:p>
        </w:tc>
        <w:tc>
          <w:tcPr>
            <w:tcW w:w="214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Sugerir valores iniciais condicionados pelo modelo ativo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Depende da disponibilidade externa e da qualidade do pedido; não gera nem aprova a geometria</w:t>
            </w:r>
          </w:p>
        </w:tc>
      </w:tr>
    </w:tbl>
    <w:p>
      <w:pPr>
        <w:pStyle w:val="TextoNormal-IPCA"/>
        <w:rPr/>
      </w:pPr>
      <w:r>
        <w:rPr/>
      </w:r>
    </w:p>
    <w:p>
      <w:pPr>
        <w:pStyle w:val="TextoNormal-IPCA"/>
        <w:rPr/>
      </w:pPr>
      <w:r>
        <w:rPr/>
        <w:t>A distribuição da informação segue a mesma separação de responsabilidades. O navegador conserva o estado corrente da configuração, executa o modelo OpenSCAD e prepara a pré-visualização e os ficheiros para exportação. O servidor armazena contas, perfis e configurações e recebe também os pedidos de sugestão.</w:t>
      </w:r>
    </w:p>
    <w:p>
      <w:pPr>
        <w:pStyle w:val="TextoNormal-IPCA"/>
        <w:rPr/>
      </w:pPr>
      <w:r>
        <w:rPr/>
        <w:t>O fornecedor de IA recebe a descrição introduzida, o identificador e o esquema do modelo, os valores correntes e, quando exista, a referência populacional selecionada. Não recebe os ficheiros OpenSCAD, a malha gerada nem o ficheiro final de fabrico. Esta delimitação distingue as decisões locais das armazenadas no servidor e das dependentes de serviços externos, sem expor pormenores internos de integração irrelevantes para o objetivo da investigação.</w:t>
      </w:r>
    </w:p>
    <w:p>
      <w:pPr>
        <w:pStyle w:val="TextoNormal-IPCA"/>
        <w:rPr/>
      </w:pPr>
      <w:r>
        <w:rPr/>
        <w:t>Os estados de espera e de falha foram tratados como parte do percurso. Durante a geração, é apresentado um estado de processamento. Um novo pedido de pré-visualização termina o cálculo anterior, e cada geração ou exportação tem um limite temporal de 120 segundos. Uma falha da IA não impede a configuração manual; uma resposta inválida conserva o último estado válido; uma falha de geração impede a obtenção do ficheiro até existir nova geometria válida. Os ensaios complementares confirmaram a recuperação após uma falha de geração, mas revelaram também controlos incompletos de tipos e de valores fora do intervalo. Estes resultados são discutidos no Capítulo 8 e no Anexo B. Não foram executados ensaios de acessos simultâneos nem de desempenho sob carga.</w:t>
      </w:r>
    </w:p>
    <w:p>
      <w:pPr>
        <w:pStyle w:val="TextoNormal-IPCA"/>
        <w:rPr/>
      </w:pPr>
      <w:r>
        <w:rPr/>
        <w:t xml:space="preserve">A Figura 19 apresenta um precedente de arquitetura de produção personalizada que articula a digitalização, o processamento de dados, a adaptação CAD e o fabrico aditivo numa cadeia integrada de desenvolvimento e produção. No presente projeto, essa continuidade é transferida para uma plataforma </w:t>
      </w:r>
      <w:r>
        <w:rPr>
          <w:i/>
          <w:iCs/>
        </w:rPr>
        <w:t>web</w:t>
      </w:r>
      <w:r>
        <w:rPr/>
        <w:t xml:space="preserve"> e para modelos OpenSCAD executados localmente </w:t>
      </w:r>
      <w:sdt>
        <w:sdtPr>
          <w:tag w:val="MENDELEY_CITATION_v3_eyJjaXRhdGlvbklEIjoiTUVOREVMRVlfQ0lUQVRJT05fNGM3ZGNhOGQtYTk5MC00MjEzLTg2NTItN2U3ZDg1NjI5NTMz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
          <w:id w:val="-643507083"/>
          <w:placeholder>
            <w:docPart w:val="DefaultPlaceholder_-1854013440"/>
          </w:placeholder>
        </w:sdtPr>
        <w:sdtContent>
          <w:r>
            <w:rPr/>
          </w:r>
          <w:r>
            <w:rPr>
              <w:color w:val="000000"/>
            </w:rPr>
            <w:t>(Górski et al., 2022)</w:t>
          </w:r>
        </w:sdtContent>
      </w:sdt>
      <w:r>
        <w:rPr/>
        <w:t>.</w:t>
      </w:r>
    </w:p>
    <w:p>
      <w:pPr>
        <w:pStyle w:val="TextoNormal-IPCA"/>
        <w:keepNext w:val="true"/>
        <w:rPr/>
      </w:pPr>
      <w:r>
        <w:rPr/>
      </w:r>
    </w:p>
    <w:p>
      <w:pPr>
        <w:pStyle w:val="Normal"/>
        <w:keepNext w:val="true"/>
        <w:jc w:val="center"/>
        <w:rPr/>
      </w:pPr>
      <w:r>
        <w:rPr/>
        <w:drawing>
          <wp:inline distT="0" distB="0" distL="0" distR="0">
            <wp:extent cx="5579745" cy="3161665"/>
            <wp:effectExtent l="0" t="0" r="0" b="0"/>
            <wp:docPr id="37"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restaurada 46" descr="Image 15"/>
                    <pic:cNvPicPr>
                      <a:picLocks noChangeAspect="1" noChangeArrowheads="1"/>
                    </pic:cNvPicPr>
                  </pic:nvPicPr>
                  <pic:blipFill>
                    <a:blip r:embed="rId78"/>
                    <a:stretch>
                      <a:fillRect/>
                    </a:stretch>
                  </pic:blipFill>
                  <pic:spPr bwMode="auto">
                    <a:xfrm>
                      <a:off x="0" y="0"/>
                      <a:ext cx="5579745" cy="3161665"/>
                    </a:xfrm>
                    <a:prstGeom prst="rect">
                      <a:avLst/>
                    </a:prstGeom>
                    <a:noFill/>
                  </pic:spPr>
                </pic:pic>
              </a:graphicData>
            </a:graphic>
          </wp:inline>
        </w:drawing>
      </w:r>
    </w:p>
    <w:p>
      <w:pPr>
        <w:pStyle w:val="Caption"/>
        <w:rPr/>
      </w:pPr>
      <w:bookmarkStart w:id="139" w:name="_Toc235562513"/>
      <w:r>
        <w:rPr/>
        <w:t xml:space="preserve">Figura </w:t>
      </w:r>
      <w:r>
        <w:rPr/>
        <w:fldChar w:fldCharType="begin"/>
      </w:r>
      <w:r>
        <w:rPr/>
        <w:instrText xml:space="preserve"> SEQ Figura \* ARABIC </w:instrText>
      </w:r>
      <w:r>
        <w:rPr/>
        <w:fldChar w:fldCharType="separate"/>
      </w:r>
      <w:r>
        <w:rPr/>
        <w:t>19</w:t>
      </w:r>
      <w:r>
        <w:rPr/>
        <w:fldChar w:fldCharType="end"/>
      </w:r>
      <w:r>
        <w:rPr/>
        <w:t xml:space="preserve"> — Fluxo geral de produção personalizada de próteses a partir de digitalização, CAD adaptativo e fabrico aditivo.</w:t>
      </w:r>
      <w:bookmarkEnd w:id="139"/>
    </w:p>
    <w:p>
      <w:pPr>
        <w:pStyle w:val="Nota-IPCA"/>
        <w:rPr>
          <w:lang w:val="en-US"/>
        </w:rPr>
      </w:pPr>
      <w:r>
        <w:rPr>
          <w:lang w:val="en-US"/>
        </w:rPr>
        <w:t xml:space="preserve">Adaptado de </w:t>
      </w:r>
      <w:sdt>
        <w:sdtPr>
          <w:tag w:val="MENDELEY_CITATION_v3_eyJjaXRhdGlvbklEIjoiTUVOREVMRVlfQ0lUQVRJT05fZDE0YjRjNGEtNTJiNi00MjdhLThhMWYtMDlkZTRkMTE0NTk1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
          <w:id w:val="790323470"/>
          <w:placeholder>
            <w:docPart w:val="DefaultPlaceholder_-1854013440"/>
          </w:placeholder>
        </w:sdtPr>
        <w:sdtContent>
          <w:r>
            <w:rPr>
              <w:lang w:val="en-US"/>
            </w:rPr>
          </w:r>
          <w:r>
            <w:rPr>
              <w:rFonts w:cs="Arial"/>
              <w:color w:val="000000"/>
              <w:lang w:val="en-US"/>
            </w:rPr>
            <w:t>(Górski et al., 2022)</w:t>
          </w:r>
        </w:sdtContent>
      </w:sdt>
      <w:r>
        <w:rPr>
          <w:rFonts w:cs="Arial"/>
          <w:color w:val="000000"/>
          <w:lang w:val="en-US"/>
        </w:rPr>
        <w:t xml:space="preserve"> </w:t>
      </w:r>
      <w:r>
        <w:rPr>
          <w:lang w:val="en-US"/>
        </w:rPr>
        <w:t>Automated design and rapid manufacturing of low-cost customized upper limb prostheses. Journal of Physics: Conference Series, 2198, 012040. https://doi.org/10.1088/1742-6596/2198/1/012040 (https://doi.org/10.1088/1742-6596/2198/1/012040) Licença: CC BY 3.0.</w:t>
      </w:r>
    </w:p>
    <w:p>
      <w:pPr>
        <w:pStyle w:val="TextoNormal-IPCA"/>
        <w:rPr>
          <w:lang w:val="en-US"/>
        </w:rPr>
      </w:pPr>
      <w:r>
        <w:rPr>
          <w:lang w:val="en-US"/>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disponibiliza ficheiros estáticos, processa pedidos à interface de programação de aplicações (</w:t>
      </w:r>
      <w:r>
        <w:rPr>
          <w:i/>
          <w:iCs/>
        </w:rPr>
        <w:t>Application Programming Interface</w:t>
      </w:r>
      <w:r>
        <w:rPr/>
        <w:t xml:space="preserve"> — API), autentica utilizadores, aplica permissões e comunica com a camada de persistência. Esta distribuição de responsabilidades evita a dependência de processamento remoto contínuo em todas as operações da interface e impede a exposição direta no cliente de tarefas sensíveis, como a gestão de utilizadores, o controlo de acessos e a comunicação com serviços externos. A arquitetura não se limita, portanto, a uma divisão técnica entre cliente e servidor: contém a complexidade e delimita explicitamente as responsabilidades.</w:t>
      </w:r>
    </w:p>
    <w:p>
      <w:pPr>
        <w:pStyle w:val="TextoNormal-IPCA"/>
        <w:rPr/>
      </w:pPr>
      <w:r>
        <w:rPr/>
        <w:t xml:space="preserve">A camada de persistência assenta numa base de dados </w:t>
      </w:r>
      <w:r>
        <w:rPr>
          <w:i/>
          <w:iCs/>
        </w:rPr>
        <w:t>SQLite</w:t>
      </w:r>
      <w:r>
        <w:rPr/>
        <w:t xml:space="preserve">, que armazena contas de utilizador, configurações guardadas, relações de atribuição técnica e </w:t>
      </w:r>
      <w:r>
        <w:rPr>
          <w:i/>
          <w:iCs/>
        </w:rPr>
        <w:t>tokens</w:t>
      </w:r>
      <w:r>
        <w:rPr/>
        <w:t xml:space="preserve"> de autenticação. A escolha decorre do carácter de protótipo funcional que o sistema assume nesta fase da investigação e privilegia uma arquitetura tecnicamente contida, portátil e de manutenção acessível. As configurações paramétricas são armazenadas como estruturas </w:t>
      </w:r>
      <w:r>
        <w:rPr>
          <w:i/>
          <w:iCs/>
        </w:rPr>
        <w:t>JSON</w:t>
      </w:r>
      <w:r>
        <w:rPr/>
        <w:t xml:space="preserve"> associadas a um modelo e a um utilizador, o que permite preservar diferentes instâncias, recuperá-las posteriormente e compará-las enquanto estados distintos do processo de projeto. A base de dados constitui o repositório administrativo e sustenta a continuidade do processo, a gestão prática de versões e o acompanhamento das variantes produzidas.</w:t>
      </w:r>
    </w:p>
    <w:p>
      <w:pPr>
        <w:pStyle w:val="TextoNormal-IPCA"/>
        <w:rPr/>
      </w:pPr>
      <w:r>
        <w:rPr/>
        <w:t xml:space="preserve">A arquitetura da solução transfere a renderização geométrica do servidor para o navegador, onde o cálculo e a geração da geometria tridimensional decorrem localmente por meio de uma versão do OpenSCAD compilada para </w:t>
      </w:r>
      <w:r>
        <w:rPr>
          <w:i/>
          <w:iCs/>
        </w:rPr>
        <w:t>WebAssembly</w:t>
      </w:r>
      <w:r>
        <w:rPr/>
        <w:t xml:space="preserve">, tecnologia que permite executar código de elevado desempenho em ambiente </w:t>
      </w:r>
      <w:r>
        <w:rPr>
          <w:i/>
          <w:iCs/>
        </w:rPr>
        <w:t>web</w:t>
      </w:r>
      <w:r>
        <w:rPr/>
        <w:t xml:space="preserve">. O processo é executado num </w:t>
      </w:r>
      <w:r>
        <w:rPr>
          <w:i/>
          <w:iCs/>
        </w:rPr>
        <w:t>Web Worker</w:t>
      </w:r>
      <w:r>
        <w:rPr/>
        <w:t>, ou seja, numa tarefa separada da interface principal, para que a geração do modelo não bloqueie a interação do utilizador com a plataforma. Esta opção reduz a carga computacional do servidor e a dependência de um serviço remoto de renderização, além de favorecer uma interação mais imediata durante a edição paramétrica. Mantém-se, contudo, uma fronteira clara: o servidor assegura a autenticação, o armazenamento, a gestão de configurações e a intermediação de chamadas a serviços de inteligência artificial, enquanto o cliente assume a computação geométrica intensiva. A arquitetura é, assim, híbrida: centraliza as funções de controlo e persistência e distribui localmente a geração formal do modelo.</w:t>
      </w:r>
    </w:p>
    <w:p>
      <w:pPr>
        <w:pStyle w:val="TextoNormal-IPCA"/>
        <w:rPr/>
      </w:pPr>
      <w:r>
        <w:rPr/>
        <w:t xml:space="preserve">O controlo de acesso, baseado em autenticação por </w:t>
      </w:r>
      <w:r>
        <w:rPr>
          <w:i/>
          <w:iCs/>
        </w:rPr>
        <w:t>JSON Web Token</w:t>
      </w:r>
      <w:r>
        <w:rPr/>
        <w:t xml:space="preserve"> (JWT), distingue os perfis de administrador, técnico e utilizador. Na presente investigação, estes mecanismos são relevantes como suporte da distribuição de papéis e da conservação das configurações, não como contributo autónomo para a segurança informática. Os ensaios confirmam a autenticação, as permissões e a recuperação de configurações nos casos documentados. A sua pertinência para o projeto consiste em impedir que todas as decisões e operações sejam apresentadas indistintamente a todos os perfis </w:t>
      </w:r>
      <w:sdt>
        <w:sdtPr>
          <w:tag w:val="MENDELEY_CITATION_v3_eyJjaXRhdGlvbklEIjoiTUVOREVMRVlfQ0lUQVRJT05fYzlmOTQ4YjctN2VlNi00OWFjLWI2MzQtZTVkM2RkZmUyYmFm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186050293"/>
          <w:placeholder>
            <w:docPart w:val="DefaultPlaceholder_-1854013440"/>
          </w:placeholder>
        </w:sdtPr>
        <w:sdtContent>
          <w:r>
            <w:rPr/>
          </w:r>
          <w:r>
            <w:rPr>
              <w:color w:val="000000"/>
            </w:rPr>
            <w:t>(Bai et al., 2024; Quintero et al., 2018)</w:t>
          </w:r>
        </w:sdtContent>
      </w:sdt>
      <w:r>
        <w:rPr/>
        <w:t>.</w:t>
      </w:r>
    </w:p>
    <w:p>
      <w:pPr>
        <w:pStyle w:val="Heading2"/>
        <w:numPr>
          <w:ilvl w:val="0"/>
          <w:numId w:val="0"/>
        </w:numPr>
        <w:ind w:hanging="0" w:start="0"/>
        <w:rPr/>
      </w:pPr>
      <w:bookmarkStart w:id="140" w:name="_Toc235564996"/>
      <w:r>
        <w:rPr/>
        <w:t xml:space="preserve">5.3 Integração OpenSCAD via </w:t>
      </w:r>
      <w:r>
        <w:rPr>
          <w:i/>
          <w:iCs/>
        </w:rPr>
        <w:t>WebAssembly</w:t>
      </w:r>
      <w:r>
        <w:rPr/>
        <w:t xml:space="preserve"> (WASM)</w:t>
      </w:r>
      <w:bookmarkEnd w:id="140"/>
    </w:p>
    <w:p>
      <w:pPr>
        <w:pStyle w:val="TextoNormal-IPCA"/>
        <w:keepNext w:val="true"/>
        <w:rPr/>
      </w:pPr>
      <w:r>
        <w:rPr/>
      </w:r>
    </w:p>
    <w:p>
      <w:pPr>
        <w:pStyle w:val="TextoNormal-IPCA"/>
        <w:rPr/>
      </w:pPr>
      <w:r>
        <w:rPr/>
        <w:t xml:space="preserve">A integração do OpenSCAD por meio de </w:t>
      </w:r>
      <w:r>
        <w:rPr>
          <w:i/>
          <w:iCs/>
        </w:rPr>
        <w:t>WebAssembly</w:t>
      </w:r>
      <w:r>
        <w:rPr/>
        <w:t xml:space="preserve"> permite executar localmente, no navegador, um modelo paramétrico baseado em código. A geometria é gerada no próprio ambiente do utilizador, sem depender de um servidor externo que calcule ou devolva o modelo tridimensional sempre que os parâmetros são alterados. O OpenSCAD define a geometria a partir de instruções, parâmetros e relações explícitas, enquanto o </w:t>
      </w:r>
      <w:r>
        <w:rPr>
          <w:i/>
          <w:iCs/>
        </w:rPr>
        <w:t>WebAssembly</w:t>
      </w:r>
      <w:r>
        <w:rPr/>
        <w:t xml:space="preserve"> (WASM) permite executar esse núcleo no ambiente </w:t>
      </w:r>
      <w:r>
        <w:rPr>
          <w:i/>
          <w:iCs/>
        </w:rPr>
        <w:t>web</w:t>
      </w:r>
      <w:r>
        <w:rPr/>
        <w:t>. Nesta investigação, esta articulação preserva a lógica do modelo e disponibili</w:t>
      </w:r>
      <w:r>
        <w:rPr>
          <w:rFonts w:eastAsia="Times New Roman"/>
        </w:rPr>
        <w:t>(Machado et al., 2019; Nilsiam &amp; Pearce, 2017)</w:t>
      </w:r>
      <w:sdt>
        <w:sdtPr>
          <w:tag w:val="MENDELEY_CITATION_v3_eyJjaXRhdGlvbklEIjoiTUVOREVMRVlfQ0lUQVRJT05fY2E4NDc4MDYtMjNjOS00MWY4LWE1ZWItNzBhODczNTNmOTI0IiwicHJvcGVydGllcyI6eyJub3RlSW5kZXgiOjB9LCJpc0VkaXRlZCI6ZmFsc2UsIm1hbnVhbE92ZXJyaWRlIjp7ImlzTWFudWFsbHlPdmVycmlkZGVuIjp0cnVlLCJjaXRlcHJvY1RleHQiOiIoTWFjaGFkbyBldCBhbC4sIDIwMTk7IE5pbHNpYW0gJiMzODsgUGVhcmNlLCAyMDE3KSIsIm1hbnVhbE92ZXJyaWRlVGV4dCI6ImNoYWRvIGV0IGFsLiwgMjAxOTsgTmlsc2lhbSAmIFBlYXJjZSwgMjAxNyk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
          <w:id w:val="-1192307414"/>
          <w:placeholder>
            <w:docPart w:val="DefaultPlaceholder_-1854013440"/>
          </w:placeholder>
        </w:sdtPr>
        <w:sdtContent>
          <w:r>
            <w:rPr>
              <w:rFonts w:eastAsia="Times New Roman"/>
            </w:rPr>
          </w:r>
          <w:r>
            <w:rPr>
              <w:rFonts w:eastAsia="Times New Roman"/>
              <w:color w:val="000000"/>
            </w:rPr>
            <w:t>chado et al., 2019; Nilsiam &amp; Pearce, 2017)</w:t>
          </w:r>
        </w:sdtContent>
      </w:sdt>
      <w:r>
        <w:rPr/>
        <w:t>.</w:t>
      </w:r>
    </w:p>
    <w:p>
      <w:pPr>
        <w:pStyle w:val="TextoNormal-IPCA"/>
        <w:rPr/>
      </w:pPr>
      <w:r>
        <w:rPr/>
        <w:t xml:space="preserve">Em termos operacionais, a integração articula três elementos: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atualizados para um </w:t>
      </w:r>
      <w:r>
        <w:rPr>
          <w:i/>
          <w:iCs/>
        </w:rPr>
        <w:t>Web Worker</w:t>
      </w:r>
      <w:r>
        <w:rPr/>
        <w:t xml:space="preserve">, que os aplica ao modelo em OpenSCAD e gera a geometria tridimensional correspondente. O resultado é devolvido ao visualizador no navegador, permitindo observar os efeitos das alterações sem recorrer a </w:t>
      </w:r>
      <w:r>
        <w:rPr>
          <w:i/>
          <w:iCs/>
        </w:rPr>
        <w:t>software</w:t>
      </w:r>
      <w:r>
        <w:rPr/>
        <w:t xml:space="preserve"> CAD instalado localmente. Este fluxo liga diretamente a edição paramétrica, o cálculo geométrico e a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caixa negra geométrica. A plataforma não substitui o OpenSCAD por uma representação simplificada desligada do código, mas torna o próprio núcleo algorítmico operável em ambiente </w:t>
      </w:r>
      <w:r>
        <w:rPr>
          <w:i/>
          <w:iCs/>
        </w:rPr>
        <w:t>web</w:t>
      </w:r>
      <w:r>
        <w:rPr/>
        <w:t xml:space="preserve">. A integração reduz ainda a distância entre modelação e interação, permitindo que a exploração formal decorra num contexto mais observável e iterativo. O utilizador não necessita de dominar a sintaxe do OpenSCAD para beneficiar da estrutura paramétrica do modelo, embora essa estrutura permaneça a base efetiva da geometria apresentada. A plataforma funciona, neste sentido, como camada intermédia entre a disciplina técnica do código e a experiência configurável descrita na literatura sobre configuradores e sistemas de personalização digital </w:t>
      </w:r>
      <w:sdt>
        <w:sdtPr>
          <w:tag w:val="MENDELEY_CITATION_v3_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450446406"/>
          <w:placeholder>
            <w:docPart w:val="DefaultPlaceholder_-1854013440"/>
          </w:placeholder>
        </w:sdtPr>
        <w:sdtContent>
          <w:r>
            <w:rPr/>
          </w:r>
          <w:r>
            <w:rPr>
              <w:rFonts w:eastAsia="Times New Roman"/>
              <w:color w:val="000000"/>
            </w:rPr>
            <w:t>(Nilsiam &amp; Pearce, 2017; Ozdemir et al., 2022)</w:t>
          </w:r>
        </w:sdtContent>
      </w:sdt>
      <w:r>
        <w:rPr/>
        <w:t>.</w:t>
      </w:r>
    </w:p>
    <w:p>
      <w:pPr>
        <w:pStyle w:val="TextoNormal-IPCA"/>
        <w:rPr/>
      </w:pPr>
      <w:r>
        <w:rPr/>
        <w:t xml:space="preserve">O </w:t>
      </w:r>
      <w:r>
        <w:rPr>
          <w:i/>
          <w:iCs/>
        </w:rPr>
        <w:t>Web Worker</w:t>
      </w:r>
      <w:r>
        <w:rPr/>
        <w:t xml:space="preserve"> separa o cálculo da tarefa principal da interface. Nos casos observados, esta opção manteve os controlos disponíveis durante a geração e permitiu terminar um cálculo anterior quando era iniciada uma nova pré-visualização. Não foram medidos os tempos percebidos nem a estabilidade em diferentes equipamentos. A geração permanece no navegador, enquanto o servidor assegura a autenticação, a persistência e a mediação com serviços externos.</w:t>
      </w:r>
    </w:p>
    <w:p>
      <w:pPr>
        <w:pStyle w:val="TextoNormal-IPCA"/>
        <w:rPr/>
      </w:pPr>
      <w:r>
        <w:rPr/>
        <w:t xml:space="preserve">No contexto da investigação, esta integração aproxima a modelação baseada em código da sua utilização numa plataforma </w:t>
      </w:r>
      <w:r>
        <w:rPr>
          <w:i/>
          <w:iCs/>
        </w:rPr>
        <w:t>web</w:t>
      </w:r>
      <w:r>
        <w:rPr/>
        <w:t xml:space="preserve">. A literatura sobre OpenSCAD sublinha a afinidade desta ferramenta com fluxos consistentes, configuradores digitais e partilha de modelos paramétricos em ambientes abertos, embora frequentemente fora de contextos protésicos e clínicos </w:t>
      </w:r>
      <w:sdt>
        <w:sdtPr>
          <w:tag w:val="MENDELEY_CITATION_v3_eyJjaXRhdGlvbklEIjoiTUVOREVMRVlfQ0lUQVRJT05fZjEwMDA1YzktMTVmMi00MzEyLWE5ZjUtNzJlZTk4N2RkMmRhIiwicHJvcGVydGllcyI6eyJub3RlSW5kZXgiOjB9LCJpc0VkaXRlZCI6ZmFsc2UsIm1hbnVhbE92ZXJyaWRlIjp7ImlzTWFudWFsbHlPdmVycmlkZGVuIjpmYWxzZSwiY2l0ZXByb2NUZXh0IjoiKE1hY2hhZG8gZXQgYWwuLCAyMDE5OyBOaWxzaWFtICYjMzg7IFBlYXJjZSwgMjAxNy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
          <w:id w:val="-1126541772"/>
          <w:placeholder>
            <w:docPart w:val="DefaultPlaceholder_-1854013440"/>
          </w:placeholder>
        </w:sdtPr>
        <w:sdtContent>
          <w:r>
            <w:rPr/>
          </w:r>
          <w:r>
            <w:rPr>
              <w:rFonts w:eastAsia="Times New Roman"/>
              <w:color w:val="000000"/>
            </w:rPr>
            <w:t>(Machado et al., 2019; Nilsiam &amp; Pearce, 2017)</w:t>
          </w:r>
        </w:sdtContent>
      </w:sdt>
      <w:r>
        <w:rPr/>
        <w:t>. No presente projeto, a adoção de WASM reúne, na mesma infraestrutura, a transparência do modelo paramétrico, o acompanhamento das interações e a atualização iterativa da geometria.</w:t>
      </w:r>
    </w:p>
    <w:p>
      <w:pPr>
        <w:pStyle w:val="TextoNormal-IPCA"/>
        <w:rPr/>
      </w:pPr>
      <w:r>
        <w:rPr/>
        <w:t>Esta solução implica um compromisso de projeto. O desempenho depende da complexidade do modelo, dos valores escolhidos e dos recursos do equipamento, o que pode prolongar a espera ou interromper a geração. O valor demonstrado não reside num desempenho superior ao do CAD instalado, mas na possibilidade de relacionar, no mesmo percurso, os parâmetros, a forma visualizada e a exportação a partir de um núcleo geométrico explícito.</w:t>
      </w:r>
    </w:p>
    <w:p>
      <w:pPr>
        <w:pStyle w:val="TextoNormal-IPCA"/>
        <w:rPr/>
      </w:pPr>
      <w:r>
        <w:rPr/>
        <w:t>A Figura 20 documenta a relação entre o código OpenSCAD apresentado na plataforma e a geometria tridimensional gerada a partir da configuração ativa.</w:t>
      </w:r>
    </w:p>
    <w:p>
      <w:pPr>
        <w:pStyle w:val="TextoNormal-IPCA"/>
        <w:keepNext w:val="true"/>
        <w:rPr/>
      </w:pPr>
      <w:r>
        <w:rPr/>
      </w:r>
    </w:p>
    <w:p>
      <w:pPr>
        <w:pStyle w:val="Normal"/>
        <w:keepNext w:val="true"/>
        <w:jc w:val="center"/>
        <w:rPr/>
      </w:pPr>
      <w:r>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38"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restaurada 48"/>
                    <pic:cNvPicPr>
                      <a:picLocks noChangeAspect="1" noChangeArrowheads="1"/>
                    </pic:cNvPicPr>
                  </pic:nvPicPr>
                  <pic:blipFill>
                    <a:blip r:embed="rId79"/>
                    <a:stretch>
                      <a:fillRect/>
                    </a:stretch>
                  </pic:blipFill>
                  <pic:spPr bwMode="auto">
                    <a:xfrm>
                      <a:off x="0" y="0"/>
                      <a:ext cx="5579745" cy="4331970"/>
                    </a:xfrm>
                    <a:prstGeom prst="rect">
                      <a:avLst/>
                    </a:prstGeom>
                    <a:noFill/>
                  </pic:spPr>
                </pic:pic>
              </a:graphicData>
            </a:graphic>
          </wp:anchor>
        </w:drawing>
      </w:r>
    </w:p>
    <w:p>
      <w:pPr>
        <w:pStyle w:val="Caption"/>
        <w:rPr/>
      </w:pPr>
      <w:bookmarkStart w:id="141" w:name="_Toc235562514"/>
      <w:r>
        <w:rPr/>
        <w:t xml:space="preserve">Figura </w:t>
      </w:r>
      <w:r>
        <w:rPr/>
        <w:fldChar w:fldCharType="begin"/>
      </w:r>
      <w:r>
        <w:rPr/>
        <w:instrText xml:space="preserve"> SEQ Figura \* ARABIC </w:instrText>
      </w:r>
      <w:r>
        <w:rPr/>
        <w:fldChar w:fldCharType="separate"/>
      </w:r>
      <w:r>
        <w:rPr/>
        <w:t>20</w:t>
      </w:r>
      <w:r>
        <w:rPr/>
        <w:fldChar w:fldCharType="end"/>
      </w:r>
      <w:r>
        <w:rPr/>
        <w:t xml:space="preserve"> — Visualização do código OpenSCAD e da geometria correspondente na plataforma HandFab.</w:t>
      </w:r>
      <w:bookmarkEnd w:id="141"/>
    </w:p>
    <w:p>
      <w:pPr>
        <w:pStyle w:val="Nota-IPCA"/>
        <w:rPr>
          <w:lang w:val="pt-PT"/>
        </w:rPr>
      </w:pPr>
      <w:r>
        <w:rPr>
          <w:lang w:val="pt-PT"/>
        </w:rPr>
        <w:t>Fonte: produção própria.</w:t>
      </w:r>
    </w:p>
    <w:p>
      <w:pPr>
        <w:pStyle w:val="TextoNormal-IPCA"/>
        <w:rPr/>
      </w:pPr>
      <w:r>
        <w:rPr/>
      </w:r>
    </w:p>
    <w:p>
      <w:pPr>
        <w:pStyle w:val="Heading2"/>
        <w:numPr>
          <w:ilvl w:val="0"/>
          <w:numId w:val="0"/>
        </w:numPr>
        <w:ind w:hanging="0" w:start="0"/>
        <w:rPr/>
      </w:pPr>
      <w:bookmarkStart w:id="142" w:name="_Toc235564997"/>
      <w:r>
        <w:rPr/>
        <w:t>5.4 Estrutura funcional da plataforma</w:t>
      </w:r>
      <w:bookmarkEnd w:id="142"/>
    </w:p>
    <w:p>
      <w:pPr>
        <w:pStyle w:val="TextoNormal-IPCA"/>
        <w:keepNext w:val="true"/>
        <w:rPr/>
      </w:pPr>
      <w:r>
        <w:rPr/>
      </w:r>
    </w:p>
    <w:p>
      <w:pPr>
        <w:pStyle w:val="TextoNormal-IPCA"/>
        <w:rPr/>
      </w:pPr>
      <w:r>
        <w:rPr/>
        <w:t>A estrutura funcional da plataforma compreende módulos interligados que suportam o ciclo de configuração paramétrica: seleção do modelo, introdução e edição de parâmetros, visualização tridimensional, sugestões apoiadas por IA, gestão de configurações e administração multiutilizador. As funções distribuem-se segundo a sequência projetada para o processo, cuja clareza para diferentes perfis não foi avaliada com participantes.</w:t>
      </w:r>
    </w:p>
    <w:p>
      <w:pPr>
        <w:pStyle w:val="TextoNormal-IPCA"/>
        <w:rPr/>
      </w:pPr>
      <w:r>
        <w:rPr/>
        <w:t xml:space="preserve">Em vez de expor o utilizador a um ambiente indiferenciado de opções, a plataforma distribui o trabalho por etapas e componentes com funções distintas. Esta organização é coerente com a literatura sobre configuradores digitais, segundo a qual a eficácia da personalização depende, em grande medida, da clareza com que o sistema delimita o espaço de ação disponível e articula </w:t>
      </w:r>
      <w:r>
        <w:rPr>
          <w:i/>
          <w:iCs/>
        </w:rPr>
        <w:t>o feedback</w:t>
      </w:r>
      <w:r>
        <w:rPr/>
        <w:t xml:space="preserve"> com a decisão </w:t>
      </w:r>
      <w:sdt>
        <w:sdtPr>
          <w:tag w:val="MENDELEY_CITATION_v3_eyJjaXRhdGlvbklEIjoiTUVOREVMRVlfQ0lUQVRJT05fODM3NTljOTAtZGE4ZC00OTI4LWIwNWMtODJhOGQwOTA3ZWEwIiwicHJvcGVydGllcyI6eyJub3RlSW5kZXgiOjB9LCJpc0VkaXRlZCI6ZmFsc2UsIm1hbnVhbE92ZXJyaWRlIjp7ImlzTWFudWFsbHlPdmVycmlkZGVuIjpmYWxzZSwiY2l0ZXByb2NUZXh0IjoiKE96ZGVtaXIgZXQgYWwuLCAyMDIyOyBQZWl4b3RvIGV0IGFsLiwgMjAyNS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
          <w:id w:val="-196540984"/>
          <w:placeholder>
            <w:docPart w:val="DefaultPlaceholder_-1854013440"/>
          </w:placeholder>
        </w:sdtPr>
        <w:sdtContent>
          <w:r>
            <w:rPr/>
          </w:r>
          <w:r>
            <w:rPr>
              <w:color w:val="000000"/>
            </w:rPr>
            <w:t>(Ozdemir et al., 2022; Peixoto et al., 2025)</w:t>
          </w:r>
        </w:sdtContent>
      </w:sdt>
      <w:r>
        <w:rPr/>
        <w:t>.</w:t>
      </w:r>
    </w:p>
    <w:p>
      <w:pPr>
        <w:pStyle w:val="TextoNormal-IPCA"/>
        <w:rPr/>
      </w:pPr>
      <w:r>
        <w:rPr/>
        <w:t>A Figura 21 apresenta um precedente particularmente próximo desta lógica: uma ferramenta paramétrica dirigida a terapeutas ocupacionais, na qual se podem configurar múltiplas variantes de produto através do ajustamento de dimensões, materiais e pesos. A sua pertinência para esta investigação decorre da demonstração de que a parametrização ganha valor quando mediada por uma interface destinada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3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8" descr="Image 18"/>
                    <pic:cNvPicPr>
                      <a:picLocks noChangeAspect="1" noChangeArrowheads="1"/>
                    </pic:cNvPicPr>
                  </pic:nvPicPr>
                  <pic:blipFill>
                    <a:blip r:embed="rId80"/>
                    <a:stretch>
                      <a:fillRect/>
                    </a:stretch>
                  </pic:blipFill>
                  <pic:spPr bwMode="auto">
                    <a:xfrm>
                      <a:off x="0" y="0"/>
                      <a:ext cx="5579745" cy="4547235"/>
                    </a:xfrm>
                    <a:prstGeom prst="rect">
                      <a:avLst/>
                    </a:prstGeom>
                    <a:noFill/>
                  </pic:spPr>
                </pic:pic>
              </a:graphicData>
            </a:graphic>
          </wp:inline>
        </w:drawing>
      </w:r>
    </w:p>
    <w:p>
      <w:pPr>
        <w:pStyle w:val="Caption"/>
        <w:rPr/>
      </w:pPr>
      <w:bookmarkStart w:id="143" w:name="_Toc235562515"/>
      <w:r>
        <w:rPr/>
        <w:t xml:space="preserve">Figura </w:t>
      </w:r>
      <w:r>
        <w:rPr/>
        <w:fldChar w:fldCharType="begin"/>
      </w:r>
      <w:r>
        <w:rPr/>
        <w:instrText xml:space="preserve"> SEQ Figura \* ARABIC </w:instrText>
      </w:r>
      <w:r>
        <w:rPr/>
        <w:fldChar w:fldCharType="separate"/>
      </w:r>
      <w:r>
        <w:rPr/>
        <w:t>21</w:t>
      </w:r>
      <w:r>
        <w:rPr/>
        <w:fldChar w:fldCharType="end"/>
      </w:r>
      <w:r>
        <w:rPr/>
        <w:t xml:space="preserve"> — Ferramenta paramétrica para configuração de ajudas técnicas com variação de dimensões, materiais e peso.</w:t>
      </w:r>
      <w:bookmarkEnd w:id="143"/>
    </w:p>
    <w:p>
      <w:pPr>
        <w:pStyle w:val="Nota-IPCA"/>
        <w:rPr>
          <w:lang w:val="en-US"/>
        </w:rPr>
      </w:pPr>
      <w:r>
        <w:rPr>
          <w:lang w:val="en-US"/>
        </w:rPr>
        <w:t xml:space="preserve">Reproduzido de </w:t>
      </w:r>
      <w:sdt>
        <w:sdtPr>
          <w:tag w:val="MENDELEY_CITATION_v3_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"/>
          <w:id w:val="1904488542"/>
          <w:placeholder>
            <w:docPart w:val="DefaultPlaceholder_-1854013440"/>
          </w:placeholder>
        </w:sdtPr>
        <w:sdtContent>
          <w:r>
            <w:rPr>
              <w:lang w:val="en-US"/>
            </w:rPr>
          </w:r>
          <w:r>
            <w:rPr>
              <w:rFonts w:eastAsia="Times New Roman" w:cs="Arial"/>
              <w:color w:val="000000"/>
              <w:lang w:val="en-US"/>
            </w:rPr>
            <w:t>(M. Li &amp; Aflatoony, 2025)</w:t>
          </w:r>
        </w:sdtContent>
      </w:sdt>
      <w:r>
        <w:rPr>
          <w:lang w:val="en-US"/>
        </w:rPr>
        <w:t>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lang w:val="en-US"/>
        </w:rPr>
      </w:pPr>
      <w:r>
        <w:rPr>
          <w:lang w:val="en-US"/>
        </w:rPr>
      </w:r>
    </w:p>
    <w:p>
      <w:pPr>
        <w:pStyle w:val="TextoNormal-IPCA"/>
        <w:rPr/>
      </w:pPr>
      <w:r>
        <w:rPr/>
        <w:t>As vistas da Figura 22 documentam a seleção do modelo e os diferentes grupos de controlos disponibilizados pela interface de configuração.</w:t>
      </w:r>
    </w:p>
    <w:p>
      <w:pPr>
        <w:pStyle w:val="TextoNormal-IPCA"/>
        <w:keepNext w:val="true"/>
        <w:rPr/>
      </w:pPr>
      <w:r>
        <w:rPr/>
      </w:r>
    </w:p>
    <w:tbl>
      <w:tblPr>
        <w:tblStyle w:val="TabelacomGrelha"/>
        <w:tblW w:w="5000" w:type="pct"/>
        <w:jc w:val="start"/>
        <w:tblInd w:w="0" w:type="dxa"/>
        <w:tblLayout w:type="fixed"/>
        <w:tblCellMar>
          <w:top w:w="0" w:type="dxa"/>
          <w:start w:w="5" w:type="dxa"/>
          <w:bottom w:w="0" w:type="dxa"/>
          <w:end w:w="5" w:type="dxa"/>
        </w:tblCellMar>
        <w:tblLook w:noHBand="0" w:noVBand="1" w:firstColumn="1" w:lastRow="0" w:lastColumn="0" w:firstRow="1" w:val="04a0"/>
      </w:tblPr>
      <w:tblGrid>
        <w:gridCol w:w="4393"/>
        <w:gridCol w:w="4394"/>
      </w:tblGrid>
      <w:tr>
        <w:trPr>
          <w:tblHeader w:val="true"/>
          <w:trHeight w:val="2515" w:hRule="atLeast"/>
        </w:trPr>
        <w:tc>
          <w:tcPr>
            <w:tcW w:w="4393" w:type="dxa"/>
            <w:tcBorders/>
          </w:tcPr>
          <w:p>
            <w:pPr>
              <w:pStyle w:val="TextoNormal-IPCA"/>
              <w:rPr>
                <w:rFonts w:eastAsia="Calibri"/>
              </w:rPr>
            </w:pPr>
            <w:r>
              <w:rPr>
                <w:rFonts w:eastAsia="Calibri"/>
              </w:rPr>
              <w:drawing>
                <wp:anchor distT="0" distB="0" distL="0" distR="0" simplePos="0" relativeHeight="37"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40"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m restaurada 49"/>
                          <pic:cNvPicPr>
                            <a:picLocks noChangeAspect="1" noChangeArrowheads="1"/>
                          </pic:cNvPicPr>
                        </pic:nvPicPr>
                        <pic:blipFill>
                          <a:blip r:embed="rId81"/>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rPr>
                <w:rFonts w:eastAsia="Calibri"/>
              </w:rPr>
            </w:pPr>
            <w:r>
              <w:rPr>
                <w:rFonts w:eastAsia="Calibri"/>
              </w:rPr>
              <w:drawing>
                <wp:anchor distT="0" distB="0" distL="0" distR="0" simplePos="0" relativeHeight="36"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41"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m restaurada 50"/>
                          <pic:cNvPicPr>
                            <a:picLocks noChangeAspect="1" noChangeArrowheads="1"/>
                          </pic:cNvPicPr>
                        </pic:nvPicPr>
                        <pic:blipFill>
                          <a:blip r:embed="rId82"/>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rPr>
                <w:rFonts w:eastAsia="Calibri"/>
              </w:rPr>
            </w:pPr>
            <w:r>
              <w:rPr>
                <w:rFonts w:eastAsia="Calibri"/>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42"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restaurada 51"/>
                          <pic:cNvPicPr>
                            <a:picLocks noChangeAspect="1" noChangeArrowheads="1"/>
                          </pic:cNvPicPr>
                        </pic:nvPicPr>
                        <pic:blipFill>
                          <a:blip r:embed="rId83"/>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keepNext w:val="true"/>
              <w:rPr>
                <w:rFonts w:eastAsia="Calibri"/>
              </w:rPr>
            </w:pPr>
            <w:r>
              <w:rPr>
                <w:rFonts w:eastAsia="Calibri"/>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43"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m restaurada 52"/>
                          <pic:cNvPicPr>
                            <a:picLocks noChangeAspect="1" noChangeArrowheads="1"/>
                          </pic:cNvPicPr>
                        </pic:nvPicPr>
                        <pic:blipFill>
                          <a:blip r:embed="rId84"/>
                          <a:stretch>
                            <a:fillRect/>
                          </a:stretch>
                        </pic:blipFill>
                        <pic:spPr bwMode="auto">
                          <a:xfrm>
                            <a:off x="0" y="0"/>
                            <a:ext cx="2865755" cy="1600835"/>
                          </a:xfrm>
                          <a:prstGeom prst="rect">
                            <a:avLst/>
                          </a:prstGeom>
                          <a:noFill/>
                        </pic:spPr>
                      </pic:pic>
                    </a:graphicData>
                  </a:graphic>
                </wp:anchor>
              </w:drawing>
            </w:r>
          </w:p>
        </w:tc>
      </w:tr>
    </w:tbl>
    <w:p>
      <w:pPr>
        <w:pStyle w:val="Caption"/>
        <w:rPr/>
      </w:pPr>
      <w:bookmarkStart w:id="144" w:name="_Toc235562516"/>
      <w:r>
        <w:rPr/>
        <w:t xml:space="preserve">Figura </w:t>
      </w:r>
      <w:r>
        <w:rPr/>
        <w:fldChar w:fldCharType="begin"/>
      </w:r>
      <w:r>
        <w:rPr/>
        <w:instrText xml:space="preserve"> SEQ Figura \* ARABIC </w:instrText>
      </w:r>
      <w:r>
        <w:rPr/>
        <w:fldChar w:fldCharType="separate"/>
      </w:r>
      <w:r>
        <w:rPr/>
        <w:t>22</w:t>
      </w:r>
      <w:r>
        <w:rPr/>
        <w:fldChar w:fldCharType="end"/>
      </w:r>
      <w:r>
        <w:rPr/>
        <w:t xml:space="preserve"> — Interface de seleção, configuração paramétrica e materiais da plataforma HandFab.</w:t>
      </w:r>
      <w:bookmarkEnd w:id="144"/>
    </w:p>
    <w:p>
      <w:pPr>
        <w:pStyle w:val="Nota-IPCA"/>
        <w:rPr>
          <w:lang w:val="pt-PT"/>
        </w:rPr>
      </w:pPr>
      <w:r>
        <w:rPr>
          <w:lang w:val="pt-PT"/>
        </w:rPr>
        <w:t>Fonte: produção própria.</w:t>
      </w:r>
    </w:p>
    <w:p>
      <w:pPr>
        <w:pStyle w:val="TextoNormal-IPCA"/>
        <w:rPr/>
      </w:pPr>
      <w:r>
        <w:rPr/>
      </w:r>
    </w:p>
    <w:p>
      <w:pPr>
        <w:pStyle w:val="TextoNormal-IPCA"/>
        <w:rPr/>
      </w:pPr>
      <w:r>
        <w:rPr/>
        <w:t>O módulo de seleção de modelos constitui o ponto de entrada do sistema. Cada modelo é descrito por um ficheiro de configuração que inclui o identificador, a descrição, o ficheiro OpenSCAD associado e a lista de parâmetros editáveis. Com base nessa estrutura, a interface gera os controlos correspondentes, como campos numéricos, seletores, caixas de seleção e campos de texto. Esta opção permite acomodar famílias distintas sem exigir o desenho manual de um ecrã exclusivo para cada modelo. Funcionalmente, o módulo converte a biblioteca e os respetivos parâmetros num conjunto visível de decisões de configuração.</w:t>
      </w:r>
    </w:p>
    <w:p>
      <w:pPr>
        <w:pStyle w:val="TextoNormal-IPCA"/>
        <w:rPr/>
      </w:pPr>
      <w:r>
        <w:rPr/>
        <w:t xml:space="preserve">O núcleo operativo da plataforma reside na articulação entre o módulo de edição paramétrica e o módulo de visualização 3D. Quando os parâmetros são alterados, o sistema recompõe o código, aciona a renderização local e apresenta ao utilizador a geometria atualizada. Esta ligação direta entre edição e pré-visualização é funcionalmente decisiva, pois permite observar de imediato as consequências formais da manipulação de variáveis abstratas. As funções de reposição dos valores por defeito, atualização incremental e exportação de ficheiros STL ou 3MF estendem esta utilidade para além da experimentação visual e aproximam a plataforma de um ambiente de prototipagem e preparação para fabrico. A literatura sobre interfaces de configuração em contexto protésico sugere que a legibilidade do processo melhora quando o utilizador consegue relacionar a ação, a consequência geométrica e a possibilidade de validação no mesmo circuito de interação </w:t>
      </w:r>
      <w:sdt>
        <w:sdtPr>
          <w:tag w:val="MENDELEY_CITATION_v3_eyJjaXRhdGlvbklEIjoiTUVOREVMRVlfQ0lUQVRJT05fOGZmODFmNWQtZDM3NS00ZjQyLWIzOWYtZDE1MzMwZTcxMDcxIiwicHJvcGVydGllcyI6eyJub3RlSW5kZXgiOjB9LCJpc0VkaXRlZCI6ZmFsc2UsIm1hbnVhbE92ZXJyaWRlIjp7ImlzTWFudWFsbHlPdmVycmlkZGVuIjpmYWxzZSwiY2l0ZXByb2NUZXh0IjoiKFBlaXhvdG8gZXQgYWwuLCAyMDI1OyBRdWludGVybyBldCBhbC4sIDIwMTgpIiwibWFudWFsT3ZlcnJpZGVUZXh0IjoiIn0sImNpdGF0aW9uSXRlbXMiOlt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348995337"/>
          <w:placeholder>
            <w:docPart w:val="DefaultPlaceholder_-1854013440"/>
          </w:placeholder>
        </w:sdtPr>
        <w:sdtContent>
          <w:r>
            <w:rPr/>
          </w:r>
          <w:r>
            <w:rPr>
              <w:color w:val="000000"/>
            </w:rPr>
            <w:t>(Peixoto et al., 2025; Quintero et al., 2018)</w:t>
          </w:r>
        </w:sdtContent>
      </w:sdt>
      <w:r>
        <w:rPr/>
        <w:t>.</w:t>
      </w:r>
    </w:p>
    <w:p>
      <w:pPr>
        <w:pStyle w:val="TextoNormal-IPCA"/>
        <w:rPr/>
      </w:pPr>
      <w:r>
        <w:rPr/>
        <w:t>Sobre esta base funciona o módulo de apoio por inteligência artificial, que acrescenta uma camada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O pedido é enviado ao servidor através de uma rota autenticada, que serve de intermediário entre a plataforma e o serviço externo de IA. A resposta esperada consiste num objeto JSON simples, composto apenas por pares parâmetro-valor. A aplicação aceita exclusivamente chaves existentes no esquema, descarta parâmetros desconhecidos e aplica os valores resultantes aos controlos antes de acionar uma nova renderização em OpenSCAD/</w:t>
      </w:r>
      <w:r>
        <w:rPr>
          <w:i/>
          <w:iCs/>
        </w:rPr>
        <w:t>WebAssembly</w:t>
      </w:r>
      <w:r>
        <w:rPr/>
        <w:t>.</w:t>
      </w:r>
    </w:p>
    <w:p>
      <w:pPr>
        <w:pStyle w:val="TextoNormal-IPCA"/>
        <w:rPr/>
      </w:pPr>
      <w:r>
        <w:rPr/>
        <w:t>Esta arquitetura corrige uma fragilidade de um estado anterior, no qual o pedido à IA permanecia associado a um modelo já removido e podia devolver nomes de parâmetros inexistentes. Ao condicionar a sugestão ao esquema atual, a IA passa a operar sobre os mesmos campos usados pela interface e pelo modelo OpenSCAD. O módulo propõe apenas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a melhor pontuação segundo o sexo, a idade aproximada e o país, projetando depois as médias desse perfil nos parâmetros disponíveis no modelo ativo. O bloco de referência é anexado ao pedido enviado à IA, orientando a sugestão sem se sobrepor às medições fornecidas pelo utilizador. Esta solução articula três formas de introdução de dados: a seleção manual de um perfil populacional, a importação de perfis antropométricos e a sugestão apoiada por IA.</w:t>
      </w:r>
    </w:p>
    <w:p>
      <w:pPr>
        <w:pStyle w:val="TextoNormal-IPCA"/>
        <w:rPr/>
      </w:pPr>
      <w:r>
        <w:rPr/>
        <w:t>As Figuras 23 e 24 documentam esta componente. A primeira apresenta a lista de perfis antropométricos populacionais e os campos utilizados para os filtrar, importar, editar ou eliminar. A segunda mostra a estrutura destinada à adição ou edição de um perfil, distinguindo a identificação do conjunto de dados, as medidas da mão e as medidas do membro residual. Estas vistas documentam as funções disponíveis no protótipo, mas não demonstram a qualidade nem a representatividade dos dados importados.</w:t>
      </w:r>
    </w:p>
    <w:p>
      <w:pPr>
        <w:pStyle w:val="TextoNormal-IPCA"/>
        <w:rPr/>
      </w:pPr>
      <w:r>
        <w:rPr/>
      </w:r>
    </w:p>
    <w:p>
      <w:pPr>
        <w:pStyle w:val="Normal"/>
        <w:jc w:val="center"/>
        <w:rPr/>
      </w:pPr>
      <w:r>
        <w:rPr/>
        <w:drawing>
          <wp:inline distT="0" distB="0" distL="0" distR="0">
            <wp:extent cx="5394960" cy="4036695"/>
            <wp:effectExtent l="0" t="0" r="0" b="0"/>
            <wp:docPr id="44" name="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erfis-antropometricos-handfab.png"/>
                    <pic:cNvPicPr>
                      <a:picLocks noChangeAspect="1" noChangeArrowheads="1"/>
                    </pic:cNvPicPr>
                  </pic:nvPicPr>
                  <pic:blipFill>
                    <a:blip r:embed="rId85"/>
                    <a:stretch>
                      <a:fillRect/>
                    </a:stretch>
                  </pic:blipFill>
                  <pic:spPr bwMode="auto">
                    <a:xfrm>
                      <a:off x="0" y="0"/>
                      <a:ext cx="5394960" cy="4036695"/>
                    </a:xfrm>
                    <a:prstGeom prst="rect">
                      <a:avLst/>
                    </a:prstGeom>
                    <a:noFill/>
                  </pic:spPr>
                </pic:pic>
              </a:graphicData>
            </a:graphic>
          </wp:inline>
        </w:drawing>
      </w:r>
    </w:p>
    <w:p>
      <w:pPr>
        <w:pStyle w:val="Caption"/>
        <w:rPr/>
      </w:pPr>
      <w:bookmarkStart w:id="145" w:name="_Toc235562517"/>
      <w:r>
        <w:rPr/>
        <w:t xml:space="preserve">Figura </w:t>
      </w:r>
      <w:r>
        <w:rPr/>
        <w:fldChar w:fldCharType="begin"/>
      </w:r>
      <w:r>
        <w:rPr/>
        <w:instrText xml:space="preserve"> SEQ Figura \* ARABIC </w:instrText>
      </w:r>
      <w:r>
        <w:rPr/>
        <w:fldChar w:fldCharType="separate"/>
      </w:r>
      <w:r>
        <w:rPr/>
        <w:t>23</w:t>
      </w:r>
      <w:r>
        <w:rPr/>
        <w:fldChar w:fldCharType="end"/>
      </w:r>
      <w:r>
        <w:rPr/>
        <w:t xml:space="preserve"> — Perfis antropométricos populacionais disponíveis na plataforma HandFab.</w:t>
      </w:r>
      <w:bookmarkEnd w:id="145"/>
    </w:p>
    <w:p>
      <w:pPr>
        <w:pStyle w:val="Nota-IPCA"/>
        <w:rPr/>
      </w:pPr>
      <w:r>
        <w:rPr/>
        <w:t>Fonte: produção própria.</w:t>
      </w:r>
    </w:p>
    <w:p>
      <w:pPr>
        <w:pStyle w:val="TextoNormal-IPCA"/>
        <w:rPr/>
      </w:pPr>
      <w:r>
        <w:rPr/>
      </w:r>
    </w:p>
    <w:p>
      <w:pPr>
        <w:pStyle w:val="Normal"/>
        <w:jc w:val="center"/>
        <w:rPr/>
      </w:pPr>
      <w:r>
        <w:rPr/>
        <w:drawing>
          <wp:inline distT="0" distB="0" distL="0" distR="0">
            <wp:extent cx="5394960" cy="4036695"/>
            <wp:effectExtent l="0" t="0" r="0" b="0"/>
            <wp:docPr id="45" name="editor-adicao-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editor-adicao-perfis-antropometricos-handfab.png"/>
                    <pic:cNvPicPr>
                      <a:picLocks noChangeAspect="1" noChangeArrowheads="1"/>
                    </pic:cNvPicPr>
                  </pic:nvPicPr>
                  <pic:blipFill>
                    <a:blip r:embed="rId86"/>
                    <a:stretch>
                      <a:fillRect/>
                    </a:stretch>
                  </pic:blipFill>
                  <pic:spPr bwMode="auto">
                    <a:xfrm>
                      <a:off x="0" y="0"/>
                      <a:ext cx="5394960" cy="4036695"/>
                    </a:xfrm>
                    <a:prstGeom prst="rect">
                      <a:avLst/>
                    </a:prstGeom>
                    <a:noFill/>
                  </pic:spPr>
                </pic:pic>
              </a:graphicData>
            </a:graphic>
          </wp:inline>
        </w:drawing>
      </w:r>
    </w:p>
    <w:p>
      <w:pPr>
        <w:pStyle w:val="Caption"/>
        <w:rPr/>
      </w:pPr>
      <w:bookmarkStart w:id="146" w:name="_Toc235562518"/>
      <w:r>
        <w:rPr/>
        <w:t xml:space="preserve">Figura </w:t>
      </w:r>
      <w:r>
        <w:rPr/>
        <w:fldChar w:fldCharType="begin"/>
      </w:r>
      <w:r>
        <w:rPr/>
        <w:instrText xml:space="preserve"> SEQ Figura \* ARABIC </w:instrText>
      </w:r>
      <w:r>
        <w:rPr/>
        <w:fldChar w:fldCharType="separate"/>
      </w:r>
      <w:r>
        <w:rPr/>
        <w:t>24</w:t>
      </w:r>
      <w:r>
        <w:rPr/>
        <w:fldChar w:fldCharType="end"/>
      </w:r>
      <w:r>
        <w:rPr/>
        <w:t xml:space="preserve"> — Campos de identificação, contexto e medição para adição ou edição de perfis antropométricos na plataforma HandFab.</w:t>
      </w:r>
      <w:bookmarkEnd w:id="146"/>
    </w:p>
    <w:p>
      <w:pPr>
        <w:pStyle w:val="Nota-IPCA"/>
        <w:rPr>
          <w:lang w:val="pt-PT"/>
        </w:rPr>
      </w:pPr>
      <w:r>
        <w:rPr>
          <w:lang w:val="pt-PT"/>
        </w:rPr>
        <w:t>Fonte: produção própria.</w:t>
      </w:r>
    </w:p>
    <w:p>
      <w:pPr>
        <w:pStyle w:val="TextoNormal-IPCA"/>
        <w:rPr/>
      </w:pPr>
      <w:r>
        <w:rPr/>
      </w:r>
    </w:p>
    <w:p>
      <w:pPr>
        <w:pStyle w:val="TextoNormal-IPCA"/>
        <w:rPr/>
      </w:pPr>
      <w:r>
        <w:rPr/>
        <w:t>O módulo de gestão de configurações permite nomear, guardar, recuperar, atualizar e eliminar instâncias, uma possibilidade particularmente relevante num processo iterativo em que diferentes variantes podem corresponder a hipóteses sucessivas ou a estados finais. A configuração deixa, assim, de constituir um ato momentâneo e passa a integrar uma sequência acumulativa, na qual diferentes estados podem ser recuperados e comparados. Este módulo fornece, portanto, a estrutura funcional necessária para acompanhar o processo ao longo do tempo.</w:t>
      </w:r>
    </w:p>
    <w:p>
      <w:pPr>
        <w:pStyle w:val="TextoNormal-IPCA"/>
        <w:rPr/>
      </w:pPr>
      <w:r>
        <w:rPr/>
        <w:t>O módulo administrativo suporta a criação de contas de utilizador, a diferenciação de permissões e a atribuição de utilizadores a técnicos, permitindo representar diferentes níveis de intervenção no protótipo. Os resultados funcionais disponíveis são discutidos no subcapítulo 8.1 e no Anexo B.</w:t>
      </w:r>
    </w:p>
    <w:p>
      <w:pPr>
        <w:pStyle w:val="TextoNormal-IPCA"/>
        <w:rPr/>
      </w:pPr>
      <w:r>
        <w:rPr/>
        <w:t>A biblioteca reúne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está incluído nas séries comparativas.</w:t>
      </w:r>
    </w:p>
    <w:p>
      <w:pPr>
        <w:pStyle w:val="TextoNormal-IPCA"/>
        <w:keepNext w:val="true"/>
        <w:ind w:hanging="0"/>
        <w:rPr/>
      </w:pPr>
      <w:r>
        <w:rPr/>
      </w:r>
    </w:p>
    <w:p>
      <w:pPr>
        <w:pStyle w:val="Caption"/>
        <w:rPr/>
      </w:pPr>
      <w:bookmarkStart w:id="147" w:name="_Toc235562543"/>
      <w:r>
        <w:rPr/>
        <w:t xml:space="preserve">Tabela </w:t>
      </w:r>
      <w:r>
        <w:rPr/>
        <w:fldChar w:fldCharType="begin"/>
      </w:r>
      <w:r>
        <w:rPr/>
        <w:instrText xml:space="preserve"> SEQ Tabela \* ARABIC </w:instrText>
      </w:r>
      <w:r>
        <w:rPr/>
        <w:fldChar w:fldCharType="separate"/>
      </w:r>
      <w:r>
        <w:rPr/>
        <w:t>20</w:t>
      </w:r>
      <w:r>
        <w:rPr/>
        <w:fldChar w:fldCharType="end"/>
      </w:r>
      <w:r>
        <w:rPr/>
        <w:t xml:space="preserve"> — Modelos integrados na plataforma e respetiva avaliação</w:t>
      </w:r>
      <w:bookmarkEnd w:id="147"/>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1431"/>
        <w:gridCol w:w="1718"/>
        <w:gridCol w:w="1767"/>
        <w:gridCol w:w="1768"/>
        <w:gridCol w:w="2103"/>
      </w:tblGrid>
      <w:tr>
        <w:trPr>
          <w:tblHeader w:val="true"/>
          <w:cantSplit/>
        </w:trPr>
        <w:tc>
          <w:tcPr>
            <w:tcW w:w="1431"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w:t>
            </w:r>
          </w:p>
        </w:tc>
        <w:tc>
          <w:tcPr>
            <w:tcW w:w="171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Mecanismo de escala implementado</w:t>
            </w:r>
          </w:p>
        </w:tc>
        <w:tc>
          <w:tcPr>
            <w:tcW w:w="210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Ensaios e evidência no estudo</w:t>
            </w:r>
          </w:p>
        </w:tc>
      </w:tr>
      <w:tr>
        <w:trPr>
          <w:cantSplit/>
        </w:trPr>
        <w:tc>
          <w:tcPr>
            <w:tcW w:w="143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(largura da palma + 5) / 55; dedos independentes</w:t>
            </w:r>
          </w:p>
        </w:tc>
        <w:tc>
          <w:tcPr>
            <w:tcW w:w="210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Dimensional, IA, exportação, malha, ficheiro de preparação para a Bambu Lab A1, Prusa Mini e série física</w:t>
            </w:r>
          </w:p>
        </w:tc>
      </w:tr>
      <w:tr>
        <w:trPr>
          <w:cantSplit/>
        </w:trPr>
        <w:tc>
          <w:tcPr>
            <w:tcW w:w="143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lang w:val="en-US"/>
              </w:rPr>
            </w:pPr>
            <w:r>
              <w:rPr>
                <w:sz w:val="20"/>
                <w:szCs w:val="20"/>
                <w:lang w:val="en-US"/>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Palma uniforme para preservar furos; dedos independentes</w:t>
            </w:r>
          </w:p>
        </w:tc>
        <w:tc>
          <w:tcPr>
            <w:tcW w:w="210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Dimensional, IA, exportação, malha, ficheiro de preparação para Bambu Lab A1, Prusa MINI e série física</w:t>
            </w:r>
          </w:p>
        </w:tc>
      </w:tr>
      <w:tr>
        <w:trPr>
          <w:cantSplit/>
        </w:trPr>
        <w:tc>
          <w:tcPr>
            <w:tcW w:w="143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lang w:val="en-US"/>
              </w:rPr>
            </w:pPr>
            <w:r>
              <w:rPr>
                <w:sz w:val="20"/>
                <w:szCs w:val="20"/>
                <w:lang w:val="en-US"/>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Referência de 82 mm; escala uniforme limitada a 100%–160%</w:t>
            </w:r>
          </w:p>
        </w:tc>
        <w:tc>
          <w:tcPr>
            <w:tcW w:w="210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Dimensional, IA, exportação, malha e ficheiro de preparação para a Bambu Lab A1</w:t>
            </w:r>
          </w:p>
        </w:tc>
      </w:tr>
      <w:tr>
        <w:trPr>
          <w:cantSplit/>
        </w:trPr>
        <w:tc>
          <w:tcPr>
            <w:tcW w:w="143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lang w:val="en-US"/>
              </w:rPr>
            </w:pPr>
            <w:r>
              <w:rPr>
                <w:sz w:val="20"/>
                <w:szCs w:val="20"/>
                <w:lang w:val="en-US"/>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(largura da palma + 5) / 55; segmentos digitais independentes</w:t>
            </w:r>
          </w:p>
        </w:tc>
        <w:tc>
          <w:tcPr>
            <w:tcW w:w="210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Integração e renderização; excluído da comparação e das séries físicas</w:t>
            </w:r>
          </w:p>
        </w:tc>
      </w:tr>
    </w:tbl>
    <w:p>
      <w:pPr>
        <w:pStyle w:val="TextoNormal-IPCA"/>
        <w:rPr/>
      </w:pPr>
      <w:r>
        <w:rPr/>
      </w:r>
    </w:p>
    <w:p>
      <w:pPr>
        <w:pStyle w:val="TextoNormal-IPCA"/>
        <w:rPr/>
      </w:pPr>
      <w:r>
        <w:rPr/>
        <w:t>Na documentação original, o Flexy Beast é descrito como uma combinação do Parametric Cyborg Beast, de MakerBlock, com o Flexy Hand, de Steve Wood/Gyrobot. Deste último, herda as juntas flexíveis que substituem os parafusos e os elásticos de retorno presentes em modelos anteriores. A fonte recomenda Filaflex ou silicone moldado para essas juntas e prevê almofadas removíveis de silicone nos dedos para aumentar a aderência. A arquitetura material combina, assim, componentes estruturais rígidos com elementos flexíveis funcionalmente diferenciados.</w:t>
      </w:r>
    </w:p>
    <w:p>
      <w:pPr>
        <w:pStyle w:val="TextoNormal-IPCA"/>
        <w:rPr/>
      </w:pPr>
      <w:r>
        <w:rPr/>
        <w:t>As contagens da Tabela 20 correspondem às entradas registadas nos catálogos de modelos da versão da plataforma utilizada nos ensaios principais. O total inclui seletores, opções de visualização e controlos não geométricos; a contagem numérica identifica os campos do tipo number, sem pressupor que todos correspondam a medidas antropométricas.</w:t>
      </w:r>
    </w:p>
    <w:p>
      <w:pPr>
        <w:pStyle w:val="TextoNormal-IPCA"/>
        <w:rPr/>
      </w:pPr>
      <w:r>
        <w:rPr/>
        <w:t>A integração consistiu na tradução de cada modelo para uma interface comum de parâmetros, preservando as restrições mecânicas específicas. A presença de um modelo na plataforma confirma a sua integração técnica.</w:t>
      </w:r>
    </w:p>
    <w:p>
      <w:pPr>
        <w:pStyle w:val="TextoNormal-IPCA"/>
        <w:rPr/>
      </w:pPr>
      <w:r>
        <w:rPr/>
        <w:t>No caso do modelo Paraglider Hand, também conhecido como Flexible Flyer, a integração partiu de uma mão mecânica acionada pelo corpo, derivada da linhagem Phoenix e UnLimbited. O principal desafio consistiu em alinhar a lógica original do modelo com os nomes canónicos usados pelo sistema. A largura metacarpal passou a controlar a palma, enquanto os dedos foram associados a comprimentos digitais independentes, dado que a largura da palma e o comprimento dos dedos não variam necessariamente na mesma proporção. A palma teve, porém, de manter um escalonamento uniforme, uma vez que os furos cilíndricos para pinos metálicos não podem ser deformados em elipses sem comprometer a montagem. Por esse motivo, certas medidas, como o comprimento e a espessura da palma, foram mantidas como informação contextual para a IA e para o perfil antropométrico, mas não foram usadas como transformações geométricas ativas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recorriam a construções sintáticas não suportadas pela versão compilada para navegador, o que impediu a definição de módulos durante a renderização. Foi necessário manter cópias corrigidas dos ficheiros, preservar a origem do modelo e controlar explicitamente as dependências carregadas no sistema virtual de ficheiros do navegador. A compatibilidade </w:t>
      </w:r>
      <w:r>
        <w:rPr>
          <w:i/>
          <w:iCs/>
        </w:rPr>
        <w:t>web</w:t>
      </w:r>
      <w:r>
        <w:rPr/>
        <w:t xml:space="preserve"> depende, portanto, tanto da qualidade geométrica do modelo como da organização das bibliotecas, dos ficheiros importados e das variantes de sintaxe no fluxo digital.</w:t>
      </w:r>
    </w:p>
    <w:p>
      <w:pPr>
        <w:pStyle w:val="TextoNormal-IPCA"/>
        <w:rPr/>
      </w:pPr>
      <w:r>
        <w:rPr/>
        <w:t xml:space="preserve">O trabalho realizado sobre modelos do tipo Cyborg Beast/Flexy Hand teve uma função complementar. Estes modelos serviram de base exploratória ao teste de uma reparametrização mais ampla, na qual a geometria original foi reorganizada em torno de medidas antropométricas da palma, dos dedos, do punho e do membro residual. A versão antropométrica resultante não foi tratada como uma simples escala global: incorporou comprimentos digitais, espessuras estruturais, canais internos, parâmetros de </w:t>
      </w:r>
      <w:r>
        <w:rPr>
          <w:i/>
          <w:iCs/>
        </w:rPr>
        <w:t>hardware</w:t>
      </w:r>
      <w:r>
        <w:rPr/>
        <w:t xml:space="preserve"> e dimensões de encaixe derivadas de medidas do antebraço. Esta experiência clarificou a diferença entre adaptar um modelo existente mediante multiplicadores gerais e reconstruir a sua lógica dimensional em torno de uma estrutura antropométrica coerente. Embora determinados modelos tenham permanecido como material de desenvolvimento e comparação, contribuíram para estabilizar a taxonomia de parâmetros que a plataforma passou a exigir aos modelos ativos.</w:t>
      </w:r>
    </w:p>
    <w:p>
      <w:pPr>
        <w:pStyle w:val="TextoNormal-IPCA"/>
        <w:rPr/>
      </w:pPr>
      <w:r>
        <w:rPr/>
        <w:t>Estes casos mostram que a expansão da plataforma depende menos da quantidade de modelos disponíveis do que da existência de uma gramática comum de integração. A integração de cada nova prótese no sistema exige identificar os parâmetros antropométricos relevantes, determinar quais podem alterar a geometria sem quebrar interfaces mecânicas e declarar essas relações de forma compreensível para a interface, o módulo de visualização tridimensional e a camada de IA. A biblioteca de modelos constitui, assim, um campo de validação técnica da própria arquitetura: a heterogeneidade dos modelos integrados torna mais clara a necessidade de separar dados antropométricos, regras geométricas, restrições de fabrico e sugestões apoiadas.</w:t>
      </w:r>
    </w:p>
    <w:p>
      <w:pPr>
        <w:pStyle w:val="Heading2"/>
        <w:numPr>
          <w:ilvl w:val="0"/>
          <w:numId w:val="0"/>
        </w:numPr>
        <w:ind w:hanging="0" w:start="0"/>
        <w:rPr/>
      </w:pPr>
      <w:bookmarkStart w:id="148" w:name="_Toc235564998"/>
      <w:r>
        <w:rPr/>
        <w:t>5.5 Gestão de parâmetros, versões e expansão</w:t>
      </w:r>
      <w:bookmarkEnd w:id="148"/>
    </w:p>
    <w:p>
      <w:pPr>
        <w:pStyle w:val="TextoNormal-IPCA"/>
        <w:keepNext w:val="true"/>
        <w:rPr/>
      </w:pPr>
      <w:r>
        <w:rPr/>
      </w:r>
    </w:p>
    <w:p>
      <w:pPr>
        <w:pStyle w:val="TextoNormal-IPCA"/>
        <w:rPr/>
      </w:pPr>
      <w:r>
        <w:rPr/>
        <w:t xml:space="preserve">O controlo dos parâmetros é uma condição central para transformar um modelo paramétrico num sistema configurável e persistente. Os ficheiros de configuração descrevem cada parâmetro pelo nome, tipo, valor inicial, limites, incrementos e grupo temático, ligando o código OpenSCAD ao espaço de alteração apresentado na interface. Metodologicamente, esta estrutura aproxima-se da lógica dos configuradores e da personalização em massa, nos quais uma arquitetura de base integra características variáveis e informação sobre o modo como podem ser modificadas </w:t>
      </w:r>
      <w:sdt>
        <w:sdtPr>
          <w:tag w:val="MENDELEY_CITATION_v3_eyJjaXRhdGlvbklEIjoiTUVOREVMRVlfQ0lUQVRJT05fMDFlMzNhODktN2Q2ZC00OTBlLWIyNDktNGQwZmY1NzkzNzY1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1759984727"/>
          <w:placeholder>
            <w:docPart w:val="DefaultPlaceholder_-1854013440"/>
          </w:placeholder>
        </w:sdtPr>
        <w:sdtContent>
          <w:r>
            <w:rPr/>
          </w:r>
          <w:r>
            <w:rPr>
              <w:color w:val="000000"/>
            </w:rPr>
            <w:t>(Ozdemir et al., 2022)</w:t>
          </w:r>
        </w:sdtContent>
      </w:sdt>
      <w:r>
        <w:rPr/>
        <w:t>.</w:t>
      </w:r>
    </w:p>
    <w:p>
      <w:pPr>
        <w:pStyle w:val="TextoNormal-IPCA"/>
        <w:rPr/>
      </w:pPr>
      <w:r>
        <w:rPr/>
        <w:t>A descrição dos parâmetros em estruturas independentes do código geométrico principal permite identificar as variáveis editáveis, os seus intervalos e a sua articulação com a interface. Permite também adaptar os parâmetros à estrutura do sistema, adicionando-os, removendo-os ou ajustando-os sem reescrever toda a lógica de interação. A gestão de parâmetros funciona como uma camada intermédia entre a definição geométrica e a experiência de uso, mantendo o modelo tecnicamente explícito sem exigir contacto direto com a sintaxe interna.</w:t>
      </w:r>
    </w:p>
    <w:p>
      <w:pPr>
        <w:pStyle w:val="TextoNormal-IPCA"/>
        <w:rPr/>
      </w:pPr>
      <w:r>
        <w:rPr/>
        <w:t xml:space="preserve">Neste estágio do projeto, a gestão de versões concretiza-se sobretudo no armazenamento de configurações. A plataforma conserva diferentes conjuntos de parâmetros associados ao mesmo modelo, com identificação, notas descritivas e associação a um utilizador. Embora seja mais simples do que os sistemas completos de gestão de versões usados no desenvolvimento de </w:t>
      </w:r>
      <w:r>
        <w:rPr>
          <w:i/>
          <w:iCs/>
        </w:rPr>
        <w:t>software</w:t>
      </w:r>
      <w:r>
        <w:rPr/>
        <w:t>, esta solução permite acompanhar a configuração ao longo do tempo, preservar variantes e comparar estados sucessivos. Cada configuração registada constitui uma instância documentada do processo, passível de recuperação e comparação, o que se torna relevante quando a configuração resulta de uma sequência de aproximações, testes e correções.</w:t>
      </w:r>
    </w:p>
    <w:p>
      <w:pPr>
        <w:pStyle w:val="TextoNormal-IPCA"/>
        <w:rPr/>
      </w:pPr>
      <w:r>
        <w:rPr/>
        <w:t>A persistência destas configurações em estruturas JSON associadas a modelos e utilizadores assegura a continuidade entre interação, revisão e reutilização. A configuração deixa de estar limitada ao estado temporário da sessão, uma vez que o sistema preserva um registo das configurações realizadas. Torna-se, assim, possível retomar soluções anteriores, documentar alternativas exploradas e preparar comparações futuras entre versões. Coerente com o carácter experimental da plataforma, esta forma prática de gestão de versões ainda não pretende substituir mecanismos mais sofisticados de gestão de revisões, mas fornece uma base suficiente para acompanhar iterativamente o desenvolvimento e analisar de forma reflexiva o processo.</w:t>
      </w:r>
    </w:p>
    <w:p>
      <w:pPr>
        <w:pStyle w:val="TextoNormal-IPCA"/>
        <w:rPr/>
      </w:pPr>
      <w:r>
        <w:rPr/>
        <w:t xml:space="preserve">Quanto à expansão, a separação entre modelos, parâmetros, interface, autenticação e persistência permite acrescentar modelos OpenSCAD sem redesenhar todo o percurso. Nos sistemas de personalização, a arquitetura de base deve identificar as características variáveis e o modo como podem ser modificadas; os parâmetros, as respetivas dependências e os constrangimentos delimitam depois o espaço de soluções válidas </w:t>
      </w:r>
      <w:sdt>
        <w:sdtPr>
          <w:tag w:val="MENDELEY_CITATION_v3_eyJjaXRhdGlvbklEIjoiTUVOREVMRVlfQ0lUQVRJT05fOTVlZGYzYTktYWFhNi00ZTM5LTg4ZGQtYmQ2NDYxMmY2MDc4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729729061"/>
          <w:placeholder>
            <w:docPart w:val="DefaultPlaceholder_-1854013440"/>
          </w:placeholder>
        </w:sdtPr>
        <w:sdtContent>
          <w:r>
            <w:rPr/>
          </w:r>
          <w:r>
            <w:rPr>
              <w:color w:val="000000"/>
            </w:rPr>
            <w:t>(Ozdemir et al., 2022)</w:t>
          </w:r>
        </w:sdtContent>
      </w:sdt>
      <w:r>
        <w:rPr/>
        <w:t xml:space="preserve">. No </w:t>
      </w:r>
      <w:r>
        <w:rPr/>
        <w:t xml:space="preserve">HandFab, a integração do Paraglider, do Phoenix, do Flexy Beast e do Cyborg Beast mostrou que não bastava acrescentar um ficheiro .scad. Foi necessário declarar parâmetros, limites, dependências e modos de visualização e, em alguns casos, corrigir incompatibilidades ou preservar interfaces mecânicas herdadas. A expansão correspondeu a uma adaptação de </w:t>
      </w:r>
      <w:r>
        <w:rPr>
          <w:i/>
          <w:iCs/>
        </w:rPr>
        <w:t>design</w:t>
      </w:r>
      <w:r>
        <w:rPr/>
        <w:t xml:space="preserve"> controlada, na qual a lógica geométrica e mecânica de cada modelo foi traduzida para a arquitetura configurável da plataforma, e não a uma importação automática de geometrias.</w:t>
      </w:r>
    </w:p>
    <w:p>
      <w:pPr>
        <w:pStyle w:val="TextoNormal-IPCA"/>
        <w:rPr/>
      </w:pPr>
      <w:r>
        <w:rPr/>
        <w:t>Esta lógica continua limitada pelas condições do protótipo. A persistência em SQLite não foi ensaiada em condições de utilização intensiva ou de acessos simultâneos, e a geração local depende dos recursos do equipamento e da complexidade geométrica. A integração de novas funções e modelos exige, por isso, uma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bookmarkStart w:id="149" w:name="_Toc235564999"/>
      <w:r>
        <w:rPr/>
        <w:t>Capítulo 6 — Integração da Inteligência Artificial</w:t>
      </w:r>
      <w:bookmarkEnd w:id="149"/>
    </w:p>
    <w:p>
      <w:pPr>
        <w:pStyle w:val="Heading2"/>
        <w:numPr>
          <w:ilvl w:val="0"/>
          <w:numId w:val="0"/>
        </w:numPr>
        <w:ind w:hanging="0" w:start="0"/>
        <w:rPr/>
      </w:pPr>
      <w:bookmarkStart w:id="150" w:name="_Toc235565000"/>
      <w:r>
        <w:rPr/>
        <w:t>6.1 Papel da IA no sistema proposto</w:t>
      </w:r>
      <w:bookmarkEnd w:id="150"/>
    </w:p>
    <w:p>
      <w:pPr>
        <w:pStyle w:val="TextoNormal-IPCA"/>
        <w:keepNext w:val="true"/>
        <w:rPr/>
      </w:pPr>
      <w:r>
        <w:rPr/>
      </w:r>
    </w:p>
    <w:p>
      <w:pPr>
        <w:pStyle w:val="TextoNormal-IPCA"/>
        <w:rPr/>
      </w:pPr>
      <w:r>
        <w:rPr/>
        <w:t xml:space="preserve">No sistema desenvolvido, a IA desempenha uma função distinta da predominante nos estudos sobre próteses de membro superior. Em vez de interpretar biosinais, reconhecer gestos ou controlar o dispositivo, o modelo de linguagem sugere valores iniciais para uma configuração geométrica já formalizada </w:t>
      </w:r>
      <w:sdt>
        <w:sdtPr>
          <w:tag w:val="MENDELEY_CITATION_v3_eyJjaXRhdGlvbklEIjoiTUVOREVMRVlfQ0lUQVRJT05fMmFkYjQxN2MtOWVkNi00MGVhLThkYWEtOTRmZWJiZGE2MjQ5IiwicHJvcGVydGllcyI6eyJub3RlSW5kZXgiOjB9LCJpc0VkaXRlZCI6ZmFsc2UsIm1hbnVhbE92ZXJyaWRlIjp7ImlzTWFudWFsbHlPdmVycmlkZGVuIjpmYWxzZSwiY2l0ZXByb2NUZXh0IjoiKENvcmRlbGxhIGV0IGFsLiwgMjAxNjsgTWFyaW5lbGxpIGV0IGFsLiwgMjAyMzsgUGVlcmRlbWFuIGV0IGFsLiwgMjAxMS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"/>
          <w:id w:val="-1802533533"/>
          <w:placeholder>
            <w:docPart w:val="DefaultPlaceholder_-1854013440"/>
          </w:placeholder>
        </w:sdtPr>
        <w:sdtContent>
          <w:r>
            <w:rPr/>
          </w:r>
          <w:r>
            <w:rPr>
              <w:color w:val="000000"/>
            </w:rPr>
            <w:t>(Cordella et al., 2016; Marinelli et al., 2023; Peerdeman et al., 2011)</w:t>
          </w:r>
        </w:sdtContent>
      </w:sdt>
      <w:r>
        <w:rPr/>
        <w:t>.</w:t>
      </w:r>
    </w:p>
    <w:p>
      <w:pPr>
        <w:pStyle w:val="TextoNormal-IPCA"/>
        <w:rPr/>
      </w:pPr>
      <w:r>
        <w:rPr/>
        <w:t xml:space="preserve">Esta aplicação responde à fragmentação entre referências antropométricas, modelos paramétricos e interfaces de configuração. A plataforma reúne estes componentes, mas não atribui à IA a geração da geometria, a seleção autónoma do dispositivo ou a validação do resultado. Os precedentes de modelação ajustável e os métodos orientados por dados sustentam esta articulação, sem constituírem equivalentes diretos do sistema implementado </w:t>
      </w:r>
      <w:sdt>
        <w:sdtPr>
          <w:tag w:val="MENDELEY_CITATION_v3_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
          <w:id w:val="-2079584040"/>
          <w:placeholder>
            <w:docPart w:val="DefaultPlaceholder_-1854013440"/>
          </w:placeholder>
        </w:sdtPr>
        <w:sdtContent>
          <w:r>
            <w:rPr/>
          </w:r>
          <w:r>
            <w:rPr>
              <w:color w:val="000000"/>
            </w:rPr>
            <w:t>(Gu et al., 2024; R. C. da S. Romero et al., 2025; Saldarriaga et al., 2024)</w:t>
          </w:r>
        </w:sdtContent>
      </w:sdt>
      <w:r>
        <w:rPr/>
        <w:t>.</w:t>
      </w:r>
    </w:p>
    <w:p>
      <w:pPr>
        <w:pStyle w:val="TextoNormal-IPCA"/>
        <w:rPr/>
      </w:pPr>
      <w:r>
        <w:rPr/>
        <w:t>O fluxo compreende três camadas. A camada determinística identifica a idade e o sexo quando explicitamente descritos, procura uma referência populacional disponível, seleciona o esquema do modelo ativo e preserva decisões fixadas na interface, como a lateralidade. Na camada probabilística, o modelo de linguagem recebe a descrição textual e o contexto paramétrico e propõe valores para os campos autorizados. A última camada interpreta o objeto JSON, confronta os campos com o modelo selecionado, apresenta os valores na interface e permite revê-los antes da geração geométrica.</w:t>
      </w:r>
    </w:p>
    <w:p>
      <w:pPr>
        <w:pStyle w:val="TextoNormal-IPCA"/>
        <w:rPr/>
      </w:pPr>
      <w:r>
        <w:rPr/>
        <w:t>A IA não produz a geometria. Após a aceitação ou correção da configuração, o OpenSCAD executa relações geométricas previamente codificadas e gera a forma correspondente. Esta separação permite identificar a origem de cada decisão: os dados e as regras definem o espaço de configuração, a IA propõe um ponto de partida e o designer ou técnico decide se a proposta deve ser mantida, alterada ou rejeitada.</w:t>
      </w:r>
    </w:p>
    <w:p>
      <w:pPr>
        <w:pStyle w:val="TextoNormal-IPCA"/>
        <w:rPr/>
      </w:pPr>
      <w:r>
        <w:rPr/>
        <w:t>Os testes complementares mostraram que a terceira camada ainda não aplica uniformemente todas as restrições. A lateralidade permaneceu protegida, mas foi detetado um valor numérico acima do intervalo sem que se impedisse a sua passagem para o estado interno da aplicação. Neste capítulo, os limites declarados são, por isso, tratados como restrições pretendidas e parcialmente verificadas, não como garantia integral. A discussão ética geral permanece no subcapítulo 2.6; o presente capítulo aborda a concretização desses princípios e os limites observados.</w:t>
      </w:r>
    </w:p>
    <w:p>
      <w:pPr>
        <w:pStyle w:val="Heading2"/>
        <w:numPr>
          <w:ilvl w:val="0"/>
          <w:numId w:val="0"/>
        </w:numPr>
        <w:ind w:hanging="0" w:start="0"/>
        <w:rPr/>
      </w:pPr>
      <w:bookmarkStart w:id="151" w:name="_Toc235565001"/>
      <w:r>
        <w:rPr/>
        <w:t>6.2 IA na parametrização, personalização e apoio à decisão</w:t>
      </w:r>
      <w:bookmarkEnd w:id="151"/>
    </w:p>
    <w:p>
      <w:pPr>
        <w:pStyle w:val="Normal"/>
        <w:rPr/>
      </w:pPr>
      <w:r>
        <w:rPr/>
      </w:r>
    </w:p>
    <w:p>
      <w:pPr>
        <w:pStyle w:val="TextoNormal-IPCA"/>
        <w:rPr/>
      </w:pPr>
      <w:r>
        <w:rPr/>
        <w:t xml:space="preserve">À luz das distinções estabelecidas nos Capítulos 2 e 4, a personalização apoiada por IA não corresponde a uma variação livre da forma. No protótipo, consiste na proposta de valores para parâmetros previamente definidos, com relações geométricas, intervalos e campos protegidos. A independência entre as dimensões dos dedos e a insuficiência do escalonamento uniforme fundamentam o espaço paramétrico; não constituem decisões do modelo de linguagem </w:t>
      </w:r>
      <w:sdt>
        <w:sdtPr>
          <w:tag w:val="MENDELEY_CITATION_v3_eyJjaXRhdGlvbklEIjoiTUVOREVMRVlfQ0lUQVRJT05fMDRjN2U4OTItNDA0NC00NmVlLThjNTItNWViN2Q0NTFlYjNiIiwicHJvcGVydGllcyI6eyJub3RlSW5kZXgiOjB9LCJpc0VkaXRlZCI6ZmFsc2UsIm1hbnVhbE92ZXJyaWRlIjp7ImlzTWFudWFsbHlPdmVycmlkZGVuIjpmYWxzZSwiY2l0ZXByb2NUZXh0IjoiKExpbSBldCBhbC4sIDIwMTg7IFIuIEMuIGRhIFMuIFJvbWVybyBldCBhbC4sIDIwMjU7IFNhbGRhcnJpYWdhIGV0IGFsLiwgMjAyN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"/>
          <w:id w:val="121900281"/>
          <w:placeholder>
            <w:docPart w:val="DefaultPlaceholder_-1854013440"/>
          </w:placeholder>
        </w:sdtPr>
        <w:sdtContent>
          <w:r>
            <w:rPr/>
          </w:r>
          <w:r>
            <w:rPr>
              <w:color w:val="000000"/>
            </w:rPr>
            <w:t>(Lim et al., 2018; R. C. da S. Romero et al., 2025; Saldarriaga et al., 2024)</w:t>
          </w:r>
        </w:sdtContent>
      </w:sdt>
      <w:r>
        <w:rPr/>
        <w:t>.</w:t>
      </w:r>
    </w:p>
    <w:p>
      <w:pPr>
        <w:pStyle w:val="TextoNormal-IPCA"/>
        <w:rPr/>
      </w:pPr>
      <w:r>
        <w:rPr/>
        <w:t>Esta lógica é operacionalizada em dois objetos distintos. O primeiro consiste num vector numérico de parâmetros geométricos, consumido diretamente pela interface e pelos modelos OpenSCAD. O segundo fornece à IA um contexto semântico que descreve a origem das medições, os campos em falta, a incerteza, os valores atípicos, as tolerâncias, os componentes de montagem selecionados e as notas sobre parâmetros derivados. Esta separação evita confundir o cálculo geométrico com o raciocínio apoiado: os parâmetros numéricos alimentam o modelo, enquanto o contexto semântico ajuda a IA a explicar, ponderar ou sugerir ajustes, sem substituir as regras determinísticas que geram a geometria.</w:t>
      </w:r>
    </w:p>
    <w:p>
      <w:pPr>
        <w:pStyle w:val="TextoNormal-IPCA"/>
        <w:rPr/>
      </w:pPr>
      <w:r>
        <w:rPr/>
        <w:t>No protótipo implementado, esta separação concretiza-se na construção dinâmica do pedido enviado ao modelo de linguagem. O pedido inclui a descrição livre do utilizador, o esquema do modelo selecionado, os nomes exatos dos parâmetros, as respetivas legendas, os tipos de dados, os limites declarados e os valores correntes. Quando existe correspondência com um perfil populacional importado, são também incluídas, como referência explícita, as médias desse grupo. Determina-se ainda que a resposta contenha apenas um objeto JSON, sem texto adicional, e excluem-se os campos de lateralidade e cor.</w:t>
      </w:r>
    </w:p>
    <w:p>
      <w:pPr>
        <w:pStyle w:val="TextoNormal-IPCA"/>
        <w:rPr/>
      </w:pPr>
      <w:r>
        <w:rPr/>
        <w:t>As legendas influenciam a sugestão ao explicarem ao modelo de linguagem a função de cada parâmetro. Nos parâmetros antropométricos, identificam a medida e a unidade. Nos componentes mecânicos, como folgas, diâmetros ou elementos de montagem, uma sugestão só tem fundamento determinístico se existir uma regra codificada. Na ausência dessa regra, o valor resulta do intervalo, da legenda, do valor corrente e da inferência do modelo de linguagem, devendo ser entendido como uma proposta inicial sujeita a confirmação técnica, e não como um cálculo de engenharia.</w:t>
      </w:r>
    </w:p>
    <w:p>
      <w:pPr>
        <w:pStyle w:val="TextoNormal-IPCA"/>
        <w:rPr/>
      </w:pPr>
      <w:r>
        <w:rPr/>
        <w:t>A correspondência com os perfis populacionais obedece também a uma regra explícita. O sistema atribui maior peso à coincidência de sexo e grupo etário, considerando ainda a proximidade da idade e, quando existe no texto, a referência ao país. A presença de medidas da mão e de estatísticas centrais constitui um critério secundário. Um perfil só é selecionado quando se atinge a pontuação mínima; caso contrário, o pedido é enviado sem referência populacional e a sugestão é assinalada como não apoiada por essa base. Mesmo quando há correspondência, os dados populacionais são uma aproximação e não substituem medidas individuais.</w:t>
      </w:r>
    </w:p>
    <w:p>
      <w:pPr>
        <w:pStyle w:val="TextoNormal-IPCA"/>
        <w:rPr/>
      </w:pPr>
      <w:r>
        <w:rPr/>
        <w:t>Neste enquadramento, a IA pode interpretar descrições incompletas, propor valores iniciais para campos autorizados e preencher lacunas com o apoio das referências disponíveis. Não pode escolher autonomamente o modelo protésico, definir a lateralidade, ultrapassar deliberadamente os limites do modelo, confirmar a adequação anatómica ou clínica, gerar a forma final, nem aprovar a exportação ou o fabrico. Estas decisões continuam a depender das regras do sistema e da intervenção humana.</w:t>
      </w:r>
    </w:p>
    <w:p>
      <w:pPr>
        <w:pStyle w:val="TextoNormal-IPCA"/>
        <w:rPr/>
      </w:pPr>
      <w:r>
        <w:rPr/>
        <w:t>Nesta investigação, a designação «modelo» tem dois sentidos técnicos distintos: o modelo de linguagem responsável pela sugestão paramétrica e o modelo CAD paramétrico ao qual essa sugestão é aplicada. Para evitar ambiguidade metodológica, a Tabela 21 explicita a configuração de IA efetivamente implementada no protótipo e a sua relação com os modelos paramétricos disponibilizados na plataforma.</w:t>
      </w:r>
    </w:p>
    <w:p>
      <w:pPr>
        <w:pStyle w:val="TextoNormal-IPCA"/>
        <w:keepNext w:val="true"/>
        <w:rPr/>
      </w:pPr>
      <w:r>
        <w:rPr/>
      </w:r>
    </w:p>
    <w:p>
      <w:pPr>
        <w:pStyle w:val="Caption"/>
        <w:rPr/>
      </w:pPr>
      <w:bookmarkStart w:id="152" w:name="_Toc235562544"/>
      <w:r>
        <w:rPr/>
        <w:t xml:space="preserve">Tabela </w:t>
      </w:r>
      <w:r>
        <w:rPr/>
        <w:fldChar w:fldCharType="begin"/>
      </w:r>
      <w:r>
        <w:rPr/>
        <w:instrText xml:space="preserve"> SEQ Tabela \* ARABIC </w:instrText>
      </w:r>
      <w:r>
        <w:rPr/>
        <w:fldChar w:fldCharType="separate"/>
      </w:r>
      <w:r>
        <w:rPr/>
        <w:t>21</w:t>
      </w:r>
      <w:r>
        <w:rPr/>
        <w:fldChar w:fldCharType="end"/>
      </w:r>
      <w:r>
        <w:rPr/>
        <w:t xml:space="preserve"> — Especificação técnica dos modelos de IA e da estrutura da sugestão paramétrica</w:t>
      </w:r>
      <w:bookmarkEnd w:id="152"/>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5670"/>
      </w:tblGrid>
      <w:tr>
        <w:trPr>
          <w:tblHeader w:val="true"/>
          <w:cantSplit/>
        </w:trPr>
        <w:tc>
          <w:tcPr>
            <w:tcW w:w="3117"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Elemento</w:t>
            </w:r>
          </w:p>
        </w:tc>
        <w:tc>
          <w:tcPr>
            <w:tcW w:w="5670"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Especificação no protótipo</w:t>
            </w:r>
          </w:p>
        </w:tc>
      </w:tr>
      <w:tr>
        <w:trPr>
          <w:cantSplit/>
        </w:trPr>
        <w:tc>
          <w:tcPr>
            <w:tcW w:w="3117"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Função da IA</w:t>
            </w:r>
          </w:p>
        </w:tc>
        <w:tc>
          <w:tcPr>
            <w:tcW w:w="5670"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Sugestão inicial de parâmetros antropométricos e geométricos a partir de descrições em linguagem natural; não gera autonomamente a geometria final nem valida clinicamente a prótese.</w:t>
            </w:r>
          </w:p>
        </w:tc>
      </w:tr>
      <w:tr>
        <w:trPr>
          <w:cantSplit/>
        </w:trPr>
        <w:tc>
          <w:tcPr>
            <w:tcW w:w="3117"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Ponto de integração</w:t>
            </w:r>
          </w:p>
        </w:tc>
        <w:tc>
          <w:tcPr>
            <w:tcW w:w="5670"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POST /api/ai/suggest, através de chamada autenticada e limitada por frequência, com as chaves de API mantidas no servidor.</w:t>
            </w:r>
          </w:p>
        </w:tc>
      </w:tr>
      <w:tr>
        <w:trPr>
          <w:cantSplit/>
        </w:trPr>
        <w:tc>
          <w:tcPr>
            <w:tcW w:w="3117"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Fornecedor e modelo usados na avaliação inicial</w:t>
            </w:r>
          </w:p>
        </w:tc>
        <w:tc>
          <w:tcPr>
            <w:tcW w:w="5670"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Anthropic, com o modelo claude-sonnet-4-6, definido como opção predefinida no servidor do protótipo.</w:t>
            </w:r>
          </w:p>
        </w:tc>
      </w:tr>
      <w:tr>
        <w:trPr>
          <w:cantSplit/>
        </w:trPr>
        <w:tc>
          <w:tcPr>
            <w:tcW w:w="3117"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Modelo alternativo disponibilizado</w:t>
            </w:r>
          </w:p>
        </w:tc>
        <w:tc>
          <w:tcPr>
            <w:tcW w:w="5670"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OpenAI, com o modelo gpt-4, acessível através do mesmo percurso de sugestão paramétrica.</w:t>
            </w:r>
          </w:p>
        </w:tc>
      </w:tr>
      <w:tr>
        <w:trPr>
          <w:cantSplit/>
        </w:trPr>
        <w:tc>
          <w:tcPr>
            <w:tcW w:w="3117"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Seleção do fornecedor</w:t>
            </w:r>
          </w:p>
        </w:tc>
        <w:tc>
          <w:tcPr>
            <w:tcW w:w="5670"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A interface permite escolher entre Anthropic (Claude) e OpenAI (GPT-4); o pedido enviado ao servidor identifica o fornecedor.</w:t>
            </w:r>
          </w:p>
        </w:tc>
      </w:tr>
      <w:tr>
        <w:trPr>
          <w:cantSplit/>
        </w:trPr>
        <w:tc>
          <w:tcPr>
            <w:tcW w:w="3117"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Condições da chamada avaliada</w:t>
            </w:r>
          </w:p>
        </w:tc>
        <w:tc>
          <w:tcPr>
            <w:tcW w:w="5670"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sz w:val="20"/>
                <w:szCs w:val="20"/>
              </w:rPr>
              <w:t xml:space="preserve">Resposta limitada a 1024 </w:t>
            </w:r>
            <w:r>
              <w:rPr>
                <w:i/>
                <w:iCs/>
                <w:sz w:val="20"/>
                <w:szCs w:val="20"/>
              </w:rPr>
              <w:t>tokens</w:t>
            </w:r>
            <w:r>
              <w:rPr>
                <w:sz w:val="20"/>
                <w:szCs w:val="20"/>
              </w:rPr>
              <w:t>; o código não fixa a temperatura na chamada ao claude-sonnet-4-6, pelo que fica em vigor a configuração do fornecedor. O percurso OpenAI fixa a temperatura em 0,7, mas não integra a avaliação reportada.</w:t>
            </w:r>
          </w:p>
        </w:tc>
      </w:tr>
      <w:tr>
        <w:trPr>
          <w:cantSplit/>
        </w:trPr>
        <w:tc>
          <w:tcPr>
            <w:tcW w:w="3117"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Estrutura da resposta</w:t>
            </w:r>
          </w:p>
        </w:tc>
        <w:tc>
          <w:tcPr>
            <w:tcW w:w="5670"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sz w:val="20"/>
                <w:szCs w:val="20"/>
              </w:rPr>
              <w:t>Objeto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3117"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Enquadramento dos dados</w:t>
            </w:r>
          </w:p>
        </w:tc>
        <w:tc>
          <w:tcPr>
            <w:tcW w:w="5670"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O pedido inclui o esquema do modelo, limites mínimos e máximos, valores correntes, legendas dos parâmetros e, quando disponível, médias de perfis antropométricos populacionais.</w:t>
            </w:r>
          </w:p>
        </w:tc>
      </w:tr>
      <w:tr>
        <w:trPr>
          <w:cantSplit/>
        </w:trPr>
        <w:tc>
          <w:tcPr>
            <w:tcW w:w="3117"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Estados examinados</w:t>
            </w:r>
          </w:p>
        </w:tc>
        <w:tc>
          <w:tcPr>
            <w:tcW w:w="5670"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sz w:val="20"/>
                <w:szCs w:val="20"/>
              </w:rPr>
              <w:t>A avaliação inicial incidiu sobre o estado usado nos ensaios principais. A série complementar de controlo da interface e dos dados submetidos foi executada num estado posterior.</w:t>
            </w:r>
          </w:p>
        </w:tc>
      </w:tr>
      <w:tr>
        <w:trPr>
          <w:cantSplit/>
        </w:trPr>
        <w:tc>
          <w:tcPr>
            <w:tcW w:w="3117"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Modelos CAD abrangidos</w:t>
            </w:r>
          </w:p>
        </w:tc>
        <w:tc>
          <w:tcPr>
            <w:tcW w:w="5670"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explicitar os dados considerados. Não foi implementada qualquer função objectivo nem uma comparação automática da robustez, do peso, da montagem ou da adequação anatómica. O processo é, por isso, designado como sugestão inicial condicionada, e não como otimização. Os valores são aceites, corrigidos ou rejeitados fora do modelo de linguagem, antes da geração e da exportação da geometria.</w:t>
      </w:r>
    </w:p>
    <w:p>
      <w:pPr>
        <w:pStyle w:val="TextoNormal-IPCA"/>
        <w:rPr/>
      </w:pPr>
      <w:r>
        <w:rPr/>
      </w:r>
    </w:p>
    <w:p>
      <w:pPr>
        <w:pStyle w:val="Heading2"/>
        <w:numPr>
          <w:ilvl w:val="0"/>
          <w:numId w:val="0"/>
        </w:numPr>
        <w:ind w:hanging="0" w:start="0"/>
        <w:rPr/>
      </w:pPr>
      <w:bookmarkStart w:id="153" w:name="_Toc235565002"/>
      <w:r>
        <w:rPr/>
        <w:t>6.3 Avaliação das sugestões paramétricas apoiadas por IA</w:t>
      </w:r>
      <w:bookmarkEnd w:id="153"/>
    </w:p>
    <w:p>
      <w:pPr>
        <w:pStyle w:val="TextoNormal-IPCA"/>
        <w:keepNext w:val="true"/>
        <w:rPr/>
      </w:pPr>
      <w:r>
        <w:rPr/>
      </w:r>
    </w:p>
    <w:p>
      <w:pPr>
        <w:pStyle w:val="TextoNormal-IPCA"/>
        <w:rPr/>
      </w:pPr>
      <w:r>
        <w:rPr/>
        <w:t>A avaliação desta componente verifica a coerência das sugestões perante o esquema e os intervalos de referência adotados. O termo «antropométrica» descreve a origem dos campos e das referências, mas não implica a confirmação anatómica individual. Os resultados são apresentados no Capítulo 8; este subcapítulo permanece dedicado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exatos dos parâmetros, os respetivos tipos, limites e valores correntes, etiquetas explicativas e, quando existia correspondência, uma referência populacional. Exigia ainda um objeto JSON com pares parâmetro–valor. Foram conservados o modelo utilizado, as condições da chamada, as descrições submetidas, as respostas e as decisões de correção relevantes.</w:t>
      </w:r>
    </w:p>
    <w:p>
      <w:pPr>
        <w:pStyle w:val="TextoNormal-IPCA"/>
        <w:rPr/>
      </w:pPr>
      <w:r>
        <w:rPr/>
        <w:t>Foram utilizados cinco perfis baseados em indicadores demográficos e três cenários de ausência unilateral com diferentes níveis de detalhe: medidas completas da mão contralateral, uma medida direta e uma descrição demográfica. Uma bateria complementar reuniu 15 cenários construídos a partir de descrições vagas, comparativas, multilingues ou sem medidas. Para examinar a lateralidade, foram também arquivadas 12 execuções anteriores à correção, correspondentes a pedidos de mão esquerda e direita repetidos quatro vezes. Os cenários representam descrições hipotéticas suscetíveis de serem submetidas ao sistema.</w:t>
      </w:r>
    </w:p>
    <w:p>
      <w:pPr>
        <w:pStyle w:val="TextoNormal-IPCA"/>
        <w:rPr/>
      </w:pPr>
      <w:r>
        <w:rPr/>
        <w:t>Os critérios foram a interpretação do JSON, a pertença das chaves ao esquema, a inclusão dos valores nos intervalos, a preservação das medidas fornecidas, a ordem relativa dos dedos definida no protocolo, a diferenciação da resposta em função da idade e do sexo quando a base continha uma referência compatível e a propagação dos valores para a geometria. Países ausentes da base, como Brasil, Japão e Alemanha, foram usados para testar a resposta a uma cobertura incompleta. Nestes casos, o país não sustenta uma correspondência nacional: o mecanismo seleciona o perfil disponível com a melhor pontuação noutros atributos ou prossegue sem referência quando não é atingida a pontuação mínima.</w:t>
      </w:r>
    </w:p>
    <w:p>
      <w:pPr>
        <w:pStyle w:val="TextoNormal-IPCA"/>
        <w:rPr/>
      </w:pPr>
      <w:r>
        <w:rPr/>
        <w:t>Numa série complementar de ensaios, foram utilizadas respostas de IA simuladas e previamente controladas. Como não contactou um modelo de linguagem, esta série não mede a variação, a consistência entre repetições nem a precisão da IA. Permitiu observar o comportamento da plataforma perante uma resposta válida, JSON inválido, campos de lateralidade, valores fora do intervalo e uma nova tentativa após erro. A lateralidade foi preservada e uma resposta inválida não alterou o último estado válido. Em contrapartida, o ensaio detetou um valor acima do máximo, mas este permaneceu no estado interno; através de um pedido direto, foi também aceite texto num campo definido como numérico. Estes dois casos são registados como fragilidades de controlo, e não como respostas válidas.</w:t>
      </w:r>
    </w:p>
    <w:p>
      <w:pPr>
        <w:pStyle w:val="TextoNormal-IPCA"/>
        <w:rPr/>
      </w:pPr>
      <w:r>
        <w:rPr/>
        <w:t>A cadeia inclui operações determinísticas e uma operação gerada por um modelo de linguagem, conforme sintetizado na Tabela 22.</w:t>
      </w:r>
    </w:p>
    <w:p>
      <w:pPr>
        <w:pStyle w:val="TextoNormal-IPCA"/>
        <w:keepNext w:val="true"/>
        <w:rPr/>
      </w:pPr>
      <w:r>
        <w:rPr/>
      </w:r>
    </w:p>
    <w:p>
      <w:pPr>
        <w:pStyle w:val="Caption"/>
        <w:rPr/>
      </w:pPr>
      <w:bookmarkStart w:id="154" w:name="_Toc235562545"/>
      <w:r>
        <w:rPr/>
        <w:t xml:space="preserve">Tabela </w:t>
      </w:r>
      <w:r>
        <w:rPr/>
        <w:fldChar w:fldCharType="begin"/>
      </w:r>
      <w:r>
        <w:rPr/>
        <w:instrText xml:space="preserve"> SEQ Tabela \* ARABIC </w:instrText>
      </w:r>
      <w:r>
        <w:rPr/>
        <w:fldChar w:fldCharType="separate"/>
      </w:r>
      <w:r>
        <w:rPr/>
        <w:t>22</w:t>
      </w:r>
      <w:r>
        <w:rPr/>
        <w:fldChar w:fldCharType="end"/>
      </w:r>
      <w:r>
        <w:rPr/>
        <w:t xml:space="preserve"> — Distribuição de tarefas entre regras, IA e supervisão humana</w:t>
      </w:r>
      <w:bookmarkEnd w:id="154"/>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Analisador de texto e, quando faltam campos, extração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Interpretação do JSON e confronto com o modelo ativo</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Campos desconhecidos e lateralidade excluídos; controlo de tipos e intervalos ainda incompleto no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 xml:space="preserve">Regras OpenSCAD executadas em </w:t>
            </w:r>
            <w:r>
              <w:rPr>
                <w:rFonts w:eastAsia="Calibri"/>
                <w:i/>
                <w:iCs/>
                <w:sz w:val="20"/>
                <w:szCs w:val="20"/>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sz w:val="20"/>
                <w:szCs w:val="20"/>
              </w:rPr>
              <w:t>Decisão humana antes da exportação e de qualquer utilização posterior</w:t>
            </w:r>
          </w:p>
        </w:tc>
      </w:tr>
    </w:tbl>
    <w:p>
      <w:pPr>
        <w:pStyle w:val="TextoNormal-IPCA"/>
        <w:rPr/>
      </w:pPr>
      <w:r>
        <w:rPr/>
      </w:r>
    </w:p>
    <w:p>
      <w:pPr>
        <w:pStyle w:val="TextoNormal-IPCA"/>
        <w:rPr/>
      </w:pPr>
      <w:r>
        <w:rPr/>
        <w:t>O protocolo não mede a exatidão clínica da IA, pois não existe uma referência individual para cada cenário. Também não compara fornecedores, modelos de linguagem, temperaturas ou estratégias de pedido. Uma vez que utilizou respostas simuladas, a série complementar de ensaios também não permite retirar conclusões sobre a estabilidade do claude-sonnet-4-6. A interpretação restringe-se ao comportamento observado nas execuções iniciais e à resposta da plataforma nos casos de controlo documentados. Os resultados consolidados são apresentados no Capítulo 8, e a matriz integral de casos consta do Anexo B.</w:t>
      </w:r>
    </w:p>
    <w:p>
      <w:pPr>
        <w:pStyle w:val="TextoNormal-IPCA"/>
        <w:rPr/>
      </w:pPr>
      <w:r>
        <w:rPr/>
      </w:r>
    </w:p>
    <w:p>
      <w:pPr>
        <w:pStyle w:val="Heading2"/>
        <w:numPr>
          <w:ilvl w:val="0"/>
          <w:numId w:val="0"/>
        </w:numPr>
        <w:ind w:hanging="0" w:start="0"/>
        <w:rPr/>
      </w:pPr>
      <w:bookmarkStart w:id="155" w:name="_Toc235565003"/>
      <w:r>
        <w:rPr/>
        <w:t>6.4 Ajuste, verificação e limitações éticas e técnicas</w:t>
      </w:r>
      <w:bookmarkEnd w:id="155"/>
    </w:p>
    <w:p>
      <w:pPr>
        <w:pStyle w:val="TextoNormal-IPCA"/>
        <w:keepNext w:val="true"/>
        <w:rPr/>
      </w:pPr>
      <w:r>
        <w:rPr/>
      </w:r>
    </w:p>
    <w:p>
      <w:pPr>
        <w:pStyle w:val="TextoNormal-IPCA"/>
        <w:rPr/>
      </w:pPr>
      <w:r>
        <w:rPr/>
        <w:t>Na interpretação das saídas do sistema, distinguem-se três estados: a sugestão produzida pelo modelo de linguagem, a configuração aceite ou corrigida na interface e o resultado submetido a verificação geométrica e de fabrico. A passagem entre estes estados não demonstra ajuste anatómico, conforto, segurança estrutural ou validade clínica.</w:t>
      </w:r>
    </w:p>
    <w:p>
      <w:pPr>
        <w:pStyle w:val="TextoNormal-IPCA"/>
        <w:rPr/>
      </w:pPr>
      <w:r>
        <w:rPr/>
        <w:t xml:space="preserve">Entre os riscos técnicos relevantes encontram-se respostas plausíveis para perfis pouco representados, campos sem fundamento suficiente e combinações que parecem respeitar parâmetros isolados, mas falham na geometria completa. O estado avaliado reduz parte destes riscos através do esquema ativo, da exclusão de campos desconhecidos, do controlo determinístico da lateralidade e da inspeção posterior da malha. Contudo, os testes demonstraram que não basta declarar um intervalo: a mesma verificação deve atuar antes de o valor entrar no estado da aplicação, ser guardado ou seguir para a geração geométrica. As salvaguardas existentes permitem localizar alguns erros, mas não garantem a adequação do resultado </w:t>
      </w:r>
      <w:sdt>
        <w:sdtPr>
          <w:tag w:val="MENDELEY_CITATION_v3_eyJjaXRhdGlvbklEIjoiTUVOREVMRVlfQ0lUQVRJT05fNWE4OTcwMDItMDZjNy00MDFhLWJkZjctNDU4Yzk4ZmZjMDk3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
          <w:id w:val="-1072973426"/>
          <w:placeholder>
            <w:docPart w:val="DefaultPlaceholder_-1854013440"/>
          </w:placeholder>
        </w:sdtPr>
        <w:sdtContent>
          <w:r>
            <w:rPr/>
          </w:r>
          <w:r>
            <w:rPr>
              <w:color w:val="000000"/>
            </w:rPr>
            <w:t>(Panchal et al., 2019; Yüksel et al., 2023)</w:t>
          </w:r>
        </w:sdtContent>
      </w:sdt>
      <w:r>
        <w:rPr/>
        <w:t>.</w:t>
      </w:r>
    </w:p>
    <w:p>
      <w:pPr>
        <w:pStyle w:val="TextoNormal-IPCA"/>
        <w:rPr/>
      </w:pPr>
      <w:r>
        <w:rPr/>
        <w:t>A Figura 25 sintetiza a tensão entre os desafios de compreensão das decisões e os princípios de IA responsável. No contexto desta investigação, mostra que a responsabilidade depende não só do desempenho preditivo, mas também de condições como a transparência, a possibilidade de examinar as decisões, a privacidade, a justiça e a prestação de contas. Estes princípios sustentam a opção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46"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19" descr="Image 19"/>
                    <pic:cNvPicPr>
                      <a:picLocks noChangeAspect="1" noChangeArrowheads="1"/>
                    </pic:cNvPicPr>
                  </pic:nvPicPr>
                  <pic:blipFill>
                    <a:blip r:embed="rId87"/>
                    <a:stretch>
                      <a:fillRect/>
                    </a:stretch>
                  </pic:blipFill>
                  <pic:spPr bwMode="auto">
                    <a:xfrm>
                      <a:off x="0" y="0"/>
                      <a:ext cx="5579745" cy="1953260"/>
                    </a:xfrm>
                    <a:prstGeom prst="rect">
                      <a:avLst/>
                    </a:prstGeom>
                    <a:noFill/>
                  </pic:spPr>
                </pic:pic>
              </a:graphicData>
            </a:graphic>
          </wp:inline>
        </w:drawing>
      </w:r>
    </w:p>
    <w:p>
      <w:pPr>
        <w:pStyle w:val="Caption"/>
        <w:rPr/>
      </w:pPr>
      <w:bookmarkStart w:id="156" w:name="_Toc235562519"/>
      <w:r>
        <w:rPr/>
        <w:t xml:space="preserve">Figura </w:t>
      </w:r>
      <w:r>
        <w:rPr/>
        <w:fldChar w:fldCharType="begin"/>
      </w:r>
      <w:r>
        <w:rPr/>
        <w:instrText xml:space="preserve"> SEQ Figura \* ARABIC </w:instrText>
      </w:r>
      <w:r>
        <w:rPr/>
        <w:fldChar w:fldCharType="separate"/>
      </w:r>
      <w:r>
        <w:rPr/>
        <w:t>25</w:t>
      </w:r>
      <w:r>
        <w:rPr/>
        <w:fldChar w:fldCharType="end"/>
      </w:r>
      <w:r>
        <w:rPr/>
        <w:t xml:space="preserve"> — Relação entre desafios de compreensão das decisões e princípios de IA responsável.</w:t>
      </w:r>
      <w:bookmarkEnd w:id="156"/>
    </w:p>
    <w:p>
      <w:pPr>
        <w:pStyle w:val="Nota-IPCA"/>
        <w:rPr>
          <w:lang w:val="pt-PT"/>
        </w:rPr>
      </w:pPr>
      <w:r>
        <w:rPr>
          <w:lang w:val="en-US"/>
        </w:rPr>
        <w:t xml:space="preserve">Adaptado de </w:t>
      </w:r>
      <w:sdt>
        <w:sdtPr>
          <w:tag w:val="MENDELEY_CITATION_v3_eyJjaXRhdGlvbklEIjoiTUVOREVMRVlfQ0lUQVRJT05fYTQ3MjE1MzYtMWQ5OC00OWQyLTlmZTAtYWU4N2I0OTgwODQ3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V9XX0="/>
          <w:id w:val="-962263698"/>
          <w:placeholder>
            <w:docPart w:val="DefaultPlaceholder_-1854013440"/>
          </w:placeholder>
        </w:sdtPr>
        <w:sdtContent>
          <w:r>
            <w:rPr>
              <w:lang w:val="en-US"/>
            </w:rPr>
          </w:r>
          <w:r>
            <w:rPr>
              <w:rFonts w:cs="Arial"/>
              <w:color w:val="000000"/>
              <w:lang w:val="en-US"/>
            </w:rPr>
            <w:t>(Arrieta et al., 2019)</w:t>
          </w:r>
        </w:sdtContent>
      </w:sdt>
      <w:r>
        <w:rPr>
          <w:lang w:val="en-US"/>
        </w:rPr>
        <w:t xml:space="preserve">Explainable Artificial Intelligence (XAI): Concepts, taxonomies, opportunities and challenges toward responsible AI. </w:t>
      </w:r>
      <w:r>
        <w:rPr>
          <w:lang w:val="pt-PT"/>
        </w:rPr>
        <w:t>Information Fusion, 58, 82-115. https://doi.org/10.1016/j.inffus.2019.12.012 (https://doi.org/10.1016/j.inffus.2019.12.012)</w:t>
      </w:r>
    </w:p>
    <w:p>
      <w:pPr>
        <w:pStyle w:val="TextoNormal-IPCA"/>
        <w:rPr/>
      </w:pPr>
      <w:r>
        <w:rPr/>
      </w:r>
    </w:p>
    <w:p>
      <w:pPr>
        <w:pStyle w:val="TextoNormal-IPCA"/>
        <w:rPr/>
      </w:pPr>
      <w:r>
        <w:rPr/>
        <w:t xml:space="preserve">No plano ético, a arquitetura examinada recorre a referências antropométricas não clínicas e a cenários simulados, mantém as chaves dos fornecedores no servidor e diferencia os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25 </w:t>
      </w:r>
      <w:sdt>
        <w:sdtPr>
          <w:tag w:val="MENDELEY_CITATION_v3_eyJjaXRhdGlvbklEIjoiTUVOREVMRVlfQ0lUQVRJT05fNzQwM2RiNzgtY2QxMC00OTdiLThiZDUtYTE0ZmFjYjgxMzA2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ZmFsc2UsImF1dGhvci1vbmx5IjpmYWxzZX1dfQ=="/>
          <w:id w:val="1546720395"/>
          <w:placeholder>
            <w:docPart w:val="DefaultPlaceholder_-1854013440"/>
          </w:placeholder>
        </w:sdtPr>
        <w:sdtContent>
          <w:r>
            <w:rPr/>
          </w:r>
          <w:r>
            <w:rPr>
              <w:color w:val="000000"/>
            </w:rPr>
            <w:t>(Arrieta et al., 2019)</w:t>
          </w:r>
        </w:sdtContent>
      </w:sdt>
      <w:r>
        <w:rPr/>
        <w:t>.</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bookmarkStart w:id="157" w:name="_Toc235565004"/>
      <w:r>
        <w:rPr/>
        <w:t>Capítulo 7 — Princípios de Interface e Decisões de Interacção</w:t>
      </w:r>
      <w:bookmarkEnd w:id="157"/>
    </w:p>
    <w:p>
      <w:pPr>
        <w:pStyle w:val="TextoNormal-IPCA"/>
        <w:keepNext w:val="true"/>
        <w:rPr/>
      </w:pPr>
      <w:r>
        <w:rPr/>
      </w:r>
    </w:p>
    <w:p>
      <w:pPr>
        <w:pStyle w:val="Heading2"/>
        <w:numPr>
          <w:ilvl w:val="0"/>
          <w:numId w:val="0"/>
        </w:numPr>
        <w:ind w:hanging="0" w:start="0"/>
        <w:rPr/>
      </w:pPr>
      <w:bookmarkStart w:id="158" w:name="_Toc235565005"/>
      <w:r>
        <w:rPr/>
        <w:t>7.1 Estratégia de interacção e decisões de UI/UX</w:t>
      </w:r>
      <w:bookmarkEnd w:id="158"/>
    </w:p>
    <w:p>
      <w:pPr>
        <w:pStyle w:val="TextoNormal-IPCA"/>
        <w:keepNext w:val="true"/>
        <w:rPr/>
      </w:pPr>
      <w:r>
        <w:rPr/>
      </w:r>
    </w:p>
    <w:p>
      <w:pPr>
        <w:pStyle w:val="TextoNormal-IPCA"/>
        <w:rPr/>
      </w:pPr>
      <w:r>
        <w:rPr/>
        <w:t>A interface estrutura o fluxo implementado em seis operações: selecionar um modelo, introduzir ou obter valores iniciais, ajustar parâmetros, gerar e observar a geometria, guardar a configuração e exportar ficheiros. Esta sequência torna visíveis, sob a forma de tarefas, os elementos da arquitetura técnica; a facilidade da sua utilização não foi avaliada com participantes.</w:t>
      </w:r>
    </w:p>
    <w:p>
      <w:pPr>
        <w:pStyle w:val="TextoNormal-IPCA"/>
        <w:rPr/>
      </w:pPr>
      <w:r>
        <w:rPr/>
        <w:t xml:space="preserve">A composição é modular e orientada por tarefa. A seleção do modelo determina o esquema ativo, enquanto os controlos apresentam os parâmetros editáveis e os respetivos intervalos. A pré-visualização mostra a geometria efetivamente produzida, e as ações de guardar, recuperar e exportar preservam estados distintos. Esta organização procura manter uma relação identificável entre valor, ação e consequência formal </w:t>
      </w:r>
      <w:sdt>
        <w:sdtPr>
          <w:tag w:val="MENDELEY_CITATION_v3_eyJjaXRhdGlvbklEIjoiTUVOREVMRVlfQ0lUQVRJT05fZTg3ZWQzZjMtY2NhYy00MWUwLTg0MTMtYjBmODk4Njk0MDM2IiwicHJvcGVydGllcyI6eyJub3RlSW5kZXgiOjB9LCJpc0VkaXRlZCI6ZmFsc2UsIm1hbnVhbE92ZXJyaWRlIjp7ImlzTWFudWFsbHlPdmVycmlkZGVuIjpmYWxzZSwiY2l0ZXByb2NUZXh0IjoiKENvbG9tYm8gZXQgYWwuLCAyMDE1OyBQZWl4b3RvIGV0IGFsLiwgMjAyNSkiLCJtYW51YWxPdmVycmlkZVRleHQiOiIifSwiY2l0YXRpb25JdGVtcyI6W3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
          <w:id w:val="1407957495"/>
          <w:placeholder>
            <w:docPart w:val="DefaultPlaceholder_-1854013440"/>
          </w:placeholder>
        </w:sdtPr>
        <w:sdtContent>
          <w:r>
            <w:rPr/>
          </w:r>
          <w:r>
            <w:rPr>
              <w:color w:val="000000"/>
            </w:rPr>
            <w:t>(Colombo et al., 2015; Peixoto et al., 2025)</w:t>
          </w:r>
        </w:sdtContent>
      </w:sdt>
      <w:r>
        <w:rPr/>
        <w:t>.</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direto. O controlo visual deve, portanto, ser acompanhado pela verificação do valor antes de este ser aplicado, guardado ou enviado para a geometria.</w:t>
      </w:r>
    </w:p>
    <w:p>
      <w:pPr>
        <w:pStyle w:val="TextoNormal-IPCA"/>
        <w:rPr/>
      </w:pPr>
      <w:r>
        <w:rPr/>
        <w:t xml:space="preserve">A pré-visualização é calculada localmente pelo OpenSCAD em </w:t>
      </w:r>
      <w:r>
        <w:rPr>
          <w:i/>
          <w:iCs/>
        </w:rPr>
        <w:t>WebAssembly</w:t>
      </w:r>
      <w:r>
        <w:rPr/>
        <w:t xml:space="preserve">. O </w:t>
      </w:r>
      <w:r>
        <w:rPr>
          <w:i/>
          <w:iCs/>
        </w:rPr>
        <w:t>Web Worker</w:t>
      </w:r>
      <w:r>
        <w:rPr/>
        <w:t xml:space="preserve"> separa esta execução da tarefa principal da interface, evitando o seu bloqueio direto durante o cálculo. Não foram medidos o tempo percebido, a compreensão dos estados nem a qualidade da interação </w:t>
      </w:r>
      <w:sdt>
        <w:sdtPr>
          <w:tag w:val="MENDELEY_CITATION_v3_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398281503"/>
          <w:placeholder>
            <w:docPart w:val="DefaultPlaceholder_-1854013440"/>
          </w:placeholder>
        </w:sdtPr>
        <w:sdtContent>
          <w:r>
            <w:rPr/>
          </w:r>
          <w:r>
            <w:rPr>
              <w:color w:val="000000"/>
            </w:rPr>
            <w:t>(Alili et al., 2023; Quintero et al., 2018)</w:t>
          </w:r>
        </w:sdtContent>
      </w:sdt>
      <w:r>
        <w:rPr/>
        <w:t>.</w:t>
      </w:r>
    </w:p>
    <w:p>
      <w:pPr>
        <w:pStyle w:val="TextoNormal-IPCA"/>
        <w:rPr/>
      </w:pPr>
      <w:r>
        <w:rPr/>
        <w:t>A avaliação de acessibilidade conjugou uma verificação automática de oito estados do percurso autenticado com uma verificação manual complementar. A análise automática identificou contraste insuficiente, ausência de associação programática entre alguns rótulos e controlos, elementos interativos aninhados e falta de nome acessível num elemento de seleção. Na grelha manual, sete das doze verificações foram classificadas como conformes e cinco como não conformes. O percurso com o Orca revelou limitações na ordem e na descrição dos campos; com ampliação a 400%, a interface permaneceu apenas parcialmente utilizável; e o visualizador tridimensional não apresentou uma alternativa textual reconhecível. A classificação manual do contraste como conforme não elimina as ocorrências detetadas automaticamente. Estes resultados permitem localizar decisões de interface a rever, mas não demonstram a experiência de pessoas com diferentes capacidades nem a conformidade global com as WCAG 2.2.</w:t>
      </w:r>
    </w:p>
    <w:p>
      <w:pPr>
        <w:pStyle w:val="TextoNormal-IPCA"/>
        <w:rPr/>
      </w:pPr>
      <w:r>
        <w:rPr/>
        <w:t>Este subcapítulo descreve a especificação do projeto, as funções disponíveis e os limites já observados. A clareza, a carga cognitiva, a aprendizagem, a acessibilidade percebida e a adequação aos diferentes perfis permanecem por avaliar futuramente com participantes.</w:t>
      </w:r>
    </w:p>
    <w:p>
      <w:pPr>
        <w:pStyle w:val="Heading2"/>
        <w:numPr>
          <w:ilvl w:val="0"/>
          <w:numId w:val="0"/>
        </w:numPr>
        <w:ind w:hanging="0" w:start="0"/>
        <w:rPr/>
      </w:pPr>
      <w:bookmarkStart w:id="159" w:name="_Toc235565006"/>
      <w:r>
        <w:rPr/>
        <w:t>7.2 Papéis previstos e distribuição de decisões</w:t>
      </w:r>
      <w:bookmarkEnd w:id="159"/>
    </w:p>
    <w:p>
      <w:pPr>
        <w:pStyle w:val="TextoNormal-IPCA"/>
        <w:keepNext w:val="true"/>
        <w:rPr/>
      </w:pPr>
      <w:r>
        <w:rPr/>
      </w:r>
    </w:p>
    <w:p>
      <w:pPr>
        <w:pStyle w:val="TextoNormal-IPCA"/>
        <w:rPr/>
      </w:pPr>
      <w:r>
        <w:rPr/>
        <w:t>Os fundamentos da participação e da distribuição de autoridade foram discutidos no subcapítulo 2.7. Na implementação, correspondem a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as configurações sob a sua responsabilidade. Ao utilizador cabem a consulta, a visualização e o acompanhamento das configurações que lhe estão associadas. Esta distribuição descreve as permissões do protótipo, não competências clínicas verificadas.</w:t>
      </w:r>
    </w:p>
    <w:p>
      <w:pPr>
        <w:pStyle w:val="TextoNormal-IPCA"/>
        <w:rPr/>
      </w:pPr>
      <w:r>
        <w:rPr/>
        <w:t>Os parâmetros apresentados dependem do modelo ativo e do perfil de acesso. O esquema limita os valores geométricos editáveis, a interface controla a lateralidade e a aceitação de sugestões permanece uma ação distinta da sua geração. A plataforma não implementa decisões clínicas sobre encaixe, tolerância dos tecidos ou adequação funcional.</w:t>
      </w:r>
    </w:p>
    <w:p>
      <w:pPr>
        <w:pStyle w:val="TextoNormal-IPCA"/>
        <w:rPr/>
      </w:pPr>
      <w:r>
        <w:rPr/>
        <w:t xml:space="preserve">Esta separação materializa uma colaboração assimétrica, na qual o perfil técnico dispõe de maior capacidade de intervenção e o utilizador final acompanha o processo. Não foram medidos os efeitos desta distribuição na compreensão, na confiança, na rapidez ou na qualidade da decisão </w:t>
      </w:r>
      <w:sdt>
        <w:sdtPr>
          <w:tag w:val="MENDELEY_CITATION_v3_eyJjaXRhdGlvbklEIjoiTUVOREVMRVlfQ0lUQVRJT05fMjkyMzgyOTktMDM5ZS00MzExLWFmZGItN2JmMDM3MGU5YjhlIiwicHJvcGVydGllcyI6eyJub3RlSW5kZXgiOjB9LCJpc0VkaXRlZCI6ZmFsc2UsIm1hbnVhbE92ZXJyaWRlIjp7ImlzTWFudWFsbHlPdmVycmlkZGVuIjpmYWxzZSwiY2l0ZXByb2NUZXh0IjoiKEJhaSBldCBhbC4sIDIwMjQ7IENvbG9tYm8gZXQgYWwuLCAyMDE1OyBRdWludGVybyBldCBhbC4sIDIwMTgpIiwibWFudWFsT3ZlcnJpZGVUZXh0IjoiIn0sImNpdGF0aW9uSXRlbXMiOlt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LH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V19"/>
          <w:id w:val="2051642406"/>
          <w:placeholder>
            <w:docPart w:val="DefaultPlaceholder_-1854013440"/>
          </w:placeholder>
        </w:sdtPr>
        <w:sdtContent>
          <w:r>
            <w:rPr/>
          </w:r>
          <w:r>
            <w:rPr>
              <w:color w:val="000000"/>
            </w:rPr>
            <w:t>(Bai et al., 2024; Colombo et al., 2015; Quintero et al., 2018)</w:t>
          </w:r>
        </w:sdtContent>
      </w:sdt>
      <w:r>
        <w:rPr/>
        <w:t>.</w:t>
      </w:r>
    </w:p>
    <w:p>
      <w:pPr>
        <w:pStyle w:val="TextoNormal-IPCA"/>
        <w:rPr/>
      </w:pPr>
      <w:r>
        <w:rPr/>
        <w:t xml:space="preserve">A Figura 26 evidencia a importância de analisar a utilização concreta do dispositivo, para além da sua configuração digital. A avaliação com utilizadores permite identificar problemas de ajuste ao corpo, modo de ativação, conforto e adequação funcional, aspetos dificilmente avaliáveis apenas através do modelo digital. Nesta investigação, a imagem constitui uma referência metodológica: embora a plataforma possa tornar o processo mais claro e configurável, a validação futura continua a depender da observação do uso em contexto real </w:t>
      </w:r>
      <w:sdt>
        <w:sdtPr>
          <w:tag w:val="MENDELEY_CITATION_v3_eyJjaXRhdGlvbklEIjoiTUVOREVMRVlfQ0lUQVRJT05fZGRmYmNiZjgtODRkMy00ZjIyLWEwMTctMDQ1MDBmMTdhOWM5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443307142"/>
          <w:placeholder>
            <w:docPart w:val="DefaultPlaceholder_-1854013440"/>
          </w:placeholder>
        </w:sdtPr>
        <w:sdtContent>
          <w:r>
            <w:rPr/>
          </w:r>
          <w:r>
            <w:rPr>
              <w:color w:val="000000"/>
            </w:rPr>
            <w:t>(L. A. da Silva et al., 2018)</w:t>
          </w:r>
        </w:sdtContent>
      </w:sdt>
      <w:r>
        <w:rPr/>
        <w:t>.</w:t>
      </w:r>
    </w:p>
    <w:p>
      <w:pPr>
        <w:pStyle w:val="TextoNormal-IPCA"/>
        <w:keepNext w:val="true"/>
        <w:rPr/>
      </w:pPr>
      <w:r>
        <w:rPr/>
      </w:r>
    </w:p>
    <w:p>
      <w:pPr>
        <w:pStyle w:val="Normal"/>
        <w:keepNext w:val="true"/>
        <w:jc w:val="center"/>
        <w:rPr/>
      </w:pPr>
      <w:r>
        <w:rPr/>
        <w:drawing>
          <wp:inline distT="0" distB="0" distL="0" distR="0">
            <wp:extent cx="5038725" cy="4724400"/>
            <wp:effectExtent l="0" t="0" r="0" b="0"/>
            <wp:docPr id="47"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20" descr="Image 20"/>
                    <pic:cNvPicPr>
                      <a:picLocks noChangeAspect="1" noChangeArrowheads="1"/>
                    </pic:cNvPicPr>
                  </pic:nvPicPr>
                  <pic:blipFill>
                    <a:blip r:embed="rId88"/>
                    <a:stretch>
                      <a:fillRect/>
                    </a:stretch>
                  </pic:blipFill>
                  <pic:spPr bwMode="auto">
                    <a:xfrm>
                      <a:off x="0" y="0"/>
                      <a:ext cx="5038725" cy="4724400"/>
                    </a:xfrm>
                    <a:prstGeom prst="rect">
                      <a:avLst/>
                    </a:prstGeom>
                    <a:noFill/>
                  </pic:spPr>
                </pic:pic>
              </a:graphicData>
            </a:graphic>
          </wp:inline>
        </w:drawing>
      </w:r>
    </w:p>
    <w:p>
      <w:pPr>
        <w:pStyle w:val="Caption"/>
        <w:rPr/>
      </w:pPr>
      <w:bookmarkStart w:id="160" w:name="_Toc235562520"/>
      <w:r>
        <w:rPr/>
        <w:t xml:space="preserve">Figura </w:t>
      </w:r>
      <w:r>
        <w:rPr/>
        <w:fldChar w:fldCharType="begin"/>
      </w:r>
      <w:r>
        <w:rPr/>
        <w:instrText xml:space="preserve"> SEQ Figura \* ARABIC </w:instrText>
      </w:r>
      <w:r>
        <w:rPr/>
        <w:fldChar w:fldCharType="separate"/>
      </w:r>
      <w:r>
        <w:rPr/>
        <w:t>26</w:t>
      </w:r>
      <w:r>
        <w:rPr/>
        <w:fldChar w:fldCharType="end"/>
      </w:r>
      <w:r>
        <w:rPr/>
        <w:t xml:space="preserve"> — Exemplo publicado de teste de uma prótese impressa em 3D com um utilizador.</w:t>
      </w:r>
      <w:bookmarkEnd w:id="160"/>
    </w:p>
    <w:p>
      <w:pPr>
        <w:pStyle w:val="Nota-IPCA"/>
        <w:rPr>
          <w:lang w:val="pt-PT"/>
        </w:rPr>
      </w:pPr>
      <w:r>
        <w:rPr>
          <w:lang w:val="pt-PT"/>
        </w:rPr>
        <w:t xml:space="preserve">Reproduzido de </w:t>
      </w:r>
      <w:sdt>
        <w:sdtPr>
          <w:tag w:val="MENDELEY_CITATION_v3_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LCJzdXBwcmVzcy1hdXRob3IiOmZhbHNlLCJjb21wb3NpdGUiOmZhbHNlLCJhdXRob3Itb25seSI6ZmFsc2V9XX0="/>
          <w:id w:val="959302127"/>
          <w:placeholder>
            <w:docPart w:val="DefaultPlaceholder_-1854013440"/>
          </w:placeholder>
        </w:sdtPr>
        <w:sdtContent>
          <w:r>
            <w:rPr>
              <w:lang w:val="pt-PT"/>
            </w:rPr>
          </w:r>
          <w:r>
            <w:rPr>
              <w:rFonts w:cs="Arial"/>
              <w:color w:val="000000"/>
              <w:lang w:val="pt-PT"/>
            </w:rPr>
            <w:t>(Alcará da Silva et al., sem data)</w:t>
          </w:r>
        </w:sdtContent>
      </w:sdt>
      <w:r>
        <w:rPr>
          <w:rFonts w:cs="Arial"/>
          <w:color w:val="000000"/>
          <w:lang w:val="pt-PT"/>
        </w:rPr>
        <w:t xml:space="preserve"> </w:t>
      </w:r>
      <w:r>
        <w:rPr>
          <w:lang w:val="pt-PT"/>
        </w:rPr>
        <w:t>Interdisciplinary-based development of user-friendly customized 3D printed upper limb prosthesis. Comunicação em conferência.</w:t>
      </w:r>
    </w:p>
    <w:p>
      <w:pPr>
        <w:pStyle w:val="TextoNormal-IPCA"/>
        <w:rPr/>
      </w:pPr>
      <w:r>
        <w:rPr/>
      </w:r>
    </w:p>
    <w:p>
      <w:pPr>
        <w:pStyle w:val="Heading2"/>
        <w:numPr>
          <w:ilvl w:val="0"/>
          <w:numId w:val="0"/>
        </w:numPr>
        <w:ind w:hanging="0" w:start="0"/>
        <w:rPr/>
      </w:pPr>
      <w:bookmarkStart w:id="161" w:name="_Toc235565007"/>
      <w:r>
        <w:rPr/>
        <w:t xml:space="preserve">7.3 Mediação do processo de </w:t>
      </w:r>
      <w:r>
        <w:rPr>
          <w:i/>
          <w:iCs/>
        </w:rPr>
        <w:t>design</w:t>
      </w:r>
      <w:r>
        <w:rPr/>
        <w:t xml:space="preserve"> e reflexão crítica</w:t>
      </w:r>
      <w:bookmarkEnd w:id="161"/>
    </w:p>
    <w:p>
      <w:pPr>
        <w:pStyle w:val="TextoNormal-IPCA"/>
        <w:keepNext w:val="true"/>
        <w:rPr/>
      </w:pPr>
      <w:r>
        <w:rPr/>
      </w:r>
    </w:p>
    <w:p>
      <w:pPr>
        <w:pStyle w:val="TextoNormal-IPCA"/>
        <w:rPr/>
      </w:pPr>
      <w:r>
        <w:rPr/>
        <w:t>No protótipo, a mediação fundamentada no Capítulo 2 torna-se observável na sequência entre a leitura dos dados, a proposta de valores, a geração da geometria, a revisão e a exportação. A interface não acrescenta uma nova teoria da personalização, mas materializa decisões sobre o que é apresentado, alterado, guardado ou reservado.</w:t>
      </w:r>
    </w:p>
    <w:p>
      <w:pPr>
        <w:pStyle w:val="TextoNormal-IPCA"/>
        <w:rPr/>
      </w:pPr>
      <w:r>
        <w:rPr/>
        <w:t xml:space="preserve">Esta função concretiza-se através de quatro mecanismos: a exposição seletiva dos parâmetros, a apresentação dos respetivos limites, a diferenciação de permissões e a separação visual entre sugestão, configuração e geometria gerada. Em conjunto, permitem examinar parte da relação entre valor, controlo e resultado, mas também condicionam o conjunto de alternativas que pode ser explorado </w:t>
      </w:r>
      <w:sdt>
        <w:sdtPr>
          <w:tag w:val="MENDELEY_CITATION_v3_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1dfQ=="/>
          <w:id w:val="-1515056610"/>
          <w:placeholder>
            <w:docPart w:val="DefaultPlaceholder_-1854013440"/>
          </w:placeholder>
        </w:sdtPr>
        <w:sdtContent>
          <w:r>
            <w:rPr/>
          </w:r>
          <w:r>
            <w:rPr>
              <w:color w:val="000000"/>
            </w:rPr>
            <w:t>(Bai et al., 2024; Peixoto et al., 2025)</w:t>
          </w:r>
        </w:sdtContent>
      </w:sdt>
      <w:r>
        <w:rPr/>
        <w:t>.</w:t>
      </w:r>
    </w:p>
    <w:p>
      <w:pPr>
        <w:pStyle w:val="TextoNormal-IPCA"/>
        <w:rPr/>
      </w:pPr>
      <w:r>
        <w:rPr/>
        <w:t>Esta condição impede que a interface seja considerada neutra. Um valor apresentado como sugestão pode adquirir aparência de validade, mesmo quando resulta de uma referência populacional incompleta ou de uma saída probabilística. A origem, a incerteza e o estatuto de cada valor devem, por isso, permanecer visíveis; o estado avaliado implementa apenas parte dessa comunicação.</w:t>
      </w:r>
    </w:p>
    <w:p>
      <w:pPr>
        <w:pStyle w:val="TextoNormal-IPCA"/>
        <w:rPr/>
      </w:pPr>
      <w:r>
        <w:rPr/>
        <w:t>A separação entre sugestão, configuração e geometria é uma decisão de projeto observável. Perante uma resposta de IA inválida, o sistema preservou o último estado válido e permitiu uma nova tentativa, demonstrando capacidade de recuperação nesse percurso. Contudo, a aplicação de um valor acima do intervalo revelou que a reversibilidade e a limitação do espaço paramétrico ainda não estão asseguradas em todos os percursos de submissão. Deste resultado decorre a necessidade de manter a coerência das mensagens, dos limites e das regras para além dos controlos visíveis da interface.</w:t>
      </w:r>
    </w:p>
    <w:p>
      <w:pPr>
        <w:pStyle w:val="TextoNormal-IPCA"/>
        <w:rPr/>
      </w:pPr>
      <w:r>
        <w:rPr/>
        <w:t>A evidência disponível permite descrever a organização das decisões, identificar as salvaguardas incorporadas e localizar barreiras técnicas de acessibilidade. Não permite concluir que os diferentes perfis compreendem os limites, tomam melhores decisões ou utilizam a plataforma com menor esforço. Estas questões exigem a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bookmarkStart w:id="162" w:name="_Toc235565008"/>
      <w:r>
        <w:rPr/>
        <w:t>Capítulo 8 — Avaliação e Discussão</w:t>
      </w:r>
      <w:bookmarkEnd w:id="162"/>
    </w:p>
    <w:p>
      <w:pPr>
        <w:pStyle w:val="TextoNormal-IPCA"/>
        <w:keepNext w:val="true"/>
        <w:rPr/>
      </w:pPr>
      <w:r>
        <w:rPr/>
      </w:r>
    </w:p>
    <w:p>
      <w:pPr>
        <w:pStyle w:val="Heading2"/>
        <w:numPr>
          <w:ilvl w:val="0"/>
          <w:numId w:val="0"/>
        </w:numPr>
        <w:ind w:hanging="0" w:start="0"/>
        <w:rPr/>
      </w:pPr>
      <w:bookmarkStart w:id="163" w:name="_Toc235565009"/>
      <w:r>
        <w:rPr/>
        <w:t>8.1 Estratégia e critérios de avaliação</w:t>
      </w:r>
      <w:bookmarkEnd w:id="163"/>
    </w:p>
    <w:p>
      <w:pPr>
        <w:pStyle w:val="TextoNormal-IPCA"/>
        <w:keepNext w:val="true"/>
        <w:rPr/>
      </w:pPr>
      <w:r>
        <w:rPr/>
      </w:r>
    </w:p>
    <w:p>
      <w:pPr>
        <w:pStyle w:val="TextoNormal-IPCA"/>
        <w:rPr/>
      </w:pPr>
      <w:r>
        <w:rPr/>
        <w:t>A avaliação abrangeu quatro níveis: o funcionamento dos componentes da plataforma, a coerência das sugestões de IA, a propagação dos parâmetros para a geometria e a passagem dos ficheiros para preparação e impressão. Os critérios foram definidos no subcapítulo 3.5. Os resultados demonstram condições técnicas específicas e não equivalem a uma avaliação clínica, funcional ou da experiência de utilização.</w:t>
      </w:r>
    </w:p>
    <w:p>
      <w:pPr>
        <w:pStyle w:val="TextoNormal-IPCA"/>
        <w:rPr/>
      </w:pPr>
      <w:r>
        <w:rPr/>
      </w:r>
    </w:p>
    <w:p>
      <w:pPr>
        <w:pStyle w:val="Heading3"/>
        <w:numPr>
          <w:ilvl w:val="0"/>
          <w:numId w:val="0"/>
        </w:numPr>
        <w:ind w:hanging="0" w:start="0"/>
        <w:rPr/>
      </w:pPr>
      <w:bookmarkStart w:id="164" w:name="_Toc235565010"/>
      <w:r>
        <w:rPr/>
        <w:t>8.1.1 Verificação técnica da plataforma</w:t>
      </w:r>
      <w:bookmarkEnd w:id="164"/>
    </w:p>
    <w:p>
      <w:pPr>
        <w:pStyle w:val="TextoNormal-IPCA"/>
        <w:keepNext w:val="true"/>
        <w:rPr/>
      </w:pPr>
      <w:r>
        <w:rPr/>
      </w:r>
    </w:p>
    <w:p>
      <w:pPr>
        <w:pStyle w:val="TextoNormal-IPCA"/>
        <w:rPr/>
      </w:pPr>
      <w:r>
        <w:rPr/>
        <w:t>O funcionamento da plataforma foi examinado através das funções que sustentam o percurso entre os dados antropométricos, a configuração, a visualização e a preparação para fabrico. A Tabela 23 sintetiza a evidência observada e explicita a sua relevância para o processo de projeto, bem como os respetivos limites. Os comandos, as datas de execução e os identificadores internos dos testes são conservados no Suplemento 2 — Avaliação técnica da plataforma.</w:t>
      </w:r>
    </w:p>
    <w:p>
      <w:pPr>
        <w:pStyle w:val="Normal"/>
        <w:rPr>
          <w:rFonts w:cs="Times New Roman"/>
          <w:kern w:val="0"/>
          <w14:ligatures w14:val="none"/>
        </w:rPr>
      </w:pPr>
      <w:r>
        <w:rPr>
          <w:rFonts w:cs="Times New Roman"/>
          <w:kern w:val="0"/>
          <w14:ligatures w14:val="none"/>
        </w:rPr>
      </w:r>
      <w:r>
        <w:br w:type="page"/>
      </w:r>
    </w:p>
    <w:p>
      <w:pPr>
        <w:pStyle w:val="TextoNormal-IPCA"/>
        <w:spacing w:before="0" w:after="0"/>
        <w:ind w:hanging="0"/>
        <w:rPr/>
      </w:pPr>
      <w:r>
        <w:rPr/>
      </w:r>
    </w:p>
    <w:p>
      <w:pPr>
        <w:pStyle w:val="Caption"/>
        <w:rPr/>
      </w:pPr>
      <w:bookmarkStart w:id="165" w:name="_Toc235562546"/>
      <w:r>
        <w:rPr/>
        <w:t xml:space="preserve">Tabela </w:t>
      </w:r>
      <w:r>
        <w:rPr/>
        <w:fldChar w:fldCharType="begin"/>
      </w:r>
      <w:r>
        <w:rPr/>
        <w:instrText xml:space="preserve"> SEQ Tabela \* ARABIC </w:instrText>
      </w:r>
      <w:r>
        <w:rPr/>
        <w:fldChar w:fldCharType="separate"/>
      </w:r>
      <w:r>
        <w:rPr/>
        <w:t>23</w:t>
      </w:r>
      <w:r>
        <w:rPr/>
        <w:fldChar w:fldCharType="end"/>
      </w:r>
      <w:r>
        <w:rPr/>
        <w:t xml:space="preserve"> — Evidência do funcionamento da plataforma no processo de projeto</w:t>
      </w:r>
      <w:bookmarkEnd w:id="165"/>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exportação não garante a impressão,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o desempenho sob carga, a segurança integral, a compatibilidade com todos os navegadores nem a utilização autónoma por pessoas sem formação técnica.</w:t>
      </w:r>
    </w:p>
    <w:p>
      <w:pPr>
        <w:pStyle w:val="TextoNormal-IPCA"/>
        <w:rPr/>
      </w:pPr>
      <w:r>
        <w:rPr/>
      </w:r>
    </w:p>
    <w:p>
      <w:pPr>
        <w:pStyle w:val="Heading3"/>
        <w:numPr>
          <w:ilvl w:val="0"/>
          <w:numId w:val="0"/>
        </w:numPr>
        <w:ind w:hanging="0" w:start="0"/>
        <w:rPr/>
      </w:pPr>
      <w:bookmarkStart w:id="166" w:name="_Toc235565011"/>
      <w:r>
        <w:rPr/>
        <w:t>8.1.2 Avaliação complementar da consistência da geração, recuperação e acessibilidade</w:t>
      </w:r>
      <w:bookmarkEnd w:id="166"/>
    </w:p>
    <w:p>
      <w:pPr>
        <w:pStyle w:val="TextoNormal-IPCA"/>
        <w:keepNext w:val="true"/>
        <w:rPr/>
      </w:pPr>
      <w:r>
        <w:rPr/>
      </w:r>
    </w:p>
    <w:p>
      <w:pPr>
        <w:pStyle w:val="TextoNormal-IPCA"/>
        <w:rPr/>
      </w:pPr>
      <w:r>
        <w:rPr/>
        <w:t>Para verificar a consistência da geração, cada modelo foi exportado repetidamente sem alterar os valores dos parâmetros. Foram concluídas sete exportações do Flexy Beast, cinco do Paraglider Hand e cinco da UnLimbited Phoenix. Em cada modelo, todas as exportações concluídas geraram ficheiros exatamente iguais ao nível dos dados binários, ou seja, com a mesma sequência de zeros e uns que constitui o respetivo conteúdo digital, e mantiveram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estabelecido para a totalidade das repetições.</w:t>
      </w:r>
    </w:p>
    <w:p>
      <w:pPr>
        <w:pStyle w:val="TextoNormal-IPCA"/>
        <w:rPr/>
      </w:pPr>
      <w:r>
        <w:rPr/>
        <w:t>A mesma configuração da UnLimbited Phoenix gerou resultados idênticos no Chromium e no Firefox. Uma primeira tentativa com WebKit foi invalidada por uma opção de arranque que o próprio instrumento de ensaio aplicou incorretamente. Corrigida essa configuração, o navegador iniciou, mas o percurso foi interrompido na autenticação, antes de chegar à geração da geometria. A compatibilidade com WebKit permanece, por isso, inconclusiva, e a falha não é classificada como incompatibilidade da plataforma.</w:t>
      </w:r>
    </w:p>
    <w:p>
      <w:pPr>
        <w:pStyle w:val="TextoNormal-IPCA"/>
        <w:rPr/>
      </w:pPr>
      <w:r>
        <w:rPr/>
        <w:t xml:space="preserve">Os cenários de recuperação abrangeram valores nos limites, dados inválidos, ausência de cobertura populacional direta, incompatibilidade entre perfil e modelo, indisponibilidade do serviço de IA, falha de renderização e tentativa de exportação sem geometria. Na maioria dos percursos, os dados inválidos foram rejeitados, o último estado válido foi preservado ou foi possível efetuar uma nova tentativa. Identificaram-se, contudo, duas fragilidades relevantes para o </w:t>
      </w:r>
      <w:r>
        <w:rPr>
          <w:i/>
          <w:iCs/>
        </w:rPr>
        <w:t>design</w:t>
      </w:r>
      <w:r>
        <w:rPr/>
        <w:t xml:space="preserve"> do controlo. Uma sugestão simulada de IA acima do limite era detetável pelo esquema, mas chegou a ser aplicada ao valor interno. Além disso, a interface rejeitou texto num campo numérico, enquanto o pedido direto à plataforma aceitou o mesmo tipo de valor. Estes resultados mostram que a proteção não deve depender apenas do controlo visual e que as mesmas regras têm de ser aplicadas antes de qualquer valor ser guardado ou enviado para a geometria.</w:t>
      </w:r>
    </w:p>
    <w:p>
      <w:pPr>
        <w:pStyle w:val="TextoNormal-IPCA"/>
        <w:rPr/>
      </w:pPr>
      <w:r>
        <w:rPr/>
        <w:t xml:space="preserve">A auditoria automática de acessibilidade examinou oito estados do percurso local autenticado e identificou quatro categorias de barreiras: contraste de cor insuficiente, ausência de associação programática entre etiquetas textuais e controlos, inserção de elementos interativos dentro de outros elementos interativos e falta de nome acessível num elemento de seleção. </w:t>
      </w:r>
    </w:p>
    <w:p>
      <w:pPr>
        <w:pStyle w:val="TextoNormal-IPCA"/>
        <w:rPr/>
      </w:pPr>
      <w:r>
        <w:rPr/>
        <w:t>A página pública não autenticada não apresentou violações automáticas nos elementos examinados, embora tenha incluído uma verificação inconclusiva e não represente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Os resultados, considerados em conjunto, definem prioridades concretas de revisão, mas não demonstram conformidade global com as WCAG 2.2 nem a acessibilidade percebida pelos utilizadores.</w:t>
      </w:r>
    </w:p>
    <w:p>
      <w:pPr>
        <w:pStyle w:val="TextoNormal-IPCA"/>
        <w:rPr/>
      </w:pPr>
      <w:r>
        <w:rPr/>
        <w:t xml:space="preserve">No âmbito do </w:t>
      </w:r>
      <w:r>
        <w:rPr>
          <w:i/>
          <w:iCs/>
        </w:rPr>
        <w:t>Design</w:t>
      </w:r>
      <w:r>
        <w:rPr/>
        <w:t xml:space="preserve"> Industrial, estas séries de ensaios proporcionam três aprendizagens para o desenvolvimento do artefacto. A consistência dos resultados depende de regras geométricas explícitas e de condições de execução suficientemente estáveis. A robustez requer coerência dos limites e das mensagens em todas as etapas do fluxo. Por sua vez, a acessibilidade deve ser tratada como uma qualidade verificável da interface, e não apenas como uma intenção inclusiva. O Anexo B conserva a matriz de casos, os resultados por execução e a ficha técnica mínima necessária à sua revisão crítica.</w:t>
      </w:r>
    </w:p>
    <w:p>
      <w:pPr>
        <w:pStyle w:val="TextoNormal-IPCA"/>
        <w:rPr/>
      </w:pPr>
      <w:r>
        <w:rPr/>
      </w:r>
    </w:p>
    <w:p>
      <w:pPr>
        <w:pStyle w:val="Heading3"/>
        <w:numPr>
          <w:ilvl w:val="0"/>
          <w:numId w:val="0"/>
        </w:numPr>
        <w:ind w:hanging="0" w:start="0"/>
        <w:rPr/>
      </w:pPr>
      <w:bookmarkStart w:id="167" w:name="_Toc235565012"/>
      <w:r>
        <w:rPr/>
        <w:t>8.1.3 Preparação para impressão e protótipos físicos</w:t>
      </w:r>
      <w:bookmarkEnd w:id="167"/>
    </w:p>
    <w:p>
      <w:pPr>
        <w:pStyle w:val="TextoNormal-IPCA"/>
        <w:keepNext w:val="true"/>
        <w:rPr/>
      </w:pPr>
      <w:r>
        <w:rPr/>
      </w:r>
    </w:p>
    <w:p>
      <w:pPr>
        <w:pStyle w:val="TextoNormal-IPCA"/>
        <w:rPr/>
      </w:pPr>
      <w:r>
        <w:rPr/>
        <w:t>A evidência de fabrico inclui 116 ficheiros 3MF gerados para três modelos e quatro perfis de ensaio, quatro projetos com parâmetros de preparação e fotografias de peças físicas. Os 116 ficheiros correspondem a exportações digitais distribuídas por placas combinadas e peças individuais, e não a 116 impressões físicas. Os quatro projetos de preparação digital para impressão 3D cuja configuração foi analisada são entregues na subpasta projectos_preparacao/do Suplemento 4 — Preparação para impressão e protótipos. Cada projeto identifica um perfil de 15 anos, o material configurado e a impressora utilizada. A série documenta cada projeto individualmente e não pressupõe que as respetivas condições sejam comparáveis.</w:t>
      </w:r>
    </w:p>
    <w:p>
      <w:pPr>
        <w:pStyle w:val="TextoNormal-IPCA"/>
        <w:keepNext w:val="true"/>
        <w:rPr/>
      </w:pPr>
      <w:r>
        <w:rPr/>
      </w:r>
    </w:p>
    <w:p>
      <w:pPr>
        <w:pStyle w:val="Caption"/>
        <w:rPr/>
      </w:pPr>
      <w:bookmarkStart w:id="168" w:name="_Toc235562547"/>
      <w:r>
        <w:rPr/>
        <w:t xml:space="preserve">Tabela </w:t>
      </w:r>
      <w:r>
        <w:rPr/>
        <w:fldChar w:fldCharType="begin"/>
      </w:r>
      <w:r>
        <w:rPr/>
        <w:instrText xml:space="preserve"> SEQ Tabela \* ARABIC </w:instrText>
      </w:r>
      <w:r>
        <w:rPr/>
        <w:fldChar w:fldCharType="separate"/>
      </w:r>
      <w:r>
        <w:rPr/>
        <w:t>24</w:t>
      </w:r>
      <w:r>
        <w:rPr/>
        <w:fldChar w:fldCharType="end"/>
      </w:r>
      <w:r>
        <w:rPr/>
        <w:t>— Projetos de preparação digital para impressão 3D com configuração analisada</w:t>
      </w:r>
      <w:bookmarkEnd w:id="168"/>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Camada 0,24 mm; duas paredes; enchimento 15% em grelha; suporte em árvore; aba 5 mm; objetos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Camada 0,20 mm; duas paredes; enchimento 15% em grelha; PLA; bico 0,4 mm; mesa 60 °C; suporte e aba desativados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Projeto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tendo sido geradas trajetórias e estimativas em todos os casos. O Flexy Beast em PLA apresentou 2 h 21 min 50 s e 56,51 g; o Phoenix, 5 h 12 min 44 s e 123,52 g em PLA e 5 h 51 min 52 s e 117,54 g em PETG; o Paraglider, 2 h 32 min 11 s e 37,96 g em PLA. Estes valores são estimativas dos programas, não medições de impressões reais. Como os ficheiros usam condições distintas, não permitem concluir que determinado modelo, material, programa ou equipamento seja mais rápido ou económico.</w:t>
      </w:r>
    </w:p>
    <w:p>
      <w:pPr>
        <w:pStyle w:val="TextoNormal-IPCA"/>
        <w:rPr/>
      </w:pPr>
      <w:r>
        <w:rPr/>
        <w:t>Na Série B, as doze combinações entre três modelos e quatro perfis foram processadas numa condição digital comum: Bambu Lab A1, PLA, camada de 0,20 mm, duas paredes, enchimento de 15% em grelha e suportes desligados. Foram geradas trajetórias e estimativas em 12/12 casos. Os tempos variaram entre 4 h 22 min 47 s, no Paraglider child_8, e 12 h 34 min 14 s, no Flexy Beast adult_28; nos mesmos casos, as massas estimadas variaram entre 50,07 g e 169,15 g. O programa assinalou regiões suspensas nos quatro casos Flexy Beast e no Paraglider elderly_70. Estes avisos mostram que a comparação digital não dispensa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A diferença entre o parâmetro e a caixa exterior descreve, assim, a transformação decorrente do projeto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A existência de uma única leitura registada por eixo não permite quantificar a dispersão ou a incerteza de medição.</w:t>
      </w:r>
    </w:p>
    <w:p>
      <w:pPr>
        <w:pStyle w:val="TextoNormal-IPCA"/>
        <w:rPr/>
      </w:pPr>
      <w:r>
        <w:rPr/>
        <w:t>Foram produzidos exemplares em PLA e PETG, e as configurações analisadas identificam o material atribuído às peças preparadas. Na UnLimbited Phoenix, a configuração PETG atribui os oito conjuntos de peças ao perfil Bambu PETG Basic. As medições permitem comparar de forma emparelhada as dimensões das palmas produzidas nos dois materiais: nos exemplares registados, o PETG apresentou desvios negativos ligeiramente superiores aos do PLA. Sem leituras repetidas ou uma série experimental destinada a isolar o efeito do material, esta diferença não deve ser generalizada como taxa própria de contração. Também não se retiram conclusões sobre a resistência, a fragilidade ou a durabilidade relativas do PLA e do PETG sem ensaios mecânicos comparáveis.</w:t>
      </w:r>
    </w:p>
    <w:p>
      <w:pPr>
        <w:pStyle w:val="TextoNormal-IPCA"/>
        <w:rPr/>
      </w:pPr>
      <w:r>
        <w:rPr/>
        <w:t>Embora a documentação de origem do Flexy Beast preveja juntas em filamento flexível ou silicone moldado, não foram produzidas juntas flexíveis nem almofadas de silicone para os dedos. Os exemplares rígidos em PLA ou PETG não substituem esses componentes. Não foram, por conseguinte,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projetos, sem que nenhuma geometria equivalente tenha sido repetida nas duas impressoras sob condições controladas. Não é, portanto, possível isolar o efeito da impressora, comparar a qualidade ou a velocidade, nem concluir que o fluxo exige dois equipamentos.</w:t>
      </w:r>
    </w:p>
    <w:p>
      <w:pPr>
        <w:pStyle w:val="TextoNormal-IPCA"/>
        <w:rPr/>
      </w:pPr>
      <w:r>
        <w:rPr/>
        <w:t>Uma avaliação complementar examinou as malhas geradas a partir do perfil antropométrico de ensaio de 8 anos. Foram considerados o fecho da superfície, o carácter múltiplo da geometria, o número de corpos e as faces de área nula. A Tabela 25 mostra que a aceitação da preparação pelo programa não implica que a malha de origem seja um sólido fechado sem defeitos.</w:t>
      </w:r>
    </w:p>
    <w:p>
      <w:pPr>
        <w:pStyle w:val="TextoNormal-IPCA"/>
        <w:keepNext w:val="true"/>
        <w:rPr/>
      </w:pPr>
      <w:r>
        <w:rPr/>
      </w:r>
    </w:p>
    <w:p>
      <w:pPr>
        <w:pStyle w:val="Caption"/>
        <w:rPr/>
      </w:pPr>
      <w:bookmarkStart w:id="169" w:name="_Toc235562548"/>
      <w:r>
        <w:rPr/>
        <w:t xml:space="preserve">Tabela </w:t>
      </w:r>
      <w:r>
        <w:rPr/>
        <w:fldChar w:fldCharType="begin"/>
      </w:r>
      <w:r>
        <w:rPr/>
        <w:instrText xml:space="preserve"> SEQ Tabela \* ARABIC </w:instrText>
      </w:r>
      <w:r>
        <w:rPr/>
        <w:fldChar w:fldCharType="separate"/>
      </w:r>
      <w:r>
        <w:rPr/>
        <w:t>25</w:t>
      </w:r>
      <w:r>
        <w:rPr/>
        <w:fldChar w:fldCharType="end"/>
      </w:r>
      <w:r>
        <w:rPr/>
        <w:t xml:space="preserve"> — Inspeção computacional das malhas geradas para um perfil antropométrico de 8 anos</w:t>
      </w:r>
      <w:bookmarkEnd w:id="169"/>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95"/>
        <w:gridCol w:w="994"/>
        <w:gridCol w:w="1811"/>
        <w:gridCol w:w="1024"/>
        <w:gridCol w:w="849"/>
        <w:gridCol w:w="2627"/>
      </w:tblGrid>
      <w:tr>
        <w:trPr>
          <w:tblHeader w:val="true"/>
          <w:cantSplit/>
        </w:trPr>
        <w:tc>
          <w:tcPr>
            <w:tcW w:w="1695"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 e peça</w:t>
            </w:r>
          </w:p>
        </w:tc>
        <w:tc>
          <w:tcPr>
            <w:tcW w:w="99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Fecho</w:t>
            </w:r>
          </w:p>
        </w:tc>
        <w:tc>
          <w:tcPr>
            <w:tcW w:w="1811"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Múltiplos corpos</w:t>
            </w:r>
          </w:p>
        </w:tc>
        <w:tc>
          <w:tcPr>
            <w:tcW w:w="102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N.º de corpos</w:t>
            </w:r>
          </w:p>
        </w:tc>
        <w:tc>
          <w:tcPr>
            <w:tcW w:w="849"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Faces nulas</w:t>
            </w:r>
          </w:p>
        </w:tc>
        <w:tc>
          <w:tcPr>
            <w:tcW w:w="2627"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Interpretação</w:t>
            </w:r>
          </w:p>
        </w:tc>
      </w:tr>
      <w:tr>
        <w:trPr>
          <w:cantSplit/>
        </w:trPr>
        <w:tc>
          <w:tcPr>
            <w:tcW w:w="16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 palma</w:t>
            </w:r>
          </w:p>
        </w:tc>
        <w:tc>
          <w:tcPr>
            <w:tcW w:w="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w:t>
            </w:r>
          </w:p>
        </w:tc>
        <w:tc>
          <w:tcPr>
            <w:tcW w:w="84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w:t>
            </w:r>
          </w:p>
        </w:tc>
        <w:tc>
          <w:tcPr>
            <w:tcW w:w="26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Malha fechada segundo os critérios usados</w:t>
            </w:r>
          </w:p>
        </w:tc>
      </w:tr>
      <w:tr>
        <w:trPr>
          <w:cantSplit/>
        </w:trPr>
        <w:tc>
          <w:tcPr>
            <w:tcW w:w="16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 dedo médio</w:t>
            </w:r>
          </w:p>
        </w:tc>
        <w:tc>
          <w:tcPr>
            <w:tcW w:w="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Sim</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w:t>
            </w:r>
          </w:p>
        </w:tc>
        <w:tc>
          <w:tcPr>
            <w:tcW w:w="84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w:t>
            </w:r>
          </w:p>
        </w:tc>
        <w:tc>
          <w:tcPr>
            <w:tcW w:w="26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Três corpos fechados, coerentes com a construção segmentada</w:t>
            </w:r>
          </w:p>
        </w:tc>
      </w:tr>
      <w:tr>
        <w:trPr>
          <w:cantSplit/>
        </w:trPr>
        <w:tc>
          <w:tcPr>
            <w:tcW w:w="16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 palma</w:t>
            </w:r>
          </w:p>
        </w:tc>
        <w:tc>
          <w:tcPr>
            <w:tcW w:w="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w:t>
            </w:r>
          </w:p>
        </w:tc>
        <w:tc>
          <w:tcPr>
            <w:tcW w:w="84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142</w:t>
            </w:r>
          </w:p>
        </w:tc>
        <w:tc>
          <w:tcPr>
            <w:tcW w:w="26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preparação pode aceitar a peça, mas a malha contém faces degeneradas</w:t>
            </w:r>
          </w:p>
        </w:tc>
      </w:tr>
      <w:tr>
        <w:trPr>
          <w:cantSplit/>
        </w:trPr>
        <w:tc>
          <w:tcPr>
            <w:tcW w:w="16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 dedo médio</w:t>
            </w:r>
          </w:p>
        </w:tc>
        <w:tc>
          <w:tcPr>
            <w:tcW w:w="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w:t>
            </w:r>
          </w:p>
        </w:tc>
        <w:tc>
          <w:tcPr>
            <w:tcW w:w="84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26</w:t>
            </w:r>
          </w:p>
        </w:tc>
        <w:tc>
          <w:tcPr>
            <w:tcW w:w="26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Requer inspeção ou reparação antes de uma conclusão sobre qualidade geométrica</w:t>
            </w:r>
          </w:p>
        </w:tc>
      </w:tr>
      <w:tr>
        <w:trPr>
          <w:cantSplit/>
        </w:trPr>
        <w:tc>
          <w:tcPr>
            <w:tcW w:w="16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 palma</w:t>
            </w:r>
          </w:p>
        </w:tc>
        <w:tc>
          <w:tcPr>
            <w:tcW w:w="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w:t>
            </w:r>
          </w:p>
        </w:tc>
        <w:tc>
          <w:tcPr>
            <w:tcW w:w="84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w:t>
            </w:r>
          </w:p>
        </w:tc>
        <w:tc>
          <w:tcPr>
            <w:tcW w:w="26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inspeção computacional da Tabela 25. A diferença entre os registos deve ser mantida, pois nenhum dos resultados permite concluir que todas as variantes de cada modelo possuem a mesma qualidade de malha.</w:t>
      </w:r>
    </w:p>
    <w:p>
      <w:pPr>
        <w:pStyle w:val="TextoNormal-IPCA"/>
        <w:rPr/>
      </w:pPr>
      <w:r>
        <w:rPr/>
        <w:t>O registo fotográfico complementa os dados de preparação e a inspeção das malhas, documentando as peças efetivamente produzidas, a organização dos componentes e os estados preliminares de montagem. Não substitui medições dimensionais, ensaios mecânicos ou avaliações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48"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 descr="Image 1"/>
                    <pic:cNvPicPr>
                      <a:picLocks noChangeAspect="1" noChangeArrowheads="1"/>
                    </pic:cNvPicPr>
                  </pic:nvPicPr>
                  <pic:blipFill>
                    <a:blip r:embed="rId89"/>
                    <a:stretch>
                      <a:fillRect/>
                    </a:stretch>
                  </pic:blipFill>
                  <pic:spPr bwMode="auto">
                    <a:xfrm>
                      <a:off x="0" y="0"/>
                      <a:ext cx="5715000" cy="2828925"/>
                    </a:xfrm>
                    <a:prstGeom prst="rect">
                      <a:avLst/>
                    </a:prstGeom>
                    <a:noFill/>
                  </pic:spPr>
                </pic:pic>
              </a:graphicData>
            </a:graphic>
          </wp:inline>
        </w:drawing>
      </w:r>
    </w:p>
    <w:p>
      <w:pPr>
        <w:pStyle w:val="Caption"/>
        <w:rPr/>
      </w:pPr>
      <w:bookmarkStart w:id="170" w:name="_Toc235562521"/>
      <w:r>
        <w:rPr/>
        <w:t xml:space="preserve">Figura </w:t>
      </w:r>
      <w:r>
        <w:rPr/>
        <w:fldChar w:fldCharType="begin"/>
      </w:r>
      <w:r>
        <w:rPr/>
        <w:instrText xml:space="preserve"> SEQ Figura \* ARABIC </w:instrText>
      </w:r>
      <w:r>
        <w:rPr/>
        <w:fldChar w:fldCharType="separate"/>
      </w:r>
      <w:r>
        <w:rPr/>
        <w:t>27</w:t>
      </w:r>
      <w:r>
        <w:rPr/>
        <w:fldChar w:fldCharType="end"/>
      </w:r>
      <w:r>
        <w:rPr/>
        <w:t xml:space="preserve"> — Componentes impressos e estados preliminares de montagem: segmentos digitais articulados, palma e elementos separados. O painel documenta a materialização das geometrias e a compatibilidade visual entre componentes.</w:t>
      </w:r>
      <w:bookmarkEnd w:id="170"/>
    </w:p>
    <w:p>
      <w:pPr>
        <w:pStyle w:val="Nota-IPCA"/>
        <w:rPr/>
      </w:pPr>
      <w:r>
        <w:rPr/>
        <w:t>Fonte: produção própria.</w:t>
      </w:r>
    </w:p>
    <w:p>
      <w:pPr>
        <w:pStyle w:val="TextoNormal-IPCA"/>
        <w:keepNext w:val="true"/>
        <w:rPr/>
      </w:pPr>
      <w:r>
        <w:rPr/>
      </w:r>
    </w:p>
    <w:p>
      <w:pPr>
        <w:pStyle w:val="TextoNormal-IPCA"/>
        <w:keepNext w:val="true"/>
        <w:rPr/>
      </w:pPr>
      <w:r>
        <w:rPr/>
        <w:drawing>
          <wp:inline distT="0" distB="0" distL="0" distR="0">
            <wp:extent cx="5715000" cy="1209675"/>
            <wp:effectExtent l="0" t="0" r="0" b="0"/>
            <wp:docPr id="49"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9" descr="Image 2"/>
                    <pic:cNvPicPr>
                      <a:picLocks noChangeAspect="1" noChangeArrowheads="1"/>
                    </pic:cNvPicPr>
                  </pic:nvPicPr>
                  <pic:blipFill>
                    <a:blip r:embed="rId90"/>
                    <a:stretch>
                      <a:fillRect/>
                    </a:stretch>
                  </pic:blipFill>
                  <pic:spPr bwMode="auto">
                    <a:xfrm>
                      <a:off x="0" y="0"/>
                      <a:ext cx="5715000" cy="1209675"/>
                    </a:xfrm>
                    <a:prstGeom prst="rect">
                      <a:avLst/>
                    </a:prstGeom>
                    <a:noFill/>
                  </pic:spPr>
                </pic:pic>
              </a:graphicData>
            </a:graphic>
          </wp:inline>
        </w:drawing>
      </w:r>
    </w:p>
    <w:p>
      <w:pPr>
        <w:pStyle w:val="Caption"/>
        <w:rPr/>
      </w:pPr>
      <w:bookmarkStart w:id="171" w:name="_Toc235562522"/>
      <w:r>
        <w:rPr/>
        <w:t xml:space="preserve">Figura </w:t>
      </w:r>
      <w:r>
        <w:rPr/>
        <w:fldChar w:fldCharType="begin"/>
      </w:r>
      <w:r>
        <w:rPr/>
        <w:instrText xml:space="preserve"> SEQ Figura \* ARABIC </w:instrText>
      </w:r>
      <w:r>
        <w:rPr/>
        <w:fldChar w:fldCharType="separate"/>
      </w:r>
      <w:r>
        <w:rPr/>
        <w:t>28</w:t>
      </w:r>
      <w:r>
        <w:rPr/>
        <w:fldChar w:fldCharType="end"/>
      </w:r>
      <w:r>
        <w:rPr/>
        <w:t>— Séries físicas de segmentos identificados pelos perfis de ensaio de 8, 15, 28 e 70 anos. À esquerda apresenta-se a série Paraglider Hand; ao centro e à direita, duas vistas da série Flexy Beast. As diferenças visíveis documentam a variação dimensional</w:t>
      </w:r>
      <w:bookmarkEnd w:id="171"/>
    </w:p>
    <w:p>
      <w:pPr>
        <w:pStyle w:val="Nota-IPCA"/>
        <w:rPr>
          <w:lang w:val="pt-PT"/>
        </w:rPr>
      </w:pPr>
      <w:r>
        <w:rPr>
          <w:lang w:val="pt-PT"/>
        </w:rPr>
        <w:t>Fonte: produção própria.</w:t>
      </w:r>
    </w:p>
    <w:p>
      <w:pPr>
        <w:pStyle w:val="TextoNormal-IPCA"/>
        <w:keepNext w:val="true"/>
        <w:rPr/>
      </w:pPr>
      <w:r>
        <w:rPr/>
      </w:r>
    </w:p>
    <w:p>
      <w:pPr>
        <w:pStyle w:val="TextoNormal-IPCA"/>
        <w:keepNext w:val="true"/>
        <w:rPr/>
      </w:pPr>
      <w:r>
        <w:rPr/>
        <w:drawing>
          <wp:inline distT="0" distB="0" distL="0" distR="0">
            <wp:extent cx="5715000" cy="2171700"/>
            <wp:effectExtent l="0" t="0" r="0" b="0"/>
            <wp:docPr id="50"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3" descr="Image 3"/>
                    <pic:cNvPicPr>
                      <a:picLocks noChangeAspect="1" noChangeArrowheads="1"/>
                    </pic:cNvPicPr>
                  </pic:nvPicPr>
                  <pic:blipFill>
                    <a:blip r:embed="rId91"/>
                    <a:stretch>
                      <a:fillRect/>
                    </a:stretch>
                  </pic:blipFill>
                  <pic:spPr bwMode="auto">
                    <a:xfrm>
                      <a:off x="0" y="0"/>
                      <a:ext cx="5715000" cy="2171700"/>
                    </a:xfrm>
                    <a:prstGeom prst="rect">
                      <a:avLst/>
                    </a:prstGeom>
                    <a:noFill/>
                  </pic:spPr>
                </pic:pic>
              </a:graphicData>
            </a:graphic>
          </wp:inline>
        </w:drawing>
      </w:r>
    </w:p>
    <w:p>
      <w:pPr>
        <w:pStyle w:val="Caption"/>
        <w:rPr/>
      </w:pPr>
      <w:bookmarkStart w:id="172" w:name="_Toc235562523"/>
      <w:r>
        <w:rPr/>
        <w:t xml:space="preserve">Figura </w:t>
      </w:r>
      <w:r>
        <w:rPr/>
        <w:fldChar w:fldCharType="begin"/>
      </w:r>
      <w:r>
        <w:rPr/>
        <w:instrText xml:space="preserve"> SEQ Figura \* ARABIC </w:instrText>
      </w:r>
      <w:r>
        <w:rPr/>
        <w:fldChar w:fldCharType="separate"/>
      </w:r>
      <w:r>
        <w:rPr/>
        <w:t>29</w:t>
      </w:r>
      <w:r>
        <w:rPr/>
        <w:fldChar w:fldCharType="end"/>
      </w:r>
      <w:r>
        <w:rPr/>
        <w:t>— UnLimbited Phoenix configurada para o perfil de ensaio de 15 anos, apresentada em sete vistas da montagem física. As imagens documentam a reunião dos componentes e a mobilidade manual observável das articulações, sem equivaler a um protocolo de funcion</w:t>
      </w:r>
      <w:bookmarkEnd w:id="172"/>
    </w:p>
    <w:p>
      <w:pPr>
        <w:pStyle w:val="Nota-IPCA"/>
        <w:rPr>
          <w:lang w:val="pt-PT"/>
        </w:rPr>
      </w:pPr>
      <w:r>
        <w:rPr>
          <w:lang w:val="pt-PT"/>
        </w:rPr>
        <w:t>Fonte: produção própria.</w:t>
      </w:r>
    </w:p>
    <w:p>
      <w:pPr>
        <w:pStyle w:val="TextoNormal-IPCA"/>
        <w:rPr/>
      </w:pPr>
      <w:r>
        <w:rPr/>
      </w:r>
    </w:p>
    <w:p>
      <w:pPr>
        <w:pStyle w:val="TextoNormal-IPCA"/>
        <w:keepNext w:val="true"/>
        <w:rPr/>
      </w:pPr>
      <w:r>
        <w:rPr/>
      </w:r>
    </w:p>
    <w:p>
      <w:pPr>
        <w:pStyle w:val="TextoNormal-IPCA"/>
        <w:keepNext w:val="true"/>
        <w:rPr/>
      </w:pPr>
      <w:r>
        <w:rPr/>
        <w:drawing>
          <wp:inline distT="0" distB="0" distL="0" distR="0">
            <wp:extent cx="5715000" cy="3571875"/>
            <wp:effectExtent l="0" t="0" r="0" b="0"/>
            <wp:docPr id="51"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4" descr="Image 4"/>
                    <pic:cNvPicPr>
                      <a:picLocks noChangeAspect="1" noChangeArrowheads="1"/>
                    </pic:cNvPicPr>
                  </pic:nvPicPr>
                  <pic:blipFill>
                    <a:blip r:embed="rId92"/>
                    <a:stretch>
                      <a:fillRect/>
                    </a:stretch>
                  </pic:blipFill>
                  <pic:spPr bwMode="auto">
                    <a:xfrm>
                      <a:off x="0" y="0"/>
                      <a:ext cx="5715000" cy="3571875"/>
                    </a:xfrm>
                    <a:prstGeom prst="rect">
                      <a:avLst/>
                    </a:prstGeom>
                    <a:noFill/>
                  </pic:spPr>
                </pic:pic>
              </a:graphicData>
            </a:graphic>
          </wp:inline>
        </w:drawing>
      </w:r>
    </w:p>
    <w:p>
      <w:pPr>
        <w:pStyle w:val="Nota-IPCA"/>
        <w:rPr>
          <w:lang w:val="pt-PT"/>
        </w:rPr>
      </w:pPr>
      <w:r>
        <w:rPr>
          <w:lang w:val="pt-PT"/>
        </w:rPr>
      </w:r>
    </w:p>
    <w:p>
      <w:pPr>
        <w:pStyle w:val="Heading2"/>
        <w:numPr>
          <w:ilvl w:val="0"/>
          <w:numId w:val="0"/>
        </w:numPr>
        <w:ind w:hanging="0" w:start="0"/>
        <w:rPr/>
      </w:pPr>
      <w:bookmarkStart w:id="173" w:name="_Toc235565013"/>
      <w:r>
        <w:rPr/>
        <w:t>8.2 Avaliação da coerência das sugestões de IA</w:t>
      </w:r>
      <w:bookmarkEnd w:id="173"/>
    </w:p>
    <w:p>
      <w:pPr>
        <w:pStyle w:val="TextoNormal-IPCA"/>
        <w:keepNext w:val="true"/>
        <w:rPr/>
      </w:pPr>
      <w:r>
        <w:rPr/>
      </w:r>
    </w:p>
    <w:p>
      <w:pPr>
        <w:pStyle w:val="TextoNormal-IPCA"/>
        <w:rPr/>
      </w:pPr>
      <w:r>
        <w:rPr/>
        <w:t>O primeiro conjunto experimental incidiu sobre cinco perfis de ensaio, construídos a partir da idade, do sexo, da altura, do peso, do país, do comprimento do braço e da constituição física. Como não incluíam medições diretas da mão, avaliou-se a conformidade das respostas com o esquema, os intervalos e as relações dimensionais internas definidas. O ensaio examina o fluxo perante informação incompleta, mas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Nesses casos, a seleção do perfil de referência passou a depender dos restantes atributos disponíveis e dos critérios de prioridade definidos no sistema. Esta limitação impede que a indicação do país seja interpretada como uma adaptação antropométrica à população nacional mencionada.</w:t>
      </w:r>
    </w:p>
    <w:p>
      <w:pPr>
        <w:pStyle w:val="TextoNormal-IPCA"/>
        <w:keepNext w:val="true"/>
        <w:rPr/>
      </w:pPr>
      <w:r>
        <w:rPr/>
      </w:r>
    </w:p>
    <w:p>
      <w:pPr>
        <w:pStyle w:val="Caption"/>
        <w:rPr/>
      </w:pPr>
      <w:bookmarkStart w:id="174" w:name="_Toc235562549"/>
      <w:r>
        <w:rPr/>
        <w:t xml:space="preserve">Tabela </w:t>
      </w:r>
      <w:r>
        <w:rPr/>
        <w:fldChar w:fldCharType="begin"/>
      </w:r>
      <w:r>
        <w:rPr/>
        <w:instrText xml:space="preserve"> SEQ Tabela \* ARABIC </w:instrText>
      </w:r>
      <w:r>
        <w:rPr/>
        <w:fldChar w:fldCharType="separate"/>
      </w:r>
      <w:r>
        <w:rPr/>
        <w:t>26</w:t>
      </w:r>
      <w:r>
        <w:rPr/>
        <w:fldChar w:fldCharType="end"/>
      </w:r>
      <w:r>
        <w:rPr/>
        <w:t xml:space="preserve"> — Descrições submetidas nos cenários de avaliação da IA</w:t>
      </w:r>
      <w:bookmarkEnd w:id="174"/>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b/>
                <w:bCs/>
                <w:sz w:val="20"/>
                <w:szCs w:val="20"/>
              </w:rPr>
            </w:pPr>
            <w:r>
              <w:rPr>
                <w:b/>
                <w:bCs/>
                <w:sz w:val="20"/>
                <w:szCs w:val="20"/>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Perfil com dados demográficos e uma medição direta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ind w:hanging="0"/>
              <w:jc w:val="start"/>
              <w:rPr>
                <w:rFonts w:eastAsia="Calibri"/>
                <w:sz w:val="20"/>
                <w:szCs w:val="20"/>
              </w:rPr>
            </w:pPr>
            <w:r>
              <w:rPr>
                <w:rFonts w:eastAsia="Calibri"/>
                <w:sz w:val="20"/>
                <w:szCs w:val="20"/>
              </w:rPr>
              <w:t>Verificar a adaptação do sistema quando não existem medições diretas da mão</w:t>
            </w:r>
          </w:p>
        </w:tc>
      </w:tr>
    </w:tbl>
    <w:p>
      <w:pPr>
        <w:pStyle w:val="Nota-IPCA"/>
        <w:rPr>
          <w:lang w:val="pt-PT"/>
        </w:rPr>
      </w:pPr>
      <w:r>
        <w:rPr>
          <w:lang w:val="pt-PT"/>
        </w:rPr>
        <w:b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revela respostas distintas em função do grau de detalhe da descrição submetida. Nos perfis adultos, os valores sugeridos mantiveram-se nos intervalos usados pelo sistema. No perfil infantil, foram reduzidos os comprimentos e os parâmetros das articulações flexíveis. Este comportamento corresponde às instruções presentes nas legendas do esquema, mas não demonstra um ajuste anatómico. No perfil adolescente, uma regra preliminar assinalou a palma como excessiva. A comparação posterior com o intervalo de referência usado no ensaio revelou que o limite do teste era demasiado rígido. A regra foi corrigida, mas a ausência de uma medição individual impede que a sugestão seja classificada como exata.</w:t>
      </w:r>
    </w:p>
    <w:p>
      <w:pPr>
        <w:pStyle w:val="TextoNormal-IPCA"/>
        <w:rPr/>
      </w:pPr>
      <w:r>
        <w:rPr/>
        <w:t>O segundo conjunto experimental avaliou três cenários de ausência unilateral com diferentes graus de informação. Quando foram fornecidas medições completas da mão intacta, a resposta registada preservou esses valores. No caso parcial, manteve-se a largura da palma declarada e preencheram-se os restantes comprimentos. Nos ensaios baseados em indicadores demográficos, a IA devolveu o conjunto de parâmetros requerido. Estes resultados descrevem as respostas observadas, mas não permitem concluir que os valores estimados sejam anatomicamente corretos.</w:t>
      </w:r>
    </w:p>
    <w:p>
      <w:pPr>
        <w:pStyle w:val="TextoNormal-IPCA"/>
        <w:rPr/>
      </w:pPr>
      <w:r>
        <w:rPr/>
        <w:t>A lateralidade foi examinada num ensaio separado, composto por 12 pedidos repetidos. Onze produziram respostas interpretáveis e um não gerou uma resposta analisável. Nos sete pedidos de mão esquerda com resposta válida, a lateralidade foi incorretamente indicada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rPr/>
      </w:pPr>
      <w:bookmarkStart w:id="175" w:name="_Toc235562550"/>
      <w:r>
        <w:rPr/>
        <w:t xml:space="preserve">Tabela </w:t>
      </w:r>
      <w:r>
        <w:rPr/>
        <w:fldChar w:fldCharType="begin"/>
      </w:r>
      <w:r>
        <w:rPr/>
        <w:instrText xml:space="preserve"> SEQ Tabela \* ARABIC </w:instrText>
      </w:r>
      <w:r>
        <w:rPr/>
        <w:fldChar w:fldCharType="separate"/>
      </w:r>
      <w:r>
        <w:rPr/>
        <w:t>27</w:t>
      </w:r>
      <w:r>
        <w:rPr/>
        <w:fldChar w:fldCharType="end"/>
      </w:r>
      <w:r>
        <w:rPr/>
        <w:t xml:space="preserve"> — Síntese da avaliação das sugestões de IA</w:t>
      </w:r>
      <w:bookmarkEnd w:id="175"/>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escolha passou a ser determinística e independente da resposta da IA</w:t>
            </w:r>
          </w:p>
        </w:tc>
      </w:tr>
    </w:tbl>
    <w:p>
      <w:pPr>
        <w:pStyle w:val="TextoNormal-IPCA"/>
        <w:rPr/>
      </w:pPr>
      <w:r>
        <w:rPr/>
      </w:r>
    </w:p>
    <w:p>
      <w:pPr>
        <w:pStyle w:val="TextoNormal-IPCA"/>
        <w:rPr/>
      </w:pPr>
      <w:r>
        <w:rPr/>
        <w:t xml:space="preserve">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w:t>
      </w:r>
      <w:r>
        <w:rPr>
          <w:i/>
          <w:iCs/>
        </w:rPr>
        <w:t>hardware</w:t>
      </w:r>
      <w:r>
        <w:rPr/>
        <w:t>; noutras, esses parâmetros mantiveram os valores já definidos. A conclusão limita-se, portanto, à conformidade dos casos registados e à importância das salvaguardas determinísticas. Descrições equivalentes podem originar valores numéricos ou conjuntos de campos distintos, pelo que cada sugestão exige revisão antes de ser aplicada.</w:t>
      </w:r>
    </w:p>
    <w:p>
      <w:pPr>
        <w:pStyle w:val="Heading2"/>
        <w:numPr>
          <w:ilvl w:val="0"/>
          <w:numId w:val="0"/>
        </w:numPr>
        <w:ind w:hanging="0" w:start="0"/>
        <w:rPr/>
      </w:pPr>
      <w:bookmarkStart w:id="176" w:name="_Toc235565014"/>
      <w:r>
        <w:rPr/>
        <w:t>8.3 Verificação geométrica entre modelos</w:t>
      </w:r>
      <w:bookmarkEnd w:id="176"/>
    </w:p>
    <w:p>
      <w:pPr>
        <w:pStyle w:val="TextoNormal-IPCA"/>
        <w:keepNext w:val="true"/>
        <w:rPr/>
      </w:pPr>
      <w:r>
        <w:rPr/>
      </w:r>
    </w:p>
    <w:p>
      <w:pPr>
        <w:pStyle w:val="TextoNormal-IPCA"/>
        <w:rPr/>
      </w:pPr>
      <w:r>
        <w:rPr/>
        <w:t>A verificação geométrica testou se os valores sugeridos eram transferidos para a malha exportada em três modelos ativos da plataforma: Flexy Beast, Paraglider Hand e UnLimbited Phoenix. Para cada modelo, comparou-se um valor de referência por omissão com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rPr/>
      </w:pPr>
      <w:bookmarkStart w:id="177" w:name="_Toc235562551"/>
      <w:r>
        <w:rPr/>
        <w:t xml:space="preserve">Tabela </w:t>
      </w:r>
      <w:r>
        <w:rPr/>
        <w:fldChar w:fldCharType="begin"/>
      </w:r>
      <w:r>
        <w:rPr/>
        <w:instrText xml:space="preserve"> SEQ Tabela \* ARABIC </w:instrText>
      </w:r>
      <w:r>
        <w:rPr/>
        <w:fldChar w:fldCharType="separate"/>
      </w:r>
      <w:r>
        <w:rPr/>
        <w:t>28</w:t>
      </w:r>
      <w:r>
        <w:rPr/>
        <w:fldChar w:fldCharType="end"/>
      </w:r>
      <w:r>
        <w:rPr/>
        <w:t xml:space="preserve"> — Modelos e mecanismos de escala avaliados</w:t>
      </w:r>
      <w:bookmarkEnd w:id="177"/>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rFonts w:eastAsia="Calibri"/>
                <w:sz w:val="20"/>
                <w:szCs w:val="20"/>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rFonts w:eastAsia="Calibri"/>
                <w:sz w:val="20"/>
                <w:szCs w:val="20"/>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rFonts w:eastAsia="Calibri"/>
                <w:sz w:val="20"/>
                <w:szCs w:val="20"/>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rFonts w:eastAsia="Calibri"/>
                <w:sz w:val="20"/>
                <w:szCs w:val="20"/>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rFonts w:eastAsia="Calibri"/>
                <w:sz w:val="20"/>
                <w:szCs w:val="20"/>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rFonts w:eastAsia="Calibri"/>
                <w:sz w:val="20"/>
                <w:szCs w:val="20"/>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rFonts w:eastAsia="Calibri"/>
                <w:sz w:val="20"/>
                <w:szCs w:val="20"/>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rFonts w:eastAsia="Calibri"/>
                <w:sz w:val="20"/>
                <w:szCs w:val="20"/>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rFonts w:eastAsia="Calibri"/>
                <w:sz w:val="20"/>
                <w:szCs w:val="20"/>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rFonts w:eastAsia="Calibri"/>
                <w:sz w:val="20"/>
                <w:szCs w:val="20"/>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rFonts w:eastAsia="Calibri"/>
                <w:sz w:val="20"/>
                <w:szCs w:val="20"/>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ind w:hanging="0"/>
              <w:rPr>
                <w:sz w:val="20"/>
                <w:szCs w:val="20"/>
              </w:rPr>
            </w:pPr>
            <w:r>
              <w:rPr>
                <w:rFonts w:eastAsia="Calibri"/>
                <w:sz w:val="20"/>
                <w:szCs w:val="20"/>
              </w:rPr>
              <w:t>Impediu reduções abaixo do limite definido no modelo</w:t>
            </w:r>
          </w:p>
        </w:tc>
      </w:tr>
    </w:tbl>
    <w:p>
      <w:pPr>
        <w:pStyle w:val="TextoNormal-IPCA"/>
        <w:rPr/>
      </w:pPr>
      <w:r>
        <w:rPr/>
        <w:t>Nota: o fator de escala corresponde à divisão da maior dimensão da palma exportada pela dimensão correspondente da configuração de referência. Um valor de 1,000 indica igualdade; valores inferiores indicam redução e valores superiores, aumento relativamente à referência.</w:t>
      </w:r>
    </w:p>
    <w:p>
      <w:pPr>
        <w:pStyle w:val="TextoNormal-IPCA"/>
        <w:rPr/>
      </w:pPr>
      <w:r>
        <w:rPr/>
      </w:r>
    </w:p>
    <w:p>
      <w:pPr>
        <w:pStyle w:val="TextoNormal-IPCA"/>
        <w:rPr/>
      </w:pPr>
      <w:r>
        <w:rPr/>
        <w:t>Os resultados mostraram respostas semelhantes do Flexy Beast e do Paraglider Hand aos mesmos perfis, mediante a redução ou o aumento da maior dimensão da palma. No perfil infantil, os fatores de escala foram de 0,761 e 0,747 relativamente à configuração de referência; na mulher adulta, de 0,932 e 0,928; e no homem adulto, de 1,148 e 1,157. No Phoenix, o limite mínimo impediu a redução da largura da palma abaixo de cerca de 82 mm e manteve os perfis pequenos no tamanho mínimo previsto pelo modelo.</w:t>
      </w:r>
    </w:p>
    <w:p>
      <w:pPr>
        <w:pStyle w:val="TextoNormal-IPCA"/>
        <w:keepNext w:val="true"/>
        <w:rPr/>
      </w:pPr>
      <w:r>
        <w:rPr/>
      </w:r>
    </w:p>
    <w:p>
      <w:pPr>
        <w:pStyle w:val="Caption"/>
        <w:rPr/>
      </w:pPr>
      <w:bookmarkStart w:id="178" w:name="_Toc235562552"/>
      <w:r>
        <w:rPr/>
        <w:t xml:space="preserve">Tabela </w:t>
      </w:r>
      <w:r>
        <w:rPr/>
        <w:fldChar w:fldCharType="begin"/>
      </w:r>
      <w:r>
        <w:rPr/>
        <w:instrText xml:space="preserve"> SEQ Tabela \* ARABIC </w:instrText>
      </w:r>
      <w:r>
        <w:rPr/>
        <w:fldChar w:fldCharType="separate"/>
      </w:r>
      <w:r>
        <w:rPr/>
        <w:t>29</w:t>
      </w:r>
      <w:r>
        <w:rPr/>
        <w:fldChar w:fldCharType="end"/>
      </w:r>
      <w:r>
        <w:rPr/>
        <w:t xml:space="preserve"> — Fator de escala da maior dimensão da palma exportada relativamente à configuração de referência</w:t>
      </w:r>
      <w:bookmarkEnd w:id="178"/>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1,000 após a correção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pPr>
            <w:r>
              <w:rPr>
                <w:rFonts w:eastAsia="Calibri"/>
              </w:rPr>
              <w:t>1,171</w:t>
            </w:r>
          </w:p>
        </w:tc>
      </w:tr>
    </w:tbl>
    <w:p>
      <w:pPr>
        <w:pStyle w:val="TextoNormal-IPCA"/>
        <w:rPr/>
      </w:pPr>
      <w:r>
        <w:rPr/>
      </w:r>
    </w:p>
    <w:p>
      <w:pPr>
        <w:pStyle w:val="TextoNormal-IPCA"/>
        <w:rPr/>
      </w:pPr>
      <w:r>
        <w:rPr/>
        <w:t>Antes da correção, um percurso alternativo do Phoenix produziu um fator de escala de 0,760 no perfil infantil. O valor foi rejeitado por ultrapassar o limite mínimo declarado para o modelo, pelo que não integra a Tabela 29 como resultado aceite.</w:t>
      </w:r>
    </w:p>
    <w:p>
      <w:pPr>
        <w:pStyle w:val="TextoNormal-IPCA"/>
        <w:rPr/>
      </w:pPr>
      <w:r>
        <w:rPr/>
        <w:t>Esta verificação revelou três fragilidades técnicas que a análise numérica isolada não permitia detetar. A primeira encontrava-se no mecanismo de correspondência populacional: a análise inicial do sexo e da idade era demasiado frágil, podendo certas abreviaturas presentes no texto de entrada ser interpretadas incorretamente e confundir unidades de medida com a indicação do sexo masculino.</w:t>
      </w:r>
    </w:p>
    <w:p>
      <w:pPr>
        <w:pStyle w:val="TextoNormal-IPCA"/>
        <w:rPr/>
      </w:pPr>
      <w:r>
        <w:rPr/>
        <w:t>A correção consistiu numa análise mais robusta do texto de entrada, capaz de reconhecer termos em diferentes línguas, respeitar fronteiras de palavra e classificar os grupos etários de forma mais fiável.</w:t>
      </w:r>
    </w:p>
    <w:p>
      <w:pPr>
        <w:pStyle w:val="TextoNormal-IPCA"/>
        <w:rPr/>
      </w:pPr>
      <w:r>
        <w:rPr/>
        <w:t>A segunda fragilidade foi identificada no modelo Paraglider. A dimensão da palma da mão protésica não respondia corretamente aos valores sugeridos, pois permanecia associada a uma escala interna herdada da biblioteca original. A correção consistiu em reaplicar a escala no ponto do código responsável pela geração dessa geometria. A terceira fragilidade surgiu no modelo UnLimbited Phoenix: um parâmetro alternativo permitia ultrapassar o limite mínimo de escala definido para o modelo. A correção consistiu em aplicar o mesmo limite também a esse percurso alternativo de geração.</w:t>
      </w:r>
    </w:p>
    <w:p>
      <w:pPr>
        <w:pStyle w:val="TextoNormal-IPCA"/>
        <w:rPr/>
      </w:pPr>
      <w:r>
        <w:rPr/>
        <w:t>A avaliação das sugestões deve prosseguir para além da resposta em JSON. A malha exportada e a preparação para impressão podem revelar dependências internas, limites de escala, problemas de espessura, folgas insuficientes e heranças de código não detetadas na análise numérica. Os modelos integrados responderam de forma distinta aos mesmos perfis: o Flexy Beast aceitou a redução usada no ensaio; após a correção, o Paraglider passou a propagar a escala para a palma; e o Phoenix manteve o limite dimensional da biblioteca original. A seleção de um modelo para uma pessoa concreta exige critérios e dados que este ensaio não avaliou.</w:t>
      </w:r>
    </w:p>
    <w:p>
      <w:pPr>
        <w:pStyle w:val="TextoNormal-IPCA"/>
        <w:rPr/>
      </w:pPr>
      <w:r>
        <w:rPr/>
      </w:r>
    </w:p>
    <w:p>
      <w:pPr>
        <w:pStyle w:val="Heading3"/>
        <w:numPr>
          <w:ilvl w:val="0"/>
          <w:numId w:val="0"/>
        </w:numPr>
        <w:ind w:hanging="0" w:start="0"/>
        <w:rPr/>
      </w:pPr>
      <w:bookmarkStart w:id="179" w:name="_Toc235565015"/>
      <w:r>
        <w:rPr/>
        <w:t>8.4 Discussão dos resultados face aos objetivos</w:t>
      </w:r>
      <w:bookmarkEnd w:id="179"/>
    </w:p>
    <w:p>
      <w:pPr>
        <w:pStyle w:val="Normal"/>
        <w:spacing w:before="0" w:after="120"/>
        <w:contextualSpacing/>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dar origem a um conjunto inicial de parâmetros editáveis e visualizáveis, desde que os valores sejam limitados pelo esquema, confirmados na geometria e revistos por uma pessoa competente. O estudo não mediu se este fluxo reduz o esforço, o tempo, o custo ou a dependência de especialistas.</w:t>
      </w:r>
    </w:p>
    <w:p>
      <w:pPr>
        <w:pStyle w:val="TextoNormal-IPCA"/>
        <w:rPr/>
      </w:pPr>
      <w:r>
        <w:rPr/>
        <w:t>A avaliação delimita o papel da IA: uma resposta isolada não constitui uma prescrição; não existe uma medição clínica individual que permita calcular o erro anatómico; e a lateralidade mostrou que os parâmetros críticos devem permanecer sujeitos a regras determinísticas. A verificação geométrica identificou limites específicos de cada modelo. As peças físicas confirmaram que as configurações selecionadas podiam ser preparadas e produzidas nas condições registadas, enquanto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associa as razões de abandono sobretudo a problemas de conforto e função, incluindo o peso, a temperatura e a transpiração </w:t>
      </w:r>
      <w:sdt>
        <w:sdtPr>
          <w:tag w:val="MENDELEY_CITATION_v3_eyJjaXRhdGlvbklEIjoiTUVOREVMRVlfQ0lUQVRJT05fMGJkMmZkMzYtN2RlNi00M2RiLWFlMGUtMTAwN2UwYWNiODIzIiwicHJvcGVydGllcyI6eyJub3RlSW5kZXgiOjB9LCJpc0VkaXRlZCI6ZmFsc2UsIm1hbnVhbE92ZXJyaWRlIjp7ImlzTWFudWFsbHlPdmVycmlkZGVuIjpmYWxzZSwiY2l0ZXByb2NUZXh0IjoiKFNtYWlsIGV0IGFsLiwgMjAyMSkiLCJtYW51YWxPdmVycmlkZVRleHQiOiI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X1dfQ=="/>
          <w:id w:val="-237239919"/>
          <w:placeholder>
            <w:docPart w:val="DefaultPlaceholder_-1854013440"/>
          </w:placeholder>
        </w:sdtPr>
        <w:sdtContent>
          <w:r>
            <w:rPr/>
          </w:r>
          <w:r>
            <w:rPr>
              <w:color w:val="000000"/>
            </w:rPr>
            <w:t>(Smail et al., 2021)</w:t>
          </w:r>
        </w:sdtContent>
      </w:sdt>
      <w:r>
        <w:rPr/>
        <w:t xml:space="preserve">. </w:t>
      </w:r>
      <w:sdt>
        <w:sdtPr>
          <w:tag w:val="MENDELEY_CITATION_v3_eyJjaXRhdGlvbklEIjoiTUVOREVMRVlfQ0lUQVRJT05fMjE0MzM3MmMtZTlkMS00OThlLWJjNjEtZTE3MDYyZTgwOGJkIiwicHJvcGVydGllcyI6eyJub3RlSW5kZXgiOjB9LCJpc0VkaXRlZCI6ZmFsc2UsIm1hbnVhbE92ZXJyaWRlIjp7ImlzTWFudWFsbHlPdmVycmlkZGVuIjp0cnVlLCJjaXRlcHJvY1RleHQiOiIoQmlkZGlzcyBldCBhbC4sIDIwMDcpIiwibWFudWFsT3ZlcnJpZGVUZXh0IjoiQmlkZGlzcyBldCBhbC4sICgyMDA3KS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fV19"/>
          <w:id w:val="253866708"/>
          <w:placeholder>
            <w:docPart w:val="DefaultPlaceholder_-1854013440"/>
          </w:placeholder>
        </w:sdtPr>
        <w:sdtContent>
          <w:r>
            <w:rPr/>
          </w:r>
          <w:r>
            <w:rPr>
              <w:color w:val="000000"/>
            </w:rPr>
            <w:t>Biddiss et al., (2007)</w:t>
          </w:r>
        </w:sdtContent>
      </w:sdt>
      <w:r>
        <w:rPr/>
        <w:t xml:space="preserve"> identificam o peso, o conforto e o controlo como </w:t>
      </w:r>
      <w:r>
        <w:rPr/>
        <w:t>prioridad</w:t>
      </w:r>
      <w:r>
        <w:rPr>
          <w:rFonts w:eastAsia="Times New Roman"/>
        </w:rPr>
        <w:t>Fink &amp; Diamond,( 2023)</w:t>
      </w:r>
      <w:r>
        <w:rPr/>
        <w:t xml:space="preserve">lizadores, enquanto </w:t>
      </w:r>
      <w:sdt>
        <w:sdtPr>
          <w:tag w:val="MENDELEY_CITATION_v3_eyJjaXRhdGlvbklEIjoiTUVOREVMRVlfQ0lUQVRJT05fZTJkNTcxMWMtMjlkYy00ZTAwLTllYmMtOWVhM2RjNGJlYTIwIiwicHJvcGVydGllcyI6eyJub3RlSW5kZXgiOjB9LCJpc0VkaXRlZCI6ZmFsc2UsIm1hbnVhbE92ZXJyaWRlIjp7ImlzTWFudWFsbHlPdmVycmlkZGVuIjp0cnVlLCJjaXRlcHJvY1RleHQiOiIoRmluayAmIzM4OyBEaWFtb25kLCAyMDIzKSIsIm1hbnVhbE92ZXJyaWRlVGV4dCI6IkZpbmsgJiBEaWFtb25kLCgg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
          <w:id w:val="-1613899375"/>
          <w:placeholder>
            <w:docPart w:val="DefaultPlaceholder_-1854013440"/>
          </w:placeholder>
        </w:sdtPr>
        <w:sdtContent>
          <w:r>
            <w:rPr/>
          </w:r>
          <w:r>
            <w:rPr>
              <w:rFonts w:eastAsia="Times New Roman"/>
              <w:color w:val="000000"/>
            </w:rPr>
            <w:t>Fink &amp; Diamond,( 2023)</w:t>
          </w:r>
        </w:sdtContent>
      </w:sdt>
      <w:r>
        <w:rPr/>
        <w:t xml:space="preserve"> destacam o ajuste do encaixe, o controlo, o peso, a facilidade de reparação e a estética entre os aspetos a considerar na escolha e no acompanhamento da prótese. Nesta investigação, estas preocupações foram convertidas em requisitos de referência para o processo de </w:t>
      </w:r>
      <w:r>
        <w:rPr>
          <w:i/>
          <w:iCs/>
        </w:rPr>
        <w:t>design</w:t>
      </w:r>
      <w:r>
        <w:rPr/>
        <w:t>. A configuração dimensional, a visualização, a escolha formal e cromática, a edição dos parâmetros e a possibilidade de aceitar, alterar ou rejeitar sugestões de IA respondem concretamente a esses requisitos. Os ensaios confirmaram a presença e o funcionamento técnico destes mecanismos, mas não mediram os seus efeitos no conforto percebido, na aceitação ou na utilização continuada.</w:t>
      </w:r>
    </w:p>
    <w:p>
      <w:pPr>
        <w:pStyle w:val="TextoNormal-IPCA"/>
        <w:rPr/>
      </w:pPr>
      <w:r>
        <w:rPr/>
        <w:t>Os resultados podem ser interpretados em três níveis. No plano técnico, demonstrou-se a capacidade de configurar dimensões, controlar parâmetros, gerar e exportar geometrias e preparar variantes para fabrico. Observou-se a materialização das peças e compararam-se as dimensões X, Y e Z das palmas com as malhas. Dado existir uma leitura por eixo e por peça, a interpretação dimensional permanece descritiva e não inclui uma estimativa da incerteza; a montagem e a articulação também ficaram fora do âmbito avaliado. O conforto, a usabilidade com participantes, a adequação funcional em utilização, a aceitação, a dignidade e a autonomia são efeitos potencialmente decorrentes das decisões de projeto e cuja relevância é sustentada pela literatura, mas que ainda não foram confirmados junto de utilizadores.</w:t>
      </w:r>
    </w:p>
    <w:p>
      <w:pPr>
        <w:pStyle w:val="TextoNormal-IPCA"/>
        <w:rPr/>
      </w:pPr>
      <w:r>
        <w:rPr/>
        <w:t>O principal resultado metodológico é a sequência de controlo constituída pelo esquema de parâmetros, limites, filtragem de campos, referência populacional, execução em OpenSCAD/</w:t>
      </w:r>
      <w:r>
        <w:rPr>
          <w:i/>
          <w:iCs/>
        </w:rPr>
        <w:t>WebAssembly</w:t>
      </w:r>
      <w:r>
        <w:rPr/>
        <w:t xml:space="preserve">, exportação, preparação e impressão. As correções da correspondência populacional, da escala e da lateralidade mostram que o conhecimento sobre o projeto resultou da construção, do ensaio e da reformulação do artefacto, em coerência com </w:t>
      </w:r>
      <w:r>
        <w:rPr>
          <w:i/>
          <w:iCs/>
        </w:rPr>
        <w:t>Research Through Design</w:t>
      </w:r>
      <w:r>
        <w:rPr/>
        <w:t>. Esta sequência permite localizar falhas técnicas e explicitar os limites da evidência produzida.</w:t>
      </w:r>
    </w:p>
    <w:p>
      <w:pPr>
        <w:pStyle w:val="TextoNormal-IPCA"/>
        <w:rPr/>
      </w:pPr>
      <w:r>
        <w:rPr/>
        <w:t>A comparação com as lacunas sintetizadas na Tabela 3 delimita a interpretação do funcionamento do protótipo e evita que este seja entendido como uma resposta indistinta a problemas de natureza clínica, experiencial e socioeconómica. A Tabela 30 retoma o mesmo quadro e confronta cada requisito selecionado com os resultados observados.</w:t>
      </w:r>
    </w:p>
    <w:p>
      <w:pPr>
        <w:pStyle w:val="TextoNormal-IPCA"/>
        <w:keepNext w:val="true"/>
        <w:ind w:hanging="0"/>
        <w:rPr/>
      </w:pPr>
      <w:r>
        <w:rPr/>
      </w:r>
    </w:p>
    <w:p>
      <w:pPr>
        <w:pStyle w:val="Caption"/>
        <w:rPr/>
      </w:pPr>
      <w:bookmarkStart w:id="180" w:name="_Toc235562553"/>
      <w:r>
        <w:rPr/>
        <w:t xml:space="preserve">Tabela </w:t>
      </w:r>
      <w:r>
        <w:rPr/>
        <w:fldChar w:fldCharType="begin"/>
      </w:r>
      <w:r>
        <w:rPr/>
        <w:instrText xml:space="preserve"> SEQ Tabela \* ARABIC </w:instrText>
      </w:r>
      <w:r>
        <w:rPr/>
        <w:fldChar w:fldCharType="separate"/>
      </w:r>
      <w:r>
        <w:rPr/>
        <w:t>30</w:t>
      </w:r>
      <w:r>
        <w:rPr/>
        <w:fldChar w:fldCharType="end"/>
      </w:r>
      <w:r>
        <w:rPr/>
        <w:t>— Discussão dos resultados face às lacunas selecionadas do estado da arte</w:t>
      </w:r>
      <w:bookmarkEnd w:id="180"/>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37"/>
        <w:gridCol w:w="2663"/>
        <w:gridCol w:w="2250"/>
        <w:gridCol w:w="2250"/>
      </w:tblGrid>
      <w:tr>
        <w:trPr>
          <w:tblHeader w:val="true"/>
          <w:cantSplit/>
        </w:trPr>
        <w:tc>
          <w:tcPr>
            <w:tcW w:w="1837"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Lacuna e requisito selecionado</w:t>
            </w:r>
          </w:p>
        </w:tc>
        <w:tc>
          <w:tcPr>
            <w:tcW w:w="266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Aspetos não avaliados</w:t>
            </w:r>
          </w:p>
        </w:tc>
      </w:tr>
      <w:tr>
        <w:trPr>
          <w:cantSplit/>
        </w:trPr>
        <w:tc>
          <w:tcPr>
            <w:tcW w:w="18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Validação empírica: tornar verificável a cadeia técnica</w:t>
            </w:r>
          </w:p>
        </w:tc>
        <w:tc>
          <w:tcPr>
            <w:tcW w:w="26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 xml:space="preserve">O estudo documenta a relação entre dados de entrada, decisões de </w:t>
            </w:r>
            <w:r>
              <w:rPr>
                <w:i/>
                <w:iCs/>
                <w:sz w:val="20"/>
                <w:szCs w:val="20"/>
              </w:rPr>
              <w:t>design</w:t>
            </w:r>
            <w:r>
              <w:rPr>
                <w:sz w:val="20"/>
                <w:szCs w:val="20"/>
              </w:rPr>
              <w:t xml:space="preserve"> e artefacto produzido, mantendo-se no domínio de uma avaliação técnica preliminar. Esta delimitação é coerente com a literatura sobre próteses do membro superior, que identifica a predominância de demonstrações de viabilidade, amostras reduzidas, métodos de avaliação heterogéneos e escassez de dados sobre utilização quotidiana </w:t>
            </w:r>
            <w:sdt>
              <w:sdtPr>
                <w:tag w:val="MENDELEY_CITATION_v3_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"/>
                <w:id w:val="1861774592"/>
                <w:placeholder>
                  <w:docPart w:val="DefaultPlaceholder_-1854013440"/>
                </w:placeholder>
              </w:sdtPr>
              <w:sdtContent>
                <w:r>
                  <w:rPr>
                    <w:sz w:val="20"/>
                    <w:szCs w:val="20"/>
                  </w:rPr>
                </w:r>
                <w:r>
                  <w:rPr>
                    <w:color w:val="000000"/>
                    <w:sz w:val="20"/>
                    <w:szCs w:val="20"/>
                  </w:rPr>
                  <w:t>(Chadwell et al., 2020; Diment et al., 2018; Jones et al., 2023)</w:t>
                </w:r>
              </w:sdtContent>
            </w:sdt>
            <w:r>
              <w:rPr>
                <w:sz w:val="20"/>
                <w:szCs w:val="20"/>
              </w:rPr>
              <w:t>.</w:t>
            </w:r>
          </w:p>
          <w:p>
            <w:pPr>
              <w:pStyle w:val="TextoNormal-IPCA"/>
              <w:ind w:hanging="0"/>
              <w:rPr>
                <w:sz w:val="20"/>
                <w:szCs w:val="20"/>
              </w:rPr>
            </w:pPr>
            <w:r>
              <w:rPr>
                <w:sz w:val="20"/>
                <w:szCs w:val="20"/>
              </w:rPr>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demonstra eficácia, segurança, utilização quotidiana ou evolução longitudinal</w:t>
            </w:r>
          </w:p>
        </w:tc>
      </w:tr>
      <w:tr>
        <w:trPr>
          <w:cantSplit/>
        </w:trPr>
        <w:tc>
          <w:tcPr>
            <w:tcW w:w="18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Necessidades e métricas: separar mecanismos de efeitos humanos</w:t>
            </w:r>
          </w:p>
        </w:tc>
        <w:tc>
          <w:tcPr>
            <w:tcW w:w="26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 xml:space="preserve">A separação evita usar indicadores internos como substitutos de conforto, satisfação ou qualidade de vida, respondendo ao desalinhamento discutido em revisões sobre próteses dos membros superior e inferior </w:t>
            </w:r>
            <w:sdt>
              <w:sdtPr>
                <w:tag w:val="MENDELEY_CITATION_v3_eyJjaXRhdGlvbklEIjoiTUVOREVMRVlfQ0lUQVRJT05fNWU0M2NiMmItMTIwYy00YmMwLWJkMTctMjI0NjhmZTRlN2Fh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
                <w:id w:val="507258677"/>
                <w:placeholder>
                  <w:docPart w:val="DefaultPlaceholder_-1854013440"/>
                </w:placeholder>
              </w:sdtPr>
              <w:sdtContent>
                <w:r>
                  <w:rPr>
                    <w:sz w:val="20"/>
                    <w:szCs w:val="20"/>
                  </w:rPr>
                </w:r>
                <w:r>
                  <w:rPr>
                    <w:color w:val="000000"/>
                    <w:sz w:val="20"/>
                    <w:szCs w:val="20"/>
                  </w:rPr>
                  <w:t>(Cordella et al., 2016; Manz et al., 2022)</w:t>
                </w:r>
              </w:sdtContent>
            </w:sdt>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estabelece relações empíricas entre medidas objetivas, experiência e qualidade de vida</w:t>
            </w:r>
          </w:p>
        </w:tc>
      </w:tr>
      <w:tr>
        <w:trPr>
          <w:cantSplit/>
        </w:trPr>
        <w:tc>
          <w:tcPr>
            <w:tcW w:w="18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Interface corpo–prótese: relacionar dados, parâmetros e geometria</w:t>
            </w:r>
          </w:p>
        </w:tc>
        <w:tc>
          <w:tcPr>
            <w:tcW w:w="26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 xml:space="preserve">O protótipo explicita parte da tradução dimensional que antecede o ajuste, mas não resolve os problemas de encaixe e conforto salientados por </w:t>
            </w:r>
            <w:sdt>
              <w:sdtPr>
                <w:tag w:val="MENDELEY_CITATION_v3_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"/>
                <w:id w:val="-784574161"/>
                <w:placeholder>
                  <w:docPart w:val="DefaultPlaceholder_-1854013440"/>
                </w:placeholder>
              </w:sdtPr>
              <w:sdtContent>
                <w:r>
                  <w:rPr>
                    <w:sz w:val="20"/>
                    <w:szCs w:val="20"/>
                  </w:rPr>
                </w:r>
                <w:r>
                  <w:rPr>
                    <w:color w:val="000000"/>
                    <w:sz w:val="20"/>
                    <w:szCs w:val="20"/>
                  </w:rPr>
                  <w:t>Alluhydan et al. (2023</w:t>
                </w:r>
              </w:sdtContent>
            </w:sdt>
            <w:r>
              <w:rPr>
                <w:sz w:val="20"/>
                <w:szCs w:val="20"/>
              </w:rPr>
              <w:t>),</w:t>
            </w:r>
            <w:r>
              <w:rPr>
                <w:sz w:val="20"/>
                <w:szCs w:val="20"/>
              </w:rPr>
              <w:t xml:space="preserve"> </w:t>
            </w:r>
            <w:sdt>
              <w:sdtPr>
                <w:tag w:val="MENDELEY_CITATION_v3_eyJjaXRhdGlvbklEIjoiTUVOREVMRVlfQ0lUQVRJT05fMTk0MDQ4NjMtZDgzNy00M2MxLWIyYmEtZGUyMTJhMzYwZTJiIiwicHJvcGVydGllcyI6eyJub3RlSW5kZXgiOjB9LCJpc0VkaXRlZCI6ZmFsc2UsIm1hbnVhbE92ZXJyaWRlIjp7ImlzTWFudWFsbHlPdmVycmlkZGVuIjp0cnVlLCJjaXRlcHJvY1RleHQiOiIoQmFsZG9jayBldCBhbC4sIDIwMjMpIiwibWFudWFsT3ZlcnJpZGVUZXh0IjoiKEJhbGRvY2sgZXQgYWwuICgyMDIzKSJ9LCJjaXRhdGlvbkl0ZW1zIjpb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UsInN1cHByZXNzLWF1dGhvciI6ZmFsc2UsImNvbXBvc2l0ZSI6ZmFsc2UsImF1dGhvci1vbmx5IjpmYWxzZX1dfQ=="/>
                <w:id w:val="339366282"/>
                <w:placeholder>
                  <w:docPart w:val="DefaultPlaceholder_-1854013440"/>
                </w:placeholder>
              </w:sdtPr>
              <w:sdtContent>
                <w:r>
                  <w:rPr>
                    <w:sz w:val="20"/>
                    <w:szCs w:val="20"/>
                  </w:rPr>
                </w:r>
                <w:r>
                  <w:rPr>
                    <w:color w:val="000000"/>
                    <w:sz w:val="20"/>
                    <w:szCs w:val="20"/>
                  </w:rPr>
                  <w:t>(Baldock et al. (2023)</w:t>
                </w:r>
              </w:sdtContent>
            </w:sdt>
            <w:r>
              <w:rPr>
                <w:sz w:val="20"/>
                <w:szCs w:val="20"/>
              </w:rPr>
              <w:t xml:space="preserve"> e</w:t>
            </w:r>
            <w:r>
              <w:rPr>
                <w:sz w:val="20"/>
                <w:szCs w:val="20"/>
              </w:rPr>
              <w:t xml:space="preserve"> </w:t>
            </w:r>
            <w:sdt>
              <w:sdtPr>
                <w:tag w:val="MENDELEY_CITATION_v3_eyJjaXRhdGlvbklEIjoiTUVOREVMRVlfQ0lUQVRJT05fZjdlNjc5MjItOTRiYS00NDUxLTk2MWEtYjQ5YzgwZjFiMDFkIiwicHJvcGVydGllcyI6eyJub3RlSW5kZXgiOjB9LCJpc0VkaXRlZCI6ZmFsc2UsIm1hbnVhbE92ZXJyaWRlIjp7ImlzTWFudWFsbHlPdmVycmlkZGVuIjp0cnVlLCJjaXRlcHJvY1RleHQiOiIoUmljaGFyZHNvbiAmIzM4OyBEaWxsb24sIDIwMTcpIiwibWFudWFsT3ZlcnJpZGVUZXh0IjoiKFJpY2hhcmRzb24gJiBEaWxsb24sICgyMDE3KSJ9LCJjaXRhdGlvbkl0ZW1zIjpb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UsInN1cHByZXNzLWF1dGhvciI6ZmFsc2UsImNvbXBvc2l0ZSI6ZmFsc2UsImF1dGhvci1vbmx5IjpmYWxzZX1dfQ=="/>
                <w:id w:val="1966620176"/>
                <w:placeholder>
                  <w:docPart w:val="DefaultPlaceholder_-1854013440"/>
                </w:placeholder>
              </w:sdtPr>
              <w:sdtContent>
                <w:r>
                  <w:rPr>
                    <w:sz w:val="20"/>
                    <w:szCs w:val="20"/>
                  </w:rPr>
                </w:r>
                <w:r>
                  <w:rPr>
                    <w:rFonts w:eastAsia="Times New Roman"/>
                    <w:color w:val="000000"/>
                    <w:sz w:val="20"/>
                  </w:rPr>
                  <w:t>(Richardson &amp; Dillon, (2017)</w:t>
                </w:r>
              </w:sdtContent>
            </w:sdt>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Sem medição do membro residual, contacto, pressão, conforto ou adequação anatómica individual.</w:t>
            </w:r>
          </w:p>
        </w:tc>
      </w:tr>
      <w:tr>
        <w:trPr>
          <w:cantSplit/>
        </w:trPr>
        <w:tc>
          <w:tcPr>
            <w:tcW w:w="18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Controlo e interação: preservar decisão humana na configuração</w:t>
            </w:r>
          </w:p>
        </w:tc>
        <w:tc>
          <w:tcPr>
            <w:tcW w:w="26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 xml:space="preserve">O resultado delimita a interação com o configurador, sem constituir avanço nas estratégias de controlo da prótese discutidas por </w:t>
            </w:r>
            <w:sdt>
              <w:sdtPr>
                <w:tag w:val="MENDELEY_CITATION_v3_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"/>
                <w:id w:val="921684346"/>
                <w:placeholder>
                  <w:docPart w:val="DefaultPlaceholder_-1854013440"/>
                </w:placeholder>
              </w:sdtPr>
              <w:sdtContent>
                <w:r>
                  <w:rPr>
                    <w:sz w:val="20"/>
                    <w:szCs w:val="20"/>
                  </w:rPr>
                </w:r>
                <w:r>
                  <w:rPr>
                    <w:color w:val="000000"/>
                    <w:sz w:val="20"/>
                    <w:szCs w:val="20"/>
                  </w:rPr>
                  <w:t>Domínguez-Ruiz et al. (2023)</w:t>
                </w:r>
              </w:sdtContent>
            </w:sdt>
            <w:r>
              <w:rPr>
                <w:sz w:val="20"/>
                <w:szCs w:val="20"/>
              </w:rPr>
              <w:t xml:space="preserve"> e </w:t>
            </w:r>
            <w:sdt>
              <w:sdtPr>
                <w:tag w:val="MENDELEY_CITATION_v3_eyJjaXRhdGlvbklEIjoiTUVOREVMRVlfQ0lUQVRJT05fODc3NTM3YmMtYjc4Mi00ZWI0LThiMmYtM2RkZWZlNmE1MmZmIiwicHJvcGVydGllcyI6eyJub3RlSW5kZXgiOjB9LCJpc0VkaXRlZCI6ZmFsc2UsIm1hbnVhbE92ZXJyaWRlIjp7ImlzTWFudWFsbHlPdmVycmlkZGVuIjp0cnVlLCJjaXRlcHJvY1RleHQiOiIoTWFyaW5lbGxpIGV0IGFsLiwgMjAyMykiLCJtYW51YWxPdmVycmlkZVRleHQiOiJNYXJpbmVsbGkgZXQgYWwuICgyMDIzKSJ9LCJjaXRhdGlvbkl0ZW1zIjpb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LCJzdXBwcmVzcy1hdXRob3IiOmZhbHNlLCJjb21wb3NpdGUiOmZhbHNlLCJhdXRob3Itb25seSI6ZmFsc2V9XX0="/>
                <w:id w:val="945193506"/>
                <w:placeholder>
                  <w:docPart w:val="DefaultPlaceholder_-1854013440"/>
                </w:placeholder>
              </w:sdtPr>
              <w:sdtContent>
                <w:r>
                  <w:rPr>
                    <w:sz w:val="20"/>
                    <w:szCs w:val="20"/>
                  </w:rPr>
                </w:r>
                <w:r>
                  <w:rPr>
                    <w:color w:val="000000"/>
                    <w:sz w:val="20"/>
                    <w:szCs w:val="20"/>
                  </w:rPr>
                  <w:t>Marinelli et al. (2023)</w:t>
                </w:r>
              </w:sdtContent>
            </w:sdt>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avalia aprendizagem, esforço cognitivo, controlo em uso ou desempenho funcional</w:t>
            </w:r>
          </w:p>
        </w:tc>
      </w:tr>
      <w:tr>
        <w:trPr>
          <w:cantSplit/>
        </w:trPr>
        <w:tc>
          <w:tcPr>
            <w:tcW w:w="18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rFonts w:eastAsia="Calibri"/>
                <w:sz w:val="20"/>
                <w:szCs w:val="20"/>
              </w:rPr>
              <w:t xml:space="preserve">Acesso e manutenção: explorar uma arquitetura </w:t>
            </w:r>
            <w:r>
              <w:rPr>
                <w:rFonts w:eastAsia="Calibri"/>
                <w:i/>
                <w:iCs/>
                <w:sz w:val="20"/>
                <w:szCs w:val="20"/>
              </w:rPr>
              <w:t>web</w:t>
            </w:r>
            <w:r>
              <w:rPr>
                <w:rFonts w:eastAsia="Calibri"/>
                <w:sz w:val="20"/>
                <w:szCs w:val="20"/>
              </w:rPr>
              <w:t xml:space="preserve"> e aberta</w:t>
            </w:r>
          </w:p>
        </w:tc>
        <w:tc>
          <w:tcPr>
            <w:tcW w:w="26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rFonts w:eastAsia="Calibri"/>
                <w:sz w:val="20"/>
                <w:szCs w:val="20"/>
              </w:rPr>
              <w:t xml:space="preserve">A arquitetura reduz algumas dependências de </w:t>
            </w:r>
            <w:r>
              <w:rPr>
                <w:rFonts w:eastAsia="Calibri"/>
                <w:i/>
                <w:iCs/>
                <w:sz w:val="20"/>
                <w:szCs w:val="20"/>
              </w:rPr>
              <w:t>software</w:t>
            </w:r>
            <w:r>
              <w:rPr>
                <w:rFonts w:eastAsia="Calibri"/>
                <w:sz w:val="20"/>
                <w:szCs w:val="20"/>
              </w:rPr>
              <w:t xml:space="preserve"> no percurso examinado, mas não demonstra redução de custos ou melhoria de acesso nos contextos descritos por </w:t>
            </w:r>
            <w:sdt>
              <w:sdtPr>
                <w:tag w:val="MENDELEY_CITATION_v3_eyJjaXRhdGlvbklEIjoiTUVOREVMRVlfQ0lUQVRJT05fNWExY2I1ZTgtNTE0YS00ZWI0LThmOWItZmZjZjA1NzZhYzBkIiwicHJvcGVydGllcyI6eyJub3RlSW5kZXgiOjB9LCJpc0VkaXRlZCI6ZmFsc2UsIm1hbnVhbE92ZXJyaWRlIjp7ImlzTWFudWFsbHlPdmVycmlkZGVuIjpmYWxzZSwiY2l0ZXByb2NUZXh0IjoiKEFuZHJ5c2VrLCAyMDEw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LCJzdXBwcmVzcy1hdXRob3IiOmZhbHNlLCJjb21wb3NpdGUiOmZhbHNlLCJhdXRob3Itb25seSI6ZmFsc2V9XX0="/>
                <w:id w:val="548345863"/>
                <w:placeholder>
                  <w:docPart w:val="DefaultPlaceholder_-1854013440"/>
                </w:placeholder>
              </w:sdtPr>
              <w:sdtContent>
                <w:r>
                  <w:rPr>
                    <w:rFonts w:eastAsia="Calibri"/>
                    <w:sz w:val="20"/>
                    <w:szCs w:val="20"/>
                  </w:rPr>
                </w:r>
                <w:r>
                  <w:rPr>
                    <w:rFonts w:eastAsia="Calibri"/>
                    <w:color w:val="000000"/>
                    <w:sz w:val="20"/>
                    <w:szCs w:val="20"/>
                  </w:rPr>
                  <w:t>(Andrysek, 2010)</w:t>
                </w:r>
              </w:sdtContent>
            </w:sdt>
            <w:r>
              <w:rPr>
                <w:rFonts w:eastAsia="Calibri"/>
                <w:sz w:val="20"/>
                <w:szCs w:val="20"/>
              </w:rPr>
              <w:t xml:space="preserve">, </w:t>
            </w:r>
            <w:sdt>
              <w:sdtPr>
                <w:tag w:val="MENDELEY_CITATION_v3_eyJjaXRhdGlvbklEIjoiTUVOREVMRVlfQ0lUQVRJT05fZjVkM2NiM2YtZTRjZS00OGJkLThkZTMtYzFkZDhjOGQ3YmExIiwicHJvcGVydGllcyI6eyJub3RlSW5kZXgiOjB9LCJpc0VkaXRlZCI6ZmFsc2UsIm1hbnVhbE92ZXJyaWRlIjp7ImlzTWFudWFsbHlPdmVycmlkZGVuIjp0cnVlLCJjaXRlcHJvY1RleHQiOiIoQmF1bWFubiAmIzM4OyBNYXJpYSwgMjAyMykiLCJtYW51YWxPdmVycmlkZVRleHQiOiJCYXVtYW5uICYgTWFyaWEgKDIwMjMpIn0sImNpdGF0aW9uSXRlbXMiOlt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Swic3VwcHJlc3MtYXV0aG9yIjpmYWxzZSwiY29tcG9zaXRlIjpmYWxzZSwiYXV0aG9yLW9ubHkiOmZhbHNlfV19"/>
                <w:id w:val="1311375391"/>
                <w:placeholder>
                  <w:docPart w:val="DefaultPlaceholder_-1854013440"/>
                </w:placeholder>
              </w:sdtPr>
              <w:sdtContent>
                <w:r>
                  <w:rPr>
                    <w:rFonts w:eastAsia="Calibri"/>
                    <w:sz w:val="20"/>
                    <w:szCs w:val="20"/>
                  </w:rPr>
                </w:r>
                <w:r>
                  <w:rPr>
                    <w:rFonts w:eastAsia="Times New Roman"/>
                    <w:color w:val="000000"/>
                    <w:sz w:val="20"/>
                  </w:rPr>
                  <w:t>Baumann &amp; Maria (2023)</w:t>
                </w:r>
              </w:sdtContent>
            </w:sdt>
            <w:r>
              <w:rPr>
                <w:rFonts w:eastAsia="Calibri"/>
                <w:sz w:val="20"/>
                <w:szCs w:val="20"/>
              </w:rPr>
              <w:t xml:space="preserve"> e </w:t>
            </w:r>
            <w:sdt>
              <w:sdtPr>
                <w:tag w:val="MENDELEY_CITATION_v3_eyJjaXRhdGlvbklEIjoiTUVOREVMRVlfQ0lUQVRJT05fZjg4MGFmZjEtNTgwYS00YWFkLTg5YmYtYjI3NGZmNjFhZGFiIiwicHJvcGVydGllcyI6eyJub3RlSW5kZXgiOjB9LCJpc0VkaXRlZCI6ZmFsc2UsIm1hbnVhbE92ZXJyaWRlIjp7ImlzTWFudWFsbHlPdmVycmlkZGVuIjp0cnVlLCJjaXRlcHJvY1RleHQiOiIoU2VndXJhIGV0IGFsLiwgMjAyNCkiLCJtYW51YWxPdmVycmlkZVRleHQiOiJTZWd1cmEgZXQgYWwuICgyMDI0KS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LCJzdXBwcmVzcy1hdXRob3IiOmZhbHNlLCJjb21wb3NpdGUiOmZhbHNlLCJhdXRob3Itb25seSI6ZmFsc2V9XX0="/>
                <w:id w:val="-63723412"/>
                <w:placeholder>
                  <w:docPart w:val="DefaultPlaceholder_-1854013440"/>
                </w:placeholder>
              </w:sdtPr>
              <w:sdtContent>
                <w:r>
                  <w:rPr>
                    <w:rFonts w:eastAsia="Calibri"/>
                    <w:sz w:val="20"/>
                    <w:szCs w:val="20"/>
                  </w:rPr>
                </w:r>
                <w:r>
                  <w:rPr>
                    <w:rFonts w:eastAsia="Calibri"/>
                    <w:color w:val="000000"/>
                    <w:sz w:val="20"/>
                    <w:szCs w:val="20"/>
                  </w:rPr>
                  <w:t>Segura et al. (2024)</w:t>
                </w:r>
              </w:sdtContent>
            </w:sdt>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foram avaliados custos totais, conectividade, competências, reparação, manutenção ou implantação</w:t>
            </w:r>
          </w:p>
        </w:tc>
      </w:tr>
      <w:tr>
        <w:trPr>
          <w:cantSplit/>
        </w:trPr>
        <w:tc>
          <w:tcPr>
            <w:tcW w:w="18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Participação e registo: documentar decisões e iterações</w:t>
            </w:r>
          </w:p>
        </w:tc>
        <w:tc>
          <w:tcPr>
            <w:tcW w:w="26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rFonts w:eastAsia="Calibri"/>
                <w:sz w:val="20"/>
                <w:szCs w:val="20"/>
              </w:rPr>
              <w:t xml:space="preserve">O estudo conserva versões, protocolos, falhas, correções, inventários e anexos ligados aos ciclos de </w:t>
            </w:r>
            <w:r>
              <w:rPr>
                <w:rFonts w:eastAsia="Calibri"/>
                <w:i/>
                <w:iCs/>
                <w:sz w:val="20"/>
                <w:szCs w:val="20"/>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 xml:space="preserve">A documentação torna o percurso passível de revisão, mas não substitui o envolvimento de utilizadores. </w:t>
            </w:r>
            <w:sdt>
              <w:sdtPr>
                <w:tag w:val="MENDELEY_CITATION_v3_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"/>
                <w:id w:val="246160635"/>
                <w:placeholder>
                  <w:docPart w:val="DefaultPlaceholder_-1854013440"/>
                </w:placeholder>
              </w:sdtPr>
              <w:sdtContent>
                <w:r>
                  <w:rPr>
                    <w:sz w:val="20"/>
                    <w:szCs w:val="20"/>
                  </w:rPr>
                </w:r>
                <w:r>
                  <w:rPr>
                    <w:color w:val="000000"/>
                    <w:sz w:val="20"/>
                    <w:szCs w:val="20"/>
                  </w:rPr>
                  <w:t>(Walker et al., 2020)</w:t>
                </w:r>
              </w:sdtContent>
            </w:sdt>
            <w:r>
              <w:rPr>
                <w:sz w:val="20"/>
                <w:szCs w:val="20"/>
              </w:rPr>
              <w:t xml:space="preserve"> recomendam metodologias qualitativas e maior consulta ou </w:t>
            </w:r>
            <w:r>
              <w:rPr>
                <w:i/>
                <w:iCs/>
                <w:sz w:val="20"/>
                <w:szCs w:val="20"/>
              </w:rPr>
              <w:t>co-design</w:t>
            </w:r>
            <w:r>
              <w:rPr>
                <w:sz w:val="20"/>
                <w:szCs w:val="20"/>
              </w:rPr>
              <w:t xml:space="preserve"> para integrar as perspetivas e os contextos de utilização no desenvolvimento de próteses do membro superior.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rFonts w:eastAsia="Calibri"/>
                <w:sz w:val="20"/>
                <w:szCs w:val="20"/>
              </w:rPr>
              <w:t xml:space="preserve">Não houve </w:t>
            </w:r>
            <w:r>
              <w:rPr>
                <w:rFonts w:eastAsia="Calibri"/>
                <w:i/>
                <w:iCs/>
                <w:sz w:val="20"/>
                <w:szCs w:val="20"/>
              </w:rPr>
              <w:t>co-design</w:t>
            </w:r>
            <w:r>
              <w:rPr>
                <w:rFonts w:eastAsia="Calibri"/>
                <w:sz w:val="20"/>
                <w:szCs w:val="20"/>
              </w:rPr>
              <w:t>, teste de usabilidade, entrevistas ou observação com participantes</w:t>
            </w:r>
          </w:p>
        </w:tc>
      </w:tr>
    </w:tbl>
    <w:p>
      <w:pPr>
        <w:pStyle w:val="TextoNormal-IPCA"/>
        <w:rPr/>
      </w:pPr>
      <w:r>
        <w:rPr/>
      </w:r>
    </w:p>
    <w:p>
      <w:pPr>
        <w:pStyle w:val="Heading2"/>
        <w:numPr>
          <w:ilvl w:val="0"/>
          <w:numId w:val="0"/>
        </w:numPr>
        <w:ind w:hanging="0" w:start="0"/>
        <w:rPr/>
      </w:pPr>
      <w:bookmarkStart w:id="181" w:name="_Toc235565016"/>
      <w:r>
        <w:rPr/>
        <w:t>Capítulo 9 — Conclusões e Trabalhos Futuros</w:t>
      </w:r>
      <w:bookmarkEnd w:id="181"/>
    </w:p>
    <w:p>
      <w:pPr>
        <w:pStyle w:val="TextoNormal-IPCA"/>
        <w:keepNext w:val="true"/>
        <w:rPr/>
      </w:pPr>
      <w:r>
        <w:rPr/>
      </w:r>
    </w:p>
    <w:p>
      <w:pPr>
        <w:pStyle w:val="Heading3"/>
        <w:numPr>
          <w:ilvl w:val="0"/>
          <w:numId w:val="0"/>
        </w:numPr>
        <w:ind w:hanging="0" w:start="0"/>
        <w:rPr/>
      </w:pPr>
      <w:bookmarkStart w:id="182" w:name="_Toc235565017"/>
      <w:r>
        <w:rPr/>
        <w:t>9.1 Resposta ao problema e às perguntas de investigação</w:t>
      </w:r>
      <w:bookmarkEnd w:id="182"/>
    </w:p>
    <w:p>
      <w:pPr>
        <w:pStyle w:val="TextoNormal-IPCA"/>
        <w:keepNext w:val="true"/>
        <w:rPr/>
      </w:pPr>
      <w:r>
        <w:rPr/>
      </w:r>
    </w:p>
    <w:p>
      <w:pPr>
        <w:pStyle w:val="TextoNormal-IPCA"/>
        <w:rPr/>
      </w:pPr>
      <w:r>
        <w:rPr/>
        <w:t>A investigação desenvolveu um protótipo de plataforma para configurar modelos de prótese de membro superior a partir de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 xml:space="preserve">Quanto à primeira pergunta de investigação, o </w:t>
      </w:r>
      <w:r>
        <w:rPr>
          <w:i/>
          <w:iCs/>
        </w:rPr>
        <w:t>design</w:t>
      </w:r>
      <w:r>
        <w:rPr/>
        <w:t xml:space="preserve"> paramétrico e a IA apoiaram parcialmente a personalização, com funções distintas no processo de configuração. O esquema paramétrico definiu nomes, tipos, intervalos e valores correntes; a IA propôs conjuntos iniciais de parâmetros; as regras determinísticas controlaram a lateralidade e a geração geométrica; a decisão final permaneceu sob responsabilidade humana. A alteração controlada das dimensões, a visualização do modelo e a revisão das sugestões constituíram mecanismos orientados para o ajuste, a acessibilidade do processo e o controlo das decisões de projeto.</w:t>
      </w:r>
    </w:p>
    <w:p>
      <w:pPr>
        <w:pStyle w:val="TextoNormal-IPCA"/>
        <w:rPr/>
      </w:pPr>
      <w:r>
        <w:rPr/>
        <w:t xml:space="preserve">Quanto à segunda pergunta de investigação, a combinação de ciclos de </w:t>
      </w:r>
      <w:r>
        <w:rPr>
          <w:rStyle w:val="Emphasis"/>
          <w:i/>
          <w:iC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numa condição comum; a análise dimensional reuniu 36 extensões X/Y/Z das malhas e 72 medições das palmas impressas em PLA e PETG. Estes métodos não avaliaram, contudo, a eficácia protésica, a usabilidade com participantes ou a durabilidade. A comparação dimensional permanece descritiva e não estima a incerteza de medição.</w:t>
      </w:r>
    </w:p>
    <w:p>
      <w:pPr>
        <w:pStyle w:val="TextoNormal-IPCA"/>
        <w:rPr/>
      </w:pPr>
      <w:r>
        <w:rPr/>
        <w:t xml:space="preserve">Quanto à terceira pergunta de investigação, o </w:t>
      </w:r>
      <w:r>
        <w:rPr>
          <w:i/>
          <w:iCs/>
        </w:rPr>
        <w:t>design</w:t>
      </w:r>
      <w:r>
        <w:rPr/>
        <w:t xml:space="preserve"> industrial conciliou parcialmente os requisitos anatómicos, funcionais, ergonómicos, estéticos e simbólicos mediante a organização dos parâmetros, a definição de permissões, a apresentação da geometria, as opções formais e cromáticas e a sequência entre configuração, visualização, exportação e preparação para fabrico. A manutenção do controlo humano e a possibilidade de aceitar, alterar ou rejeitar sugestões foram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Normal"/>
        <w:rPr>
          <w:i/>
          <w:iCs/>
          <w:color w:themeColor="text2" w:val="0E2841"/>
          <w:sz w:val="18"/>
          <w:szCs w:val="18"/>
        </w:rPr>
      </w:pPr>
      <w:r>
        <w:rPr>
          <w:i/>
          <w:iCs/>
          <w:color w:themeColor="text2" w:val="0E2841"/>
          <w:sz w:val="18"/>
          <w:szCs w:val="18"/>
        </w:rPr>
      </w:r>
      <w:r>
        <w:br w:type="page"/>
      </w:r>
    </w:p>
    <w:p>
      <w:pPr>
        <w:pStyle w:val="Caption"/>
        <w:spacing w:before="0" w:after="60"/>
        <w:contextualSpacing/>
        <w:rPr/>
      </w:pPr>
      <w:bookmarkStart w:id="183" w:name="_Toc235562554"/>
      <w:r>
        <w:rPr/>
        <w:t xml:space="preserve">Tabela </w:t>
      </w:r>
      <w:r>
        <w:rPr/>
        <w:fldChar w:fldCharType="begin"/>
      </w:r>
      <w:r>
        <w:rPr/>
        <w:instrText xml:space="preserve"> SEQ Tabela \* ARABIC </w:instrText>
      </w:r>
      <w:r>
        <w:rPr/>
        <w:fldChar w:fldCharType="separate"/>
      </w:r>
      <w:r>
        <w:rPr/>
        <w:t>31</w:t>
      </w:r>
      <w:r>
        <w:rPr/>
        <w:fldChar w:fldCharType="end"/>
      </w:r>
      <w:r>
        <w:rPr/>
        <w:t xml:space="preserve"> — Estado da resposta às perguntas de investigação aprovadas</w:t>
      </w:r>
      <w:bookmarkEnd w:id="183"/>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quanto aos mecanismos de projeto: a integração produziu um fluxo capaz de configurar, gerar, exportar e preparar variantes dos modelos estudados. Os dados não permitem concluir que essas variantes sejam mais adequadas do ponto de vista anatómico ou funcional,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relativas à interface, à parametrização e ao fabrico, mas não foi realizado um processo participativo. Por conseguinte, as hipóteses aprovadas permanecem parcialmente examinadas, não sendo apresentadas como integralmente confirmadas ou rejeitadas.</w:t>
      </w:r>
    </w:p>
    <w:p>
      <w:pPr>
        <w:pStyle w:val="Heading3"/>
        <w:numPr>
          <w:ilvl w:val="0"/>
          <w:numId w:val="0"/>
        </w:numPr>
        <w:ind w:hanging="0" w:start="0"/>
        <w:rPr/>
      </w:pPr>
      <w:bookmarkStart w:id="184" w:name="_Toc235565018"/>
      <w:r>
        <w:rPr/>
        <w:t>9.2 Contributos da investigação</w:t>
      </w:r>
      <w:bookmarkEnd w:id="184"/>
    </w:p>
    <w:p>
      <w:pPr>
        <w:pStyle w:val="TextoNormal-IPCA"/>
        <w:keepNext w:val="true"/>
        <w:rPr/>
      </w:pPr>
      <w:r>
        <w:rPr/>
      </w:r>
    </w:p>
    <w:p>
      <w:pPr>
        <w:pStyle w:val="TextoNormal-IPCA"/>
        <w:rPr/>
      </w:pPr>
      <w:r>
        <w:rPr/>
        <w:t>O contributo para o domínio do projeto consiste no protótipo integrado e na definição do respetivo fluxo: seleção do modelo, introdução ou sugestão de parâmetros, visualização, exportação e preparação para fabrico. A separação entre parâmetros antropométricos, parâmetros geométricos, escolhas de apresentação e lateralidade explicita a distribuição das decisões.</w:t>
      </w:r>
    </w:p>
    <w:p>
      <w:pPr>
        <w:pStyle w:val="TextoNormal-IPCA"/>
        <w:rPr/>
      </w:pPr>
      <w:r>
        <w:rPr/>
        <w:t>O contributo técnico consiste na integração de modelos OpenSCAD com uma configuração comum, execução no navegador, exportação STL/3MF, base antropométrica local e apoio de IA limitado pelo esquema ativo. As correções introduzidas no mecanismo de correspondência, na escala da palma no Paraglider, no limite mínimo no Phoenix e na lateralidade evidenciam problemas concretos e as soluções adotadas.</w:t>
      </w:r>
    </w:p>
    <w:p>
      <w:pPr>
        <w:pStyle w:val="TextoNormal-IPCA"/>
        <w:rPr/>
      </w:pPr>
      <w:r>
        <w:rPr/>
        <w:t xml:space="preserve">O contributo metodológico consiste na documentação dos ciclos de </w:t>
      </w:r>
      <w:r>
        <w:rPr>
          <w:i/>
          <w:iCs/>
        </w:rPr>
        <w:t>Research Through Design</w:t>
      </w:r>
      <w:r>
        <w:rPr/>
        <w:t xml:space="preserve"> que articulam situação, artefacto, ensaio, resultado e alteração. A análise sucessiva da resposta numérica, da geometria exportada, do projeto de preparação para impressão e da peça física revelou falhas que permaneceriam ocultas num único nível de análise.</w:t>
      </w:r>
    </w:p>
    <w:p>
      <w:pPr>
        <w:pStyle w:val="TextoNormal-IPCA"/>
        <w:rPr/>
      </w:pPr>
      <w:r>
        <w:rPr/>
        <w:t xml:space="preserve">O contributo para o conhecimento em </w:t>
      </w:r>
      <w:r>
        <w:rPr>
          <w:i/>
          <w:iCs/>
        </w:rPr>
        <w:t>design</w:t>
      </w:r>
      <w:r>
        <w:rPr/>
        <w:t xml:space="preserve"> industrial traduz-se em duas conclusões delimitadas. A personalização paramétrica depende da correspondência explícita entre fonte antropométrica, nome do parâmetro, regra geométrica e resultado material. Por sua vez, a IA é útil como apoio à configuração inicial quando as decisões críticas são protegidas por regras, limites e supervisão humana. Estas conclusões decorrem do protótipo e dos casos estudados; a sua transferência para outros modelos ou regiões corporais requer nova implementação e nova avaliação.</w:t>
      </w:r>
    </w:p>
    <w:p>
      <w:pPr>
        <w:pStyle w:val="Heading3"/>
        <w:numPr>
          <w:ilvl w:val="0"/>
          <w:numId w:val="0"/>
        </w:numPr>
        <w:ind w:hanging="0" w:start="0"/>
        <w:rPr/>
      </w:pPr>
      <w:bookmarkStart w:id="185" w:name="_Toc235565019"/>
      <w:r>
        <w:rPr/>
        <w:t>9.3 Limitações</w:t>
      </w:r>
      <w:bookmarkEnd w:id="185"/>
    </w:p>
    <w:p>
      <w:pPr>
        <w:pStyle w:val="TextoNormal-IPCA"/>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que se calculasse o erro face a um membro superior específico. A base antropométrica combina populações, idades, sexos, lados medidos e protocolos distintos; alguns países mencionados nos cenários não se encontram nela representados.</w:t>
      </w:r>
    </w:p>
    <w:p>
      <w:pPr>
        <w:pStyle w:val="TextoNormal-IPCA"/>
        <w:rPr/>
      </w:pPr>
      <w:r>
        <w:rPr/>
        <w:t>Os registos da IA correspondem a conjuntos finitos de execuções e a estados específicos do código. Não foi realizado um estudo estatístico com amostras extensas para cada cenário. O estado final da plataforma foi inspecionado e os dez ensaios unitários disponíveis foram concluídos.</w:t>
      </w:r>
    </w:p>
    <w:p>
      <w:pPr>
        <w:pStyle w:val="TextoNormal-IPCA"/>
        <w:rPr/>
      </w:pPr>
      <w:r>
        <w:rPr/>
        <w:t>A avaliação do fabrico combina quatro projetos de preparação digital para impressão 3D com configuração analisada, doze casos sob uma condição digital comum, inspeção das malhas, 72 medições dimensionais e registo fotográfico das peças existentes. O consumo de filamento e a massa são estimativas dos programas, não medições reais. Os valores dimensionais foram registados uma única vez por eixo e por peça, pelo que não permitem calcular a dispersão entre leituras nem a incerteza de medição. Também não foram realizados ensaios de carga, desgaste, conforto, segurança, montagem funcional completa ou utilização prolongada.</w:t>
      </w:r>
    </w:p>
    <w:p>
      <w:pPr>
        <w:pStyle w:val="TextoNormal-IPCA"/>
        <w:rPr/>
      </w:pPr>
      <w:r>
        <w:rPr/>
        <w:t>O estudo examinou em profundidade três modelos ativos. O Cyborg Beast está registado na plataforma, mas não integra a comparação geométrica principal. Os resultados relativos ao Flexy Beast, Paraglider Hand e UnLimbited Phoenix dependem das bibliotecas, dos intervalos e dos mecanismos de escala de cada modelo.</w:t>
      </w:r>
    </w:p>
    <w:p>
      <w:pPr>
        <w:pStyle w:val="Heading3"/>
        <w:numPr>
          <w:ilvl w:val="0"/>
          <w:numId w:val="0"/>
        </w:numPr>
        <w:ind w:hanging="0" w:start="0"/>
        <w:rPr/>
      </w:pPr>
      <w:bookmarkStart w:id="186" w:name="_Toc235565020"/>
      <w:r>
        <w:rPr/>
        <w:t>9.4 Trabalho futuro</w:t>
      </w:r>
      <w:bookmarkEnd w:id="186"/>
    </w:p>
    <w:p>
      <w:pPr>
        <w:pStyle w:val="TextoNormal-IPCA"/>
        <w:keepNext w:val="true"/>
        <w:rPr/>
      </w:pPr>
      <w:r>
        <w:rPr/>
      </w:r>
    </w:p>
    <w:p>
      <w:pPr>
        <w:pStyle w:val="TextoNormal-IPCA"/>
        <w:rPr/>
      </w:pPr>
      <w:r>
        <w:rPr/>
        <w:t>A comparação dimensional realizada poderá ser aprofundada em trabalho futuro. Os valores introduzidos no sistema, as extensões X/Y/Z das malhas e um valor físico por eixo para as palmas em PLA e PETG encontram-se registados no Anexo D. Para calcular a média, a amplitude e a incerteza associada à repetição da medição com o paquímetro, deverão ser efetuadas três leituras independentes por eixo. Esta extensão não é necessária para a comparação descritiva nem para as conclusões apresentadas nesta investigação. As medições físicas incidiram nos extremos geométricos das peças, pelo que esses pontos não devem ser interpretados como pontos anatómicos sem que se demonstre a sua equivalência com referências corporais.</w:t>
      </w:r>
    </w:p>
    <w:p>
      <w:pPr>
        <w:pStyle w:val="TextoNormal-IPCA"/>
        <w:rPr/>
      </w:pPr>
      <w:r>
        <w:rPr/>
        <w:t>Um trabalho futuro sobre a consistência das respostas do modelo de linguagem poderá executar cada cenário várias vezes e registar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Outra linha de trabalho futuro deverá incidir separadamente nos protocolos de montagem e nos ensaios mecânicos. A folha do Anexo D permite iniciar a análise da compatibilidade dos componentes e das colisões, bem como realizar cinco ciclos de articulação nos protótipos completos. As comparações de materiais e impressoras exigem corpos de prova ou componentes equivalentes, condições controladas e medições próprias; a carga, a fadiga e o desgaste requerem procedimentos adequados ao uso previsto. No Flexy Beast, esta etapa deverá incluir a produção e a caracterização das juntas em filamento flexível ou silicone, bem como a verificação do retorno dos dedos e da aderência das almofadas previstas no modelo original. Só depois desta caracterização deverá avançar uma avaliação com participantes e profissionais, mediante um enquadramento ético e clínico apropriado.</w:t>
      </w:r>
    </w:p>
    <w:p>
      <w:pPr>
        <w:pStyle w:val="TextoNormal-IPCA"/>
        <w:rPr/>
      </w:pPr>
      <w:r>
        <w:rPr/>
        <w:t>Uma terceira linha de trabalho futuro deverá estudar a interface com os grupos de utilizadores previstos. As tarefas, os erros, o tempo, a compreensão das sugestões, a confiança e a distribuição de responsabilidade deverão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arquitetura de configuração oferece uma base possível, mas ainda não demonstra que o sistema funcione para dispositivos destinados ao pé, à perna ou ao braço.</w:t>
      </w:r>
      <w:r>
        <w:br w:type="page"/>
      </w:r>
    </w:p>
    <w:p>
      <w:pPr>
        <w:pStyle w:val="TtulosPrembulo-IPCA"/>
        <w:spacing w:before="0" w:after="120"/>
        <w:contextualSpacing/>
        <w:rPr/>
      </w:pPr>
      <w:bookmarkStart w:id="187" w:name="_Toc235565021"/>
      <w:r>
        <w:rPr/>
        <w:t>Referências Bibliográficas</w:t>
      </w:r>
      <w:bookmarkEnd w:id="187"/>
    </w:p>
    <w:p>
      <w:pPr>
        <w:pStyle w:val="Normal"/>
        <w:rPr/>
      </w:pPr>
      <w:r>
        <w:rPr/>
      </w:r>
    </w:p>
    <w:p>
      <w:pPr>
        <w:pStyle w:val="Normal"/>
        <w:rPr/>
      </w:pPr>
      <w:sdt>
        <w:sdtPr>
          <w:tag w:val="MENDELEY_BIBLIOGRAPHY"/>
          <w:id w:val="1246387910"/>
          <w:placeholder>
            <w:docPart w:val="DefaultPlaceholder_-1854013440"/>
          </w:placeholder>
          <w:text/>
        </w:sdtPr>
        <w:sdtContent>
          <w:r>
            <w:rPr/>
          </w:r>
          <w:r>
            <w:rPr/>
          </w:r>
        </w:sdtContent>
      </w:sdt>
    </w:p>
    <w:p>
      <w:pPr>
        <w:pStyle w:val="Normal"/>
        <w:rPr/>
      </w:pPr>
      <w:r>
        <w:rPr/>
      </w:r>
    </w:p>
    <w:p>
      <w:pPr>
        <w:pStyle w:val="Normal"/>
        <w:rPr/>
      </w:pPr>
      <w:r>
        <w:rPr/>
      </w:r>
    </w:p>
    <w:p>
      <w:pPr>
        <w:pStyle w:val="Bibliography"/>
        <w:rPr/>
      </w:pPr>
      <w:r>
        <w:rPr/>
        <w:t xml:space="preserve">Akasaka, F., Mitake, Y., Watanabe, K., &amp; Shimomura, Y. (2022). </w:t>
      </w:r>
      <w:r>
        <w:rPr>
          <w:lang w:val="en-US"/>
        </w:rPr>
        <w:t xml:space="preserve">A framework for ‘configuring participation’ in living labs. </w:t>
      </w:r>
      <w:r>
        <w:rPr/>
        <w:t xml:space="preserve">Design Science, 8, e28. </w:t>
      </w:r>
      <w:hyperlink r:id="rId93">
        <w:r>
          <w:rPr>
            <w:rStyle w:val="Hyperlink"/>
          </w:rPr>
          <w:t>https://doi.org/10.1017/dsj.2022.22</w:t>
        </w:r>
      </w:hyperlink>
    </w:p>
    <w:p>
      <w:pPr>
        <w:pStyle w:val="Bibliography"/>
        <w:rPr/>
      </w:pPr>
      <w:r>
        <w:rPr/>
      </w:r>
    </w:p>
    <w:p>
      <w:pPr>
        <w:pStyle w:val="Bibliography"/>
        <w:rPr/>
      </w:pPr>
      <w:r>
        <w:rPr/>
        <w:t xml:space="preserve">Akyol, E., Cabral Ramos Mota, R. C., &amp; Somanath, S. (2021). </w:t>
      </w:r>
      <w:r>
        <w:rPr>
          <w:lang w:val="en-US"/>
        </w:rPr>
        <w:t xml:space="preserve">DiaFit: Designing customizable wearables for Type 1 diabetes monitoring. In Extended Abstracts of the 2021 CHI Conference on Human Factors in Computing Systems (Article 437, pp. 1-6). </w:t>
      </w:r>
      <w:r>
        <w:rPr/>
        <w:t xml:space="preserve">ACM. </w:t>
      </w:r>
      <w:hyperlink r:id="rId94">
        <w:r>
          <w:rPr>
            <w:rStyle w:val="Hyperlink"/>
          </w:rPr>
          <w:t>https://doi.org/10.1145/3411763.3451716</w:t>
        </w:r>
      </w:hyperlink>
    </w:p>
    <w:p>
      <w:pPr>
        <w:pStyle w:val="Bibliography"/>
        <w:rPr/>
      </w:pPr>
      <w:r>
        <w:rPr/>
      </w:r>
    </w:p>
    <w:p>
      <w:pPr>
        <w:pStyle w:val="Bibliography"/>
        <w:rPr>
          <w:lang w:val="en-US"/>
        </w:rPr>
      </w:pPr>
      <w:r>
        <w:rPr/>
        <w:t xml:space="preserve">Albin, T., &amp; Molenbroek, J. F. M. (2023). </w:t>
      </w:r>
      <w:r>
        <w:rPr>
          <w:lang w:val="en-US"/>
        </w:rPr>
        <w:t>Introduction to the special issue, anthropometry in design. https://repository.tudelft.nl/file/Fileda5bfdc9-98bc-41d3-a402-553d5f0d0a63</w:t>
      </w:r>
    </w:p>
    <w:p>
      <w:pPr>
        <w:pStyle w:val="Bibliography"/>
        <w:rPr>
          <w:lang w:val="en-US"/>
        </w:rPr>
      </w:pPr>
      <w:r>
        <w:rPr/>
        <w:t xml:space="preserve">Alili, A., Nalam, V., Li, M., Liu, M., Feng, J., Si, J., &amp; Huang, H. (2023). </w:t>
      </w:r>
      <w:r>
        <w:rPr>
          <w:lang w:val="en-US"/>
        </w:rPr>
        <w:t xml:space="preserve">A novel framework to facilitate user preferred tuning for a robotic knee prosthesis. IEEE Transactions on Neural Systems and Rehabilitation Engineering, 31, 895-903. </w:t>
      </w:r>
      <w:hyperlink r:id="rId95">
        <w:r>
          <w:rPr>
            <w:rStyle w:val="Hyperlink"/>
            <w:lang w:val="en-US"/>
          </w:rPr>
          <w:t>https://doi.org/10.1109/TNSRE.2023.3236217</w:t>
        </w:r>
      </w:hyperlink>
    </w:p>
    <w:p>
      <w:pPr>
        <w:pStyle w:val="Bibliography"/>
        <w:rPr>
          <w:lang w:val="en-US"/>
        </w:rPr>
      </w:pPr>
      <w:r>
        <w:rPr>
          <w:lang w:val="en-US"/>
        </w:rPr>
      </w:r>
    </w:p>
    <w:p>
      <w:pPr>
        <w:pStyle w:val="Bibliography"/>
        <w:rPr>
          <w:lang w:val="en-US"/>
        </w:rPr>
      </w:pPr>
      <w:r>
        <w:rPr>
          <w:lang w:val="en-US"/>
        </w:rPr>
        <w:t>Alluhydan, A., Alsaadi, S., Almutairi, A., &amp; Alharbi, A. (2023). Functionality and comfort design of lower-limb prosthetics: A review.</w:t>
      </w:r>
    </w:p>
    <w:p>
      <w:pPr>
        <w:pStyle w:val="Bibliography"/>
        <w:rPr>
          <w:lang w:val="en-US"/>
        </w:rPr>
      </w:pPr>
      <w:r>
        <w:rPr/>
        <w:t xml:space="preserve">Anacleto Filho, P. C., da Silva, L., Mattos, D., Pombeiro, A., Castellucci, H. I., Colim, A., Carneiro, P., &amp; Arezes, P. (2023). </w:t>
      </w:r>
      <w:r>
        <w:rPr>
          <w:lang w:val="en-US"/>
        </w:rPr>
        <w:t xml:space="preserve">Establishing an anthropometric database: A case for the Portuguese working population. International Journal of Industrial Ergonomics, 97, 103473. </w:t>
      </w:r>
      <w:hyperlink r:id="rId96">
        <w:r>
          <w:rPr>
            <w:rStyle w:val="Hyperlink"/>
            <w:lang w:val="en-US"/>
          </w:rPr>
          <w:t>https://doi.org/10.1016/j.ergon.2023.103473</w:t>
        </w:r>
      </w:hyperlink>
    </w:p>
    <w:p>
      <w:pPr>
        <w:pStyle w:val="Bibliography"/>
        <w:rPr>
          <w:lang w:val="en-US"/>
        </w:rPr>
      </w:pPr>
      <w:r>
        <w:rPr>
          <w:lang w:val="en-US"/>
        </w:rPr>
      </w:r>
    </w:p>
    <w:p>
      <w:pPr>
        <w:pStyle w:val="Bibliography"/>
        <w:rPr>
          <w:lang w:val="en-US"/>
        </w:rPr>
      </w:pPr>
      <w:r>
        <w:rPr>
          <w:lang w:val="en-US"/>
        </w:rPr>
        <w:t>Anderson, C. B., Stephens, A. R., Scully, A., Pasquina, P. F., &amp; Highsmith, M. J. (2024). A narrative review of prosthesis design decision making after lower-limb amputation for developing shared decision-making resources.</w:t>
      </w:r>
    </w:p>
    <w:p>
      <w:pPr>
        <w:pStyle w:val="Bibliography"/>
        <w:rPr>
          <w:lang w:val="en-US"/>
        </w:rPr>
      </w:pPr>
      <w:r>
        <w:rPr>
          <w:lang w:val="en-US"/>
        </w:rPr>
        <w:t>Andrysek, J. (2010). Lower-limb prosthetic technologies in the developing world: A review of literature from 1994-2010.</w:t>
      </w:r>
    </w:p>
    <w:p>
      <w:pPr>
        <w:pStyle w:val="Bibliography"/>
        <w:rPr>
          <w:lang w:val="en-US"/>
        </w:rPr>
      </w:pPr>
      <w:r>
        <w:rPr>
          <w:lang w:val="en-US"/>
        </w:rPr>
      </w:r>
    </w:p>
    <w:p>
      <w:pPr>
        <w:pStyle w:val="Bibliography"/>
        <w:rPr>
          <w:lang w:val="en-US"/>
        </w:rPr>
      </w:pPr>
      <w:r>
        <w:rPr/>
        <w:t xml:space="preserve">Ao, Y., Li, S., &amp; Duan, H. (2025). </w:t>
      </w:r>
      <w:r>
        <w:rPr>
          <w:lang w:val="en-US"/>
        </w:rPr>
        <w:t xml:space="preserve">Artificial intelligence-aided design (AIAD) for structures and engineering: A state-of-the-art review and future perspectives. Archives of Computational Methods in Engineering. </w:t>
      </w:r>
      <w:hyperlink r:id="rId97">
        <w:r>
          <w:rPr>
            <w:rStyle w:val="Hyperlink"/>
            <w:lang w:val="en-US"/>
          </w:rPr>
          <w:t>https://link.springer.com/content/pdf/10.1007/s11831-025-10264-1.pdf</w:t>
        </w:r>
      </w:hyperlink>
    </w:p>
    <w:p>
      <w:pPr>
        <w:pStyle w:val="Bibliography"/>
        <w:rPr>
          <w:lang w:val="en-US"/>
        </w:rPr>
      </w:pPr>
      <w:r>
        <w:rPr>
          <w:lang w:val="en-US"/>
        </w:rPr>
      </w:r>
    </w:p>
    <w:p>
      <w:pPr>
        <w:pStyle w:val="Bibliography"/>
        <w:rPr/>
      </w:pPr>
      <w:r>
        <w:rPr>
          <w:lang w:val="en-US"/>
        </w:rPr>
        <w:t xml:space="preserve">ASTM International. (2024). Standard guide for assessing fit accommodation of exoskeletons for manufacturers and designers. </w:t>
      </w:r>
      <w:hyperlink r:id="rId98">
        <w:r>
          <w:rPr>
            <w:rStyle w:val="Hyperlink"/>
          </w:rPr>
          <w:t>https://www.astm.org/f3661-24.html</w:t>
        </w:r>
      </w:hyperlink>
    </w:p>
    <w:p>
      <w:pPr>
        <w:pStyle w:val="Bibliography"/>
        <w:rPr/>
      </w:pPr>
      <w:r>
        <w:rPr/>
      </w:r>
    </w:p>
    <w:p>
      <w:pPr>
        <w:pStyle w:val="Bibliography"/>
        <w:rPr>
          <w:lang w:val="en-US"/>
        </w:rPr>
      </w:pPr>
      <w:r>
        <w:rPr/>
        <w:t xml:space="preserve">Atallah, H., Qufabz, T., Naeem, R., Bakhsh, H. R., Ferriero, G., Varga, D., Derkács, E., &amp; Molics, B. (2025). </w:t>
      </w:r>
      <w:r>
        <w:rPr>
          <w:lang w:val="en-US"/>
        </w:rPr>
        <w:t xml:space="preserve">The current state of 3D-printed prostheses clinical outcomes: A systematic review. Journal of Functional Biomaterials, 16(10), 370. </w:t>
      </w:r>
      <w:hyperlink r:id="rId99">
        <w:r>
          <w:rPr>
            <w:rStyle w:val="Hyperlink"/>
            <w:lang w:val="en-US"/>
          </w:rPr>
          <w:t>https://doi.org/10.3390/jfb16100370</w:t>
        </w:r>
      </w:hyperlink>
    </w:p>
    <w:p>
      <w:pPr>
        <w:pStyle w:val="Bibliography"/>
        <w:rPr>
          <w:lang w:val="en-US"/>
        </w:rPr>
      </w:pPr>
      <w:r>
        <w:rPr>
          <w:lang w:val="en-US"/>
        </w:rPr>
      </w:r>
    </w:p>
    <w:p>
      <w:pPr>
        <w:pStyle w:val="Bibliography"/>
        <w:rPr>
          <w:lang w:val="en-US"/>
        </w:rPr>
      </w:pPr>
      <w:r>
        <w:rPr>
          <w:lang w:val="en-US"/>
        </w:rPr>
        <w:t xml:space="preserve">Bai, X., Yuan, J., Liu, M., Huang, H., &amp; Feng, J. (2024). Human factors considerations of interaction between wearers and intelligent lower-limb prostheses: A prospective discussion. Journal of NeuroEngineering and Rehabilitation, 21, 187. </w:t>
      </w:r>
      <w:hyperlink r:id="rId100">
        <w:r>
          <w:rPr>
            <w:rStyle w:val="Hyperlink"/>
            <w:lang w:val="en-US"/>
          </w:rPr>
          <w:t>https://doi.org/10.1186/s12984-024-01475-x</w:t>
        </w:r>
      </w:hyperlink>
    </w:p>
    <w:p>
      <w:pPr>
        <w:pStyle w:val="Bibliography"/>
        <w:rPr>
          <w:lang w:val="en-US"/>
        </w:rPr>
      </w:pPr>
      <w:r>
        <w:rPr>
          <w:lang w:val="en-US"/>
        </w:rPr>
      </w:r>
    </w:p>
    <w:p>
      <w:pPr>
        <w:pStyle w:val="Bibliography"/>
        <w:rPr>
          <w:lang w:val="en-US"/>
        </w:rPr>
      </w:pPr>
      <w:r>
        <w:rPr>
          <w:lang w:val="en-US"/>
        </w:rPr>
        <w:t>Baldock, C., Greaves, M., Chockalingam, N., &amp; Kark, L. (2023). Adjustable prosthetic sockets: A systematic review of industrial and research design characteristics and their justifications.</w:t>
      </w:r>
    </w:p>
    <w:p>
      <w:pPr>
        <w:pStyle w:val="Bibliography"/>
        <w:rPr>
          <w:lang w:val="en-US"/>
        </w:rPr>
      </w:pPr>
      <w:r>
        <w:rPr>
          <w:lang w:val="en-US"/>
        </w:rPr>
      </w:r>
    </w:p>
    <w:p>
      <w:pPr>
        <w:pStyle w:val="Bibliography"/>
        <w:rPr/>
      </w:pPr>
      <w:r>
        <w:rPr>
          <w:lang w:val="de-DE"/>
        </w:rPr>
        <w:t xml:space="preserve">Baron, A., Gatzweiler, C., Geislinger, A., Huber, C., &amp; Aszmann, O. C. (2020). </w:t>
      </w:r>
      <w:r>
        <w:rPr>
          <w:lang w:val="en-US"/>
        </w:rPr>
        <w:t xml:space="preserve">3D multi-material printing of an anthropomorphic, personalized replacement hand for use in neuroprosthetics using 3D scanning and computer-aided design: First proof-of-technical-concept study. </w:t>
      </w:r>
      <w:r>
        <w:rPr/>
        <w:t xml:space="preserve">Prosthesis, 2(4), 274-287. </w:t>
      </w:r>
      <w:hyperlink r:id="rId101">
        <w:r>
          <w:rPr>
            <w:rStyle w:val="Hyperlink"/>
          </w:rPr>
          <w:t>https://doi.org/10.3390/prosthesis2040021</w:t>
        </w:r>
      </w:hyperlink>
    </w:p>
    <w:p>
      <w:pPr>
        <w:pStyle w:val="Bibliography"/>
        <w:rPr/>
      </w:pPr>
      <w:r>
        <w:rPr/>
      </w:r>
    </w:p>
    <w:p>
      <w:pPr>
        <w:pStyle w:val="Bibliography"/>
        <w:rPr/>
      </w:pPr>
      <w:r>
        <w:rPr/>
        <w:t xml:space="preserve">Barredo Arrieta, A., Díaz-Rodríguez, N., Del Ser, J., Bennetot, A., Tabik, S., Barbado, A., García, S., Gil-López, S., Molina, D., Benjamins, R., Chatila, R., &amp; Herrera, F. (2020). </w:t>
      </w:r>
      <w:r>
        <w:rPr>
          <w:lang w:val="en-US"/>
        </w:rPr>
        <w:t xml:space="preserve">Explainable Artificial Intelligence (XAI): Concepts, taxonomies, opportunities and challenges toward responsible AI. </w:t>
      </w:r>
      <w:r>
        <w:rPr/>
        <w:t>Information Fusion, 58, 82-115.</w:t>
      </w:r>
    </w:p>
    <w:p>
      <w:pPr>
        <w:pStyle w:val="Bibliography"/>
        <w:rPr/>
      </w:pPr>
      <w:r>
        <w:rPr/>
        <w:t>https://doi.org/10.1016/j.inffus.2019.12.012</w:t>
      </w:r>
    </w:p>
    <w:p>
      <w:pPr>
        <w:pStyle w:val="Bibliography"/>
        <w:rPr/>
      </w:pPr>
      <w:r>
        <w:rPr/>
      </w:r>
    </w:p>
    <w:p>
      <w:pPr>
        <w:pStyle w:val="Bibliography"/>
        <w:rPr/>
      </w:pPr>
      <w:r>
        <w:rPr/>
        <w:t>Base local consolidada de dados antropométricos da mão e do membro superior distal. (2026). [Conjunto de dados]. Suplemento 1 — Dados antropométricos.</w:t>
      </w:r>
    </w:p>
    <w:p>
      <w:pPr>
        <w:pStyle w:val="Bibliography"/>
        <w:rPr/>
      </w:pPr>
      <w:r>
        <w:rPr/>
      </w:r>
    </w:p>
    <w:p>
      <w:pPr>
        <w:pStyle w:val="Bibliography"/>
        <w:rPr>
          <w:lang w:val="en-US"/>
        </w:rPr>
      </w:pPr>
      <w:r>
        <w:rPr/>
        <w:t xml:space="preserve">Bates, T. J., Fergason, J. R., &amp; Pierrie, S. N. (2020). </w:t>
      </w:r>
      <w:r>
        <w:rPr>
          <w:lang w:val="en-US"/>
        </w:rPr>
        <w:t xml:space="preserve">Technological advances in prosthesis design and rehabilitation following upper extremity limb loss. Current Reviews in Musculoskeletal Medicine, 13(4), 485-493. </w:t>
      </w:r>
      <w:hyperlink r:id="rId102">
        <w:r>
          <w:rPr>
            <w:rStyle w:val="Hyperlink"/>
            <w:lang w:val="en-US"/>
          </w:rPr>
          <w:t>https://doi.org/10.1007/s12178-020-09656-6</w:t>
        </w:r>
      </w:hyperlink>
    </w:p>
    <w:p>
      <w:pPr>
        <w:pStyle w:val="Bibliography"/>
        <w:rPr>
          <w:lang w:val="en-US"/>
        </w:rPr>
      </w:pPr>
      <w:r>
        <w:rPr>
          <w:lang w:val="en-US"/>
        </w:rPr>
      </w:r>
    </w:p>
    <w:p>
      <w:pPr>
        <w:pStyle w:val="Bibliography"/>
        <w:rPr>
          <w:lang w:val="en-US"/>
        </w:rPr>
      </w:pPr>
      <w:r>
        <w:rPr>
          <w:lang w:val="en-US"/>
        </w:rPr>
        <w:t>Baumann, C., &amp; Maria, P. (2023). Improving access to prosthetic limbs in Germany: An explorative review.</w:t>
      </w:r>
    </w:p>
    <w:p>
      <w:pPr>
        <w:pStyle w:val="Bibliography"/>
        <w:rPr>
          <w:lang w:val="en-US"/>
        </w:rPr>
      </w:pPr>
      <w:r>
        <w:rPr>
          <w:lang w:val="en-US"/>
        </w:rPr>
        <w:t xml:space="preserve">Biddiss, E., Beaton, D., &amp; Chau, T. (2007). Consumer design priorities for upper limb prosthetics. Disability and Rehabilitation: Assistive Technology, 2(6), 346-357. </w:t>
      </w:r>
      <w:hyperlink r:id="rId103">
        <w:r>
          <w:rPr>
            <w:rStyle w:val="Hyperlink"/>
            <w:lang w:val="en-US"/>
          </w:rPr>
          <w:t>https://doi.org/10.1080/17483100701714733</w:t>
        </w:r>
      </w:hyperlink>
    </w:p>
    <w:p>
      <w:pPr>
        <w:pStyle w:val="Bibliography"/>
        <w:rPr>
          <w:lang w:val="en-US"/>
        </w:rPr>
      </w:pPr>
      <w:r>
        <w:rPr>
          <w:lang w:val="en-US"/>
        </w:rPr>
      </w:r>
    </w:p>
    <w:p>
      <w:pPr>
        <w:pStyle w:val="Bibliography"/>
        <w:rPr>
          <w:lang w:val="en-US"/>
        </w:rPr>
      </w:pPr>
      <w:r>
        <w:rPr>
          <w:lang w:val="en-US"/>
        </w:rPr>
        <w:t xml:space="preserve">Brack, R., &amp; Amalu, E. H. (2021). A review of technology, materials and R&amp;D challenges of upper limb prosthesis for improved user suitability. Journal of Orthopaedics, 23, 88-96. </w:t>
      </w:r>
      <w:hyperlink r:id="rId104">
        <w:r>
          <w:rPr>
            <w:rStyle w:val="Hyperlink"/>
            <w:lang w:val="en-US"/>
          </w:rPr>
          <w:t>https://doi.org/10.1016/j.jor.2020.12.009</w:t>
        </w:r>
      </w:hyperlink>
    </w:p>
    <w:p>
      <w:pPr>
        <w:pStyle w:val="Bibliography"/>
        <w:rPr>
          <w:lang w:val="en-US"/>
        </w:rPr>
      </w:pPr>
      <w:r>
        <w:rPr>
          <w:lang w:val="en-US"/>
        </w:rPr>
      </w:r>
    </w:p>
    <w:p>
      <w:pPr>
        <w:pStyle w:val="Bibliography"/>
        <w:rPr>
          <w:lang w:val="en-US"/>
        </w:rPr>
      </w:pPr>
      <w:r>
        <w:rPr>
          <w:lang w:val="en-US"/>
        </w:rPr>
        <w:t xml:space="preserve">Paul, G., Steffan, I. T., Itoh, N., Bowman, R., &amp; Bradtmiller, B. (2022). Design for all—Design for disabled: How important is anthropometry? Work, 73, S57-S65. </w:t>
      </w:r>
      <w:hyperlink r:id="rId105">
        <w:r>
          <w:rPr>
            <w:rStyle w:val="Hyperlink"/>
            <w:lang w:val="en-US"/>
          </w:rPr>
          <w:t>https://doi.org/10.3233/WOR-211106</w:t>
        </w:r>
      </w:hyperlink>
    </w:p>
    <w:p>
      <w:pPr>
        <w:pStyle w:val="Bibliography"/>
        <w:rPr>
          <w:lang w:val="en-US"/>
        </w:rPr>
      </w:pPr>
      <w:r>
        <w:rPr>
          <w:lang w:val="en-US"/>
        </w:rPr>
      </w:r>
    </w:p>
    <w:p>
      <w:pPr>
        <w:pStyle w:val="Bibliography"/>
        <w:rPr>
          <w:lang w:val="en-US"/>
        </w:rPr>
      </w:pPr>
      <w:r>
        <w:rPr>
          <w:lang w:val="en-US"/>
        </w:rPr>
        <w:t xml:space="preserve">Brooks, C. (2026). OpenSCAD Web [Computer software]. GitHub. </w:t>
      </w:r>
      <w:hyperlink r:id="rId106">
        <w:r>
          <w:rPr>
            <w:rStyle w:val="Hyperlink"/>
            <w:lang w:val="en-US"/>
          </w:rPr>
          <w:t>https://github.com/CameronBrooks11/openscad-web</w:t>
        </w:r>
      </w:hyperlink>
    </w:p>
    <w:p>
      <w:pPr>
        <w:pStyle w:val="Bibliography"/>
        <w:rPr/>
      </w:pPr>
      <w:r>
        <w:rPr>
          <w:lang w:val="en-US"/>
        </w:rPr>
        <w:t xml:space="preserve">Burnap, A., Hauser, J. R., &amp; Timoshenko, A. (2019). Design and evaluation of product aesthetics: A human-machine hybrid approach. </w:t>
      </w:r>
      <w:r>
        <w:rPr/>
        <w:t xml:space="preserve">SSRN Electronic Journal. </w:t>
      </w:r>
      <w:hyperlink r:id="rId107">
        <w:r>
          <w:rPr>
            <w:rStyle w:val="Hyperlink"/>
          </w:rPr>
          <w:t>https://doi.org/10.2139/ssrn.3421771</w:t>
        </w:r>
      </w:hyperlink>
    </w:p>
    <w:p>
      <w:pPr>
        <w:pStyle w:val="Bibliography"/>
        <w:rPr/>
      </w:pPr>
      <w:r>
        <w:rPr/>
      </w:r>
    </w:p>
    <w:p>
      <w:pPr>
        <w:pStyle w:val="Bibliography"/>
        <w:rPr>
          <w:lang w:val="en-US"/>
        </w:rPr>
      </w:pPr>
      <w:r>
        <w:rPr/>
        <w:t xml:space="preserve">Bustamante, M., Vega-Centeno, R., Sanchez, M., &amp; Mio, R. (2018). </w:t>
      </w:r>
      <w:r>
        <w:rPr>
          <w:lang w:val="en-US"/>
        </w:rPr>
        <w:t>A parametric 3D-printed body-powered hand prosthesis based on the four-bar linkage mechanism. In International Conferences on Biological Information and Biomedical Engineering.</w:t>
      </w:r>
    </w:p>
    <w:p>
      <w:pPr>
        <w:pStyle w:val="Bibliography"/>
        <w:rPr>
          <w:lang w:val="en-US"/>
        </w:rPr>
      </w:pPr>
      <w:r>
        <w:rPr>
          <w:lang w:val="en-US"/>
        </w:rPr>
        <w:t xml:space="preserve">Cabibihan, J.-J., Abubasha, M. K., &amp; Thakor, N. V. (2021). Suitability of the openly accessible 3D printed prosthetic hands for war-wounded children. Frontiers in Robotics and AI, 7, 594196. </w:t>
      </w:r>
      <w:hyperlink r:id="rId108">
        <w:r>
          <w:rPr>
            <w:rStyle w:val="Hyperlink"/>
            <w:lang w:val="en-US"/>
          </w:rPr>
          <w:t>https://doi.org/10.3389/frobt.2020.594196</w:t>
        </w:r>
      </w:hyperlink>
    </w:p>
    <w:p>
      <w:pPr>
        <w:pStyle w:val="Bibliography"/>
        <w:rPr>
          <w:lang w:val="en-US"/>
        </w:rPr>
      </w:pPr>
      <w:r>
        <w:rPr>
          <w:lang w:val="en-US"/>
        </w:rPr>
      </w:r>
    </w:p>
    <w:p>
      <w:pPr>
        <w:pStyle w:val="Bibliography"/>
        <w:rPr>
          <w:lang w:val="en-US"/>
        </w:rPr>
      </w:pPr>
      <w:r>
        <w:rPr>
          <w:lang w:val="en-US"/>
        </w:rPr>
        <w:t xml:space="preserve">Cabibihan, J.-J., Pattofatto, S., Jomaa, M., Benallal, A., &amp; Carrozza, M. C. (2018). A method for 3-D printing patient-specific prosthetic arms with high accuracy shape and size. IEEE Access, 6, 25029-25039. </w:t>
      </w:r>
      <w:hyperlink r:id="rId109">
        <w:r>
          <w:rPr>
            <w:rStyle w:val="Hyperlink"/>
            <w:lang w:val="en-US"/>
          </w:rPr>
          <w:t>https://doi.org/10.1109/ACCESS.2018.2831907</w:t>
        </w:r>
      </w:hyperlink>
    </w:p>
    <w:p>
      <w:pPr>
        <w:pStyle w:val="Bibliography"/>
        <w:rPr>
          <w:lang w:val="en-US"/>
        </w:rPr>
      </w:pPr>
      <w:r>
        <w:rPr>
          <w:lang w:val="en-US"/>
        </w:rPr>
      </w:r>
    </w:p>
    <w:p>
      <w:pPr>
        <w:pStyle w:val="Bibliography"/>
        <w:rPr>
          <w:lang w:val="en-US"/>
        </w:rPr>
      </w:pPr>
      <w:r>
        <w:rPr>
          <w:lang w:val="en-US"/>
        </w:rPr>
        <w:t xml:space="preserve">Center for Universal Design. (1997). </w:t>
      </w:r>
      <w:r>
        <w:rPr>
          <w:i/>
          <w:iCs/>
          <w:lang w:val="en-US"/>
        </w:rPr>
        <w:t>The principles of universal design</w:t>
      </w:r>
      <w:r>
        <w:rPr>
          <w:lang w:val="en-US"/>
        </w:rPr>
        <w:t xml:space="preserve"> (Version 2.0). North Carolina State University. https://design.ncsu.edu/research/center-for-universal-design/</w:t>
      </w:r>
    </w:p>
    <w:p>
      <w:pPr>
        <w:pStyle w:val="Bibliography"/>
        <w:rPr/>
      </w:pPr>
      <w:r>
        <w:rPr>
          <w:lang w:val="en-US"/>
        </w:rPr>
        <w:t xml:space="preserve">Chadwell, A., Diment, L., Micó-Amigo, M., Morgado Ramírez, D. Z., Dickinson, A., Granat, M., Kenney, L., Kheng, S., Sobuh, M., Ssekitoleko, R., &amp; Worsley, P. (2020). Technology for monitoring everyday prosthesis use: A systematic review. </w:t>
      </w:r>
      <w:r>
        <w:rPr>
          <w:i/>
          <w:iCs/>
          <w:lang w:val="en-US"/>
        </w:rPr>
        <w:t>Journal of NeuroEngineering and Rehabilitation, 17</w:t>
      </w:r>
      <w:r>
        <w:rPr>
          <w:lang w:val="en-US"/>
        </w:rPr>
        <w:t xml:space="preserve">, Article 93. </w:t>
      </w:r>
      <w:hyperlink r:id="rId110">
        <w:r>
          <w:rPr>
            <w:rStyle w:val="Hyperlink"/>
          </w:rPr>
          <w:t>https://doi.org/10.1186/s12984-020-00711-4</w:t>
        </w:r>
      </w:hyperlink>
    </w:p>
    <w:p>
      <w:pPr>
        <w:pStyle w:val="Bibliography"/>
        <w:rPr/>
      </w:pPr>
      <w:r>
        <w:rPr/>
      </w:r>
    </w:p>
    <w:p>
      <w:pPr>
        <w:pStyle w:val="Bibliography"/>
        <w:rPr>
          <w:lang w:val="en-US"/>
        </w:rPr>
      </w:pPr>
      <w:r>
        <w:rPr/>
        <w:t xml:space="preserve">Chainando, N., Martawidjaja, M., Darius, R. A., Yahya, L. C., Yemima, S., Tan, W. S., Harito, C., Chandra, R. C., Andhini, G. K., Putra, K. B., Lumban Tobing, C. C., Syafi’i, M., &amp; Syafrudin, M. (2025). </w:t>
      </w:r>
      <w:r>
        <w:rPr>
          <w:lang w:val="en-US"/>
        </w:rPr>
        <w:t xml:space="preserve">Applying 3D scanning and printing techniques to produce upper limb prostheses: Bibliometric analysis and scoping review. </w:t>
      </w:r>
      <w:r>
        <w:rPr>
          <w:i/>
          <w:iCs/>
          <w:lang w:val="en-US"/>
        </w:rPr>
        <w:t>Prosthesis, 7</w:t>
      </w:r>
      <w:r>
        <w:rPr>
          <w:lang w:val="en-US"/>
        </w:rPr>
        <w:t xml:space="preserve">(2), Article 26. </w:t>
      </w:r>
      <w:hyperlink r:id="rId111">
        <w:r>
          <w:rPr>
            <w:rStyle w:val="Hyperlink"/>
            <w:lang w:val="en-US"/>
          </w:rPr>
          <w:t>https://doi.org/10.3390/prosthesis7020026</w:t>
        </w:r>
      </w:hyperlink>
    </w:p>
    <w:p>
      <w:pPr>
        <w:pStyle w:val="Bibliography"/>
        <w:rPr>
          <w:lang w:val="en-US"/>
        </w:rPr>
      </w:pPr>
      <w:r>
        <w:rPr>
          <w:lang w:val="en-US"/>
        </w:rPr>
      </w:r>
    </w:p>
    <w:p>
      <w:pPr>
        <w:pStyle w:val="Bibliography"/>
        <w:rPr>
          <w:lang w:val="en-US"/>
        </w:rPr>
      </w:pPr>
      <w:r>
        <w:rPr>
          <w:lang w:val="de-DE"/>
        </w:rPr>
        <w:t xml:space="preserve">Chapman, K., Allen, C., &amp; Kendall, E. (2025). </w:t>
      </w:r>
      <w:r>
        <w:rPr>
          <w:lang w:val="en-US"/>
        </w:rPr>
        <w:t xml:space="preserve">Methods for co-designing health communication initiatives with people with disability: A scoping review. Health Communication. </w:t>
      </w:r>
      <w:hyperlink r:id="rId112">
        <w:r>
          <w:rPr>
            <w:rStyle w:val="Hyperlink"/>
            <w:lang w:val="en-US"/>
          </w:rPr>
          <w:t>https://doi.org/10.1080/10810730.2025.2462679</w:t>
        </w:r>
      </w:hyperlink>
    </w:p>
    <w:p>
      <w:pPr>
        <w:pStyle w:val="Bibliography"/>
        <w:rPr>
          <w:lang w:val="en-US"/>
        </w:rPr>
      </w:pPr>
      <w:r>
        <w:rPr>
          <w:lang w:val="en-US"/>
        </w:rPr>
      </w:r>
    </w:p>
    <w:p>
      <w:pPr>
        <w:pStyle w:val="Bibliography"/>
        <w:rPr>
          <w:lang w:val="en-US"/>
        </w:rPr>
      </w:pPr>
      <w:r>
        <w:rPr>
          <w:lang w:val="en-US"/>
        </w:rPr>
        <w:t xml:space="preserve">Chatzioglou, G. N., Pinar, Y., &amp; Govsa, F. (2024). Biometric analysis hand parameters in young adults for prosthetic hand and ergonomic product applications. Anatomy &amp; Cell Biology, 57, 172-182. </w:t>
      </w:r>
      <w:hyperlink r:id="rId113">
        <w:r>
          <w:rPr>
            <w:rStyle w:val="Hyperlink"/>
            <w:lang w:val="en-US"/>
          </w:rPr>
          <w:t>https://doi.org/10.5115/acb.23.310</w:t>
        </w:r>
      </w:hyperlink>
    </w:p>
    <w:p>
      <w:pPr>
        <w:pStyle w:val="Bibliography"/>
        <w:rPr>
          <w:lang w:val="en-US"/>
        </w:rPr>
      </w:pPr>
      <w:r>
        <w:rPr>
          <w:lang w:val="en-US"/>
        </w:rPr>
      </w:r>
    </w:p>
    <w:p>
      <w:pPr>
        <w:pStyle w:val="Bibliography"/>
        <w:rPr/>
      </w:pPr>
      <w:r>
        <w:rPr>
          <w:lang w:val="en-US"/>
        </w:rPr>
        <w:t xml:space="preserve">Choudhury, M. M., Eisenbart, B., &amp; Kuys, B. (2025). Artificial intelligence (AI) in the design process: A review and analysis on generative AI perspectives. </w:t>
      </w:r>
      <w:hyperlink r:id="rId114">
        <w:r>
          <w:rPr>
            <w:rStyle w:val="Hyperlink"/>
          </w:rPr>
          <w:t>https://www.cambridge.org/core/services/aop-cambridge-core/content/view/36E8736EEB55F0B38C2C9AB47EF381FE/S2732527X25100771a.pdf/div-class-title-artificial-intelligence-ai-in-the-design-process-a-review-and-analysis-on-generative-ai-perspectives-div.pdf</w:t>
        </w:r>
      </w:hyperlink>
    </w:p>
    <w:p>
      <w:pPr>
        <w:pStyle w:val="Bibliography"/>
        <w:rPr/>
      </w:pPr>
      <w:r>
        <w:rPr/>
      </w:r>
    </w:p>
    <w:p>
      <w:pPr>
        <w:pStyle w:val="Bibliography"/>
        <w:rPr/>
      </w:pPr>
      <w:r>
        <w:rPr/>
        <w:t xml:space="preserve">Chtioui, N., Gaha, R., &amp; Benamara, A. (2023). </w:t>
      </w:r>
      <w:r>
        <w:rPr>
          <w:lang w:val="en-US"/>
        </w:rPr>
        <w:t xml:space="preserve">Design for additive manufacturing: Review and framework proposal. </w:t>
      </w:r>
      <w:hyperlink r:id="rId115">
        <w:r>
          <w:rPr>
            <w:rStyle w:val="Hyperlink"/>
          </w:rPr>
          <w:t>https://sei.ardascience.com/index.php/journal/article/download/185/169</w:t>
        </w:r>
      </w:hyperlink>
    </w:p>
    <w:p>
      <w:pPr>
        <w:pStyle w:val="Bibliography"/>
        <w:rPr/>
      </w:pPr>
      <w:r>
        <w:rPr/>
      </w:r>
    </w:p>
    <w:p>
      <w:pPr>
        <w:pStyle w:val="Bibliography"/>
        <w:rPr>
          <w:lang w:val="en-US"/>
        </w:rPr>
      </w:pPr>
      <w:r>
        <w:rPr/>
        <w:t xml:space="preserve">Clarkson, J., &amp; Coleman, R. (2010). </w:t>
      </w:r>
      <w:r>
        <w:rPr>
          <w:lang w:val="en-US"/>
        </w:rPr>
        <w:t xml:space="preserve">Inclusive design. </w:t>
      </w:r>
      <w:r>
        <w:rPr>
          <w:i/>
          <w:iCs/>
          <w:lang w:val="en-US"/>
        </w:rPr>
        <w:t>Journal of Engineering Design, 21</w:t>
      </w:r>
      <w:r>
        <w:rPr>
          <w:lang w:val="en-US"/>
        </w:rPr>
        <w:t xml:space="preserve">(2–3), 127–129. </w:t>
      </w:r>
      <w:hyperlink r:id="rId116">
        <w:r>
          <w:rPr>
            <w:rStyle w:val="Hyperlink"/>
            <w:lang w:val="en-US"/>
          </w:rPr>
          <w:t>https://doi.org/10.1080/09544821003693689</w:t>
        </w:r>
      </w:hyperlink>
    </w:p>
    <w:p>
      <w:pPr>
        <w:pStyle w:val="Bibliography"/>
        <w:rPr>
          <w:lang w:val="en-US"/>
        </w:rPr>
      </w:pPr>
      <w:r>
        <w:rPr>
          <w:lang w:val="en-US"/>
        </w:rPr>
      </w:r>
    </w:p>
    <w:p>
      <w:pPr>
        <w:pStyle w:val="Bibliography"/>
        <w:rPr>
          <w:lang w:val="en-US"/>
        </w:rPr>
      </w:pPr>
      <w:r>
        <w:rPr>
          <w:lang w:val="en-US"/>
        </w:rPr>
        <w:t>Cole, E. (2011). Patient-centered design: Interface personalization for individuals with brain injury.</w:t>
      </w:r>
    </w:p>
    <w:p>
      <w:pPr>
        <w:pStyle w:val="Bibliography"/>
        <w:rPr>
          <w:lang w:val="en-US"/>
        </w:rPr>
      </w:pPr>
      <w:r>
        <w:rPr>
          <w:lang w:val="en-US"/>
        </w:rPr>
      </w:r>
    </w:p>
    <w:p>
      <w:pPr>
        <w:pStyle w:val="Bibliography"/>
        <w:rPr>
          <w:lang w:val="en-US"/>
        </w:rPr>
      </w:pPr>
      <w:r>
        <w:rPr/>
        <w:t xml:space="preserve">Colombo, G., Facoetti, G., Rizzi, C., &amp; Vitali, A. (2015). </w:t>
      </w:r>
      <w:r>
        <w:rPr>
          <w:lang w:val="en-US"/>
        </w:rPr>
        <w:t xml:space="preserve">Low cost hand-tracking devices to design customized medical devices. Interacción. </w:t>
      </w:r>
      <w:hyperlink r:id="rId117">
        <w:r>
          <w:rPr>
            <w:rStyle w:val="Hyperlink"/>
            <w:lang w:val="en-US"/>
          </w:rPr>
          <w:t>https://doi.org/10.1007/978-3-319-21067-436</w:t>
        </w:r>
      </w:hyperlink>
    </w:p>
    <w:p>
      <w:pPr>
        <w:pStyle w:val="Bibliography"/>
        <w:rPr>
          <w:lang w:val="en-US"/>
        </w:rPr>
      </w:pPr>
      <w:r>
        <w:rPr>
          <w:lang w:val="en-US"/>
        </w:rPr>
      </w:r>
    </w:p>
    <w:p>
      <w:pPr>
        <w:pStyle w:val="Bibliography"/>
        <w:rPr/>
      </w:pPr>
      <w:r>
        <w:rPr>
          <w:lang w:val="en-US"/>
        </w:rPr>
        <w:t xml:space="preserve">Cordella, F., Ciancio, A. L., Sacchetti, R., Davalli, A., Cutti, A. G., Guglielmelli, E., &amp; Zollo, L. (2016). Literature review on needs of upper limb prosthesis users. </w:t>
      </w:r>
      <w:r>
        <w:rPr>
          <w:i/>
          <w:iCs/>
          <w:lang w:val="en-US"/>
        </w:rPr>
        <w:t>Frontiers in Neuroscience, 10</w:t>
      </w:r>
      <w:r>
        <w:rPr>
          <w:lang w:val="en-US"/>
        </w:rPr>
        <w:t xml:space="preserve">, Article 209. </w:t>
      </w:r>
      <w:hyperlink r:id="rId118">
        <w:r>
          <w:rPr>
            <w:rStyle w:val="Hyperlink"/>
          </w:rPr>
          <w:t>https://doi.org/10.3389/fnins.2016.00209</w:t>
        </w:r>
      </w:hyperlink>
    </w:p>
    <w:p>
      <w:pPr>
        <w:pStyle w:val="Bibliography"/>
        <w:rPr/>
      </w:pPr>
      <w:r>
        <w:rPr/>
      </w:r>
    </w:p>
    <w:p>
      <w:pPr>
        <w:pStyle w:val="Bibliography"/>
        <w:rPr>
          <w:lang w:val="en-US"/>
        </w:rPr>
      </w:pPr>
      <w:r>
        <w:rPr/>
        <w:t xml:space="preserve">Costabile, M. F., Fogli, D., Lanzilotti, R., Marcante, A., Mussio, P., Provenza, L. P., &amp; Piccinno, A. (2007). </w:t>
      </w:r>
      <w:r>
        <w:rPr>
          <w:lang w:val="en-US"/>
        </w:rPr>
        <w:t>Meta-design to face co-evolution and communication gaps between users and designers.</w:t>
      </w:r>
    </w:p>
    <w:p>
      <w:pPr>
        <w:pStyle w:val="Bibliography"/>
        <w:rPr>
          <w:lang w:val="en-US"/>
        </w:rPr>
      </w:pPr>
      <w:r>
        <w:rPr>
          <w:lang w:val="en-US"/>
        </w:rPr>
      </w:r>
    </w:p>
    <w:p>
      <w:pPr>
        <w:pStyle w:val="Bibliography"/>
        <w:rPr>
          <w:lang w:val="de-DE"/>
        </w:rPr>
      </w:pPr>
      <w:r>
        <w:rPr>
          <w:lang w:val="en-US"/>
        </w:rPr>
        <w:t xml:space="preserve">Cross, N. (1982). Designerly ways of knowing. </w:t>
      </w:r>
      <w:r>
        <w:rPr>
          <w:lang w:val="de-DE"/>
        </w:rPr>
        <w:t xml:space="preserve">Design Studies, 3(4), 221-227. </w:t>
      </w:r>
      <w:hyperlink r:id="rId119">
        <w:r>
          <w:rPr>
            <w:rStyle w:val="Hyperlink"/>
            <w:lang w:val="de-DE"/>
          </w:rPr>
          <w:t>https://doi.org/10.1016/0142-694X(82)90040-0</w:t>
        </w:r>
      </w:hyperlink>
    </w:p>
    <w:p>
      <w:pPr>
        <w:pStyle w:val="Bibliography"/>
        <w:ind w:hanging="708" w:start="708"/>
        <w:rPr>
          <w:lang w:val="de-DE"/>
        </w:rPr>
      </w:pPr>
      <w:r>
        <w:rPr>
          <w:lang w:val="de-DE"/>
        </w:rPr>
      </w:r>
    </w:p>
    <w:p>
      <w:pPr>
        <w:pStyle w:val="Bibliography"/>
        <w:rPr>
          <w:lang w:val="en-US"/>
        </w:rPr>
      </w:pPr>
      <w:r>
        <w:rPr>
          <w:lang w:val="de-DE"/>
        </w:rPr>
        <w:t xml:space="preserve">Çıklaçandır, S., Yılmaz, M., Özmert, O. S., Şahin, A. M., &amp; Mihçin, S. (2022). </w:t>
      </w:r>
      <w:r>
        <w:rPr>
          <w:lang w:val="en-US"/>
        </w:rPr>
        <w:t xml:space="preserve">Comparison of traditional, MRI, and 3D scanning anthropometric measurements in hand prosthesis design. In 2022 Medical Technologies Congress (TIPTEKNO) (pp. 1-4). IEEE. </w:t>
      </w:r>
      <w:hyperlink r:id="rId120">
        <w:r>
          <w:rPr>
            <w:rStyle w:val="Hyperlink"/>
            <w:lang w:val="en-US"/>
          </w:rPr>
          <w:t>https://doi.org/10.1109/TIPTEKNO56568.2022.9960218</w:t>
        </w:r>
      </w:hyperlink>
    </w:p>
    <w:p>
      <w:pPr>
        <w:pStyle w:val="Bibliography"/>
        <w:rPr>
          <w:lang w:val="en-US"/>
        </w:rPr>
      </w:pPr>
      <w:r>
        <w:rPr>
          <w:lang w:val="en-US"/>
        </w:rPr>
      </w:r>
    </w:p>
    <w:p>
      <w:pPr>
        <w:pStyle w:val="Bibliography"/>
        <w:rPr>
          <w:lang w:val="en-US"/>
        </w:rPr>
      </w:pPr>
      <w:r>
        <w:rPr/>
        <w:t xml:space="preserve">da Silveira Romero, R. C., Costa, K. A., Reis, P. H. R. G., &amp; Vimieiro, C. B. S. (2025). </w:t>
      </w:r>
      <w:r>
        <w:rPr>
          <w:lang w:val="en-US"/>
        </w:rPr>
        <w:t xml:space="preserve">Development of parametric prostheses for different levels of human hand amputations manufactured through additive manufacturing. Applied Sciences, 15, 4467. </w:t>
      </w:r>
      <w:hyperlink r:id="rId121">
        <w:r>
          <w:rPr>
            <w:rStyle w:val="Hyperlink"/>
            <w:lang w:val="en-US"/>
          </w:rPr>
          <w:t>https://doi.org/10.3390/app15084467</w:t>
        </w:r>
      </w:hyperlink>
    </w:p>
    <w:p>
      <w:pPr>
        <w:pStyle w:val="Bibliography"/>
        <w:rPr>
          <w:lang w:val="en-US"/>
        </w:rPr>
      </w:pPr>
      <w:r>
        <w:rPr>
          <w:lang w:val="en-US"/>
        </w:rPr>
      </w:r>
    </w:p>
    <w:p>
      <w:pPr>
        <w:pStyle w:val="Bibliography"/>
        <w:rPr>
          <w:lang w:val="en-US"/>
        </w:rPr>
      </w:pPr>
      <w:r>
        <w:rPr>
          <w:lang w:val="en-US"/>
        </w:rPr>
        <w:t xml:space="preserve">daprice. (n.d.). Flexy Beast [README file]. GitHub. Retrieved July 13, 2026, from </w:t>
      </w:r>
      <w:hyperlink r:id="rId122">
        <w:r>
          <w:rPr>
            <w:rStyle w:val="Hyperlink"/>
            <w:lang w:val="en-US"/>
          </w:rPr>
          <w:t>https://github.com/daprice/Flexy-Beast/blob/master/README.md</w:t>
        </w:r>
      </w:hyperlink>
    </w:p>
    <w:p>
      <w:pPr>
        <w:pStyle w:val="Bibliography"/>
        <w:rPr>
          <w:lang w:val="en-US"/>
        </w:rPr>
      </w:pPr>
      <w:r>
        <w:rPr>
          <w:lang w:val="en-US"/>
        </w:rPr>
      </w:r>
    </w:p>
    <w:p>
      <w:pPr>
        <w:pStyle w:val="Bibliography"/>
        <w:rPr>
          <w:lang w:val="en-US"/>
        </w:rPr>
      </w:pPr>
      <w:r>
        <w:rPr>
          <w:lang w:val="en-US"/>
        </w:rPr>
        <w:t>Dechev, N., Penner, A., Barlow, I., Vukovic, G., &amp; Lalji, M. (2023). Accessible prosthetic arms: Victoria Hand Project and the impact of 3D printing.</w:t>
      </w:r>
    </w:p>
    <w:p>
      <w:pPr>
        <w:pStyle w:val="Bibliography"/>
        <w:rPr/>
      </w:pPr>
      <w:r>
        <w:rPr>
          <w:lang w:val="en-US"/>
        </w:rPr>
        <w:t xml:space="preserve">Design Council. (2020). Framework for innovation. </w:t>
      </w:r>
      <w:hyperlink r:id="rId123">
        <w:r>
          <w:rPr>
            <w:rStyle w:val="Hyperlink"/>
          </w:rPr>
          <w:t>https://www.designcouncil.org.uk/our-resources/framework-for-innovation/</w:t>
        </w:r>
      </w:hyperlink>
    </w:p>
    <w:p>
      <w:pPr>
        <w:pStyle w:val="Bibliography"/>
        <w:rPr/>
      </w:pPr>
      <w:r>
        <w:rPr/>
      </w:r>
    </w:p>
    <w:p>
      <w:pPr>
        <w:pStyle w:val="Bibliography"/>
        <w:rPr>
          <w:lang w:val="en-US"/>
        </w:rPr>
      </w:pPr>
      <w:r>
        <w:rPr>
          <w:lang w:val="en-US"/>
        </w:rPr>
        <w:t>Dexter, M., Crooks, E., Davies, P., &amp; Simm, W. (2013). Open design and cystic fibrosis: Enabling participation in the design process.</w:t>
      </w:r>
    </w:p>
    <w:p>
      <w:pPr>
        <w:pStyle w:val="Bibliography"/>
        <w:rPr>
          <w:lang w:val="en-US"/>
        </w:rPr>
      </w:pPr>
      <w:r>
        <w:rPr>
          <w:lang w:val="en-US"/>
        </w:rPr>
      </w:r>
    </w:p>
    <w:p>
      <w:pPr>
        <w:pStyle w:val="Bibliography"/>
        <w:rPr>
          <w:lang w:val="en-US"/>
        </w:rPr>
      </w:pPr>
      <w:r>
        <w:rPr>
          <w:lang w:val="en-US"/>
        </w:rPr>
        <w:t xml:space="preserve">Diment, L. E., Thompson, M. S., &amp; Bergmann, J. H. M. (2018). Three-dimensional printed upper-limb prostheses lack randomised controlled trials: A systematic review. Prosthetics and Orthotics International, 42(1), 7-13. </w:t>
      </w:r>
      <w:hyperlink r:id="rId124">
        <w:r>
          <w:rPr>
            <w:rStyle w:val="Hyperlink"/>
            <w:lang w:val="en-US"/>
          </w:rPr>
          <w:t>https://doi.org/10.1177/0309364617704803</w:t>
        </w:r>
      </w:hyperlink>
    </w:p>
    <w:p>
      <w:pPr>
        <w:pStyle w:val="Bibliography"/>
        <w:rPr>
          <w:lang w:val="en-US"/>
        </w:rPr>
      </w:pPr>
      <w:r>
        <w:rPr>
          <w:lang w:val="en-US"/>
        </w:rPr>
      </w:r>
    </w:p>
    <w:p>
      <w:pPr>
        <w:pStyle w:val="Bibliography"/>
        <w:rPr>
          <w:lang w:val="en-US"/>
        </w:rPr>
      </w:pPr>
      <w:r>
        <w:rPr>
          <w:lang w:val="en-US"/>
        </w:rPr>
        <w:t>Domínguez-Ruiz, M., Ráez-Ballesteros, E., &amp; Castillo-Castañeda, E. (2023). Low limb prostheses and complex human prosthetic interaction: A systematic literature review.</w:t>
      </w:r>
    </w:p>
    <w:p>
      <w:pPr>
        <w:pStyle w:val="Bibliography"/>
        <w:rPr>
          <w:lang w:val="en-US"/>
        </w:rPr>
      </w:pPr>
      <w:r>
        <w:rPr>
          <w:lang w:val="en-US"/>
        </w:rPr>
      </w:r>
    </w:p>
    <w:p>
      <w:pPr>
        <w:pStyle w:val="Bibliography"/>
        <w:rPr>
          <w:lang w:val="en-US"/>
        </w:rPr>
      </w:pPr>
      <w:r>
        <w:rPr>
          <w:lang w:val="en-US"/>
        </w:rPr>
        <w:t xml:space="preserve">Elbreki, A. M., Alshari, K., Ramdan, S., &amp; Rajab, Z. (2022). Practical design of an upper prosthetic limb using three dimensional printer with an artificial intelligence based controller. In 2022 International Conference on Engineering &amp; MIS (ICEMIS). IEEE. </w:t>
      </w:r>
      <w:hyperlink r:id="rId125">
        <w:r>
          <w:rPr>
            <w:rStyle w:val="Hyperlink"/>
            <w:lang w:val="en-US"/>
          </w:rPr>
          <w:t>https://doi.org/10.1109/ICEMIS56295.2022.9914291</w:t>
        </w:r>
      </w:hyperlink>
    </w:p>
    <w:p>
      <w:pPr>
        <w:pStyle w:val="Bibliography"/>
        <w:rPr>
          <w:lang w:val="en-US"/>
        </w:rPr>
      </w:pPr>
      <w:r>
        <w:rPr>
          <w:lang w:val="en-US"/>
        </w:rPr>
      </w:r>
    </w:p>
    <w:p>
      <w:pPr>
        <w:pStyle w:val="Bibliography"/>
        <w:rPr>
          <w:lang w:val="en-US"/>
        </w:rPr>
      </w:pPr>
      <w:r>
        <w:rPr>
          <w:lang w:val="en-US"/>
        </w:rPr>
        <w:t>ELhadad, N., Aboulhassan, A., &amp; Hassan, Y. M. I. (2026). LLM-based 3D model generation of MHE for OpenSCAD. Procedia Computer Science.</w:t>
      </w:r>
    </w:p>
    <w:p>
      <w:pPr>
        <w:pStyle w:val="Bibliography"/>
        <w:rPr>
          <w:lang w:val="en-US"/>
        </w:rPr>
      </w:pPr>
      <w:r>
        <w:rPr>
          <w:lang w:val="en-US"/>
        </w:rPr>
        <w:t xml:space="preserve">Engdahl, S., Gonzalez, M. A., Lee, C., &amp; Gates, D. H. (2024). Perspectives on the comparative benefits of body-powered and myoelectric upper limb prostheses. </w:t>
      </w:r>
      <w:hyperlink r:id="rId126">
        <w:r>
          <w:rPr>
            <w:rStyle w:val="Hyperlink"/>
            <w:lang w:val="en-US"/>
          </w:rPr>
          <w:t>https://jneuroengrehab.biomedcentral.com/counter/pdf/10.1186/s12984-024-01436-4</w:t>
        </w:r>
      </w:hyperlink>
    </w:p>
    <w:p>
      <w:pPr>
        <w:pStyle w:val="Bibliography"/>
        <w:rPr>
          <w:lang w:val="en-US"/>
        </w:rPr>
      </w:pPr>
      <w:r>
        <w:rPr>
          <w:lang w:val="en-US"/>
        </w:rPr>
      </w:r>
    </w:p>
    <w:p>
      <w:pPr>
        <w:pStyle w:val="Bibliography"/>
        <w:rPr/>
      </w:pPr>
      <w:r>
        <w:rPr>
          <w:lang w:val="en-US"/>
        </w:rPr>
        <w:t xml:space="preserve">Figoli, F. A., Mattioli, F., &amp; Rampino, L. (2022). AI in design idea development: A workshop on creativity and human-AI collaboration. </w:t>
      </w:r>
      <w:hyperlink r:id="rId127">
        <w:r>
          <w:rPr>
            <w:rStyle w:val="Hyperlink"/>
          </w:rPr>
          <w:t>https://dl.designresearchsociety.org/cgi/viewcontent.cgi?article=2915&amp;context=drs-conference-papers</w:t>
        </w:r>
      </w:hyperlink>
    </w:p>
    <w:p>
      <w:pPr>
        <w:pStyle w:val="Bibliography"/>
        <w:rPr/>
      </w:pPr>
      <w:r>
        <w:rPr/>
      </w:r>
    </w:p>
    <w:p>
      <w:pPr>
        <w:pStyle w:val="Bibliography"/>
        <w:rPr>
          <w:lang w:val="en-US"/>
        </w:rPr>
      </w:pPr>
      <w:r>
        <w:rPr>
          <w:lang w:val="en-US"/>
        </w:rPr>
        <w:t xml:space="preserve">Fink, C., &amp; Diamond, Y. (2023). Prosthesis options and management in upper extremity amputation. Operative Techniques in Orthopaedics, 33(3), 101061. </w:t>
      </w:r>
      <w:hyperlink r:id="rId128">
        <w:r>
          <w:rPr>
            <w:rStyle w:val="Hyperlink"/>
            <w:lang w:val="en-US"/>
          </w:rPr>
          <w:t>https://doi.org/10.1016/j.oto.2023.101061</w:t>
        </w:r>
      </w:hyperlink>
    </w:p>
    <w:p>
      <w:pPr>
        <w:pStyle w:val="Bibliography"/>
        <w:rPr>
          <w:lang w:val="en-US"/>
        </w:rPr>
      </w:pPr>
      <w:r>
        <w:rPr>
          <w:lang w:val="en-US"/>
        </w:rPr>
      </w:r>
    </w:p>
    <w:p>
      <w:pPr>
        <w:pStyle w:val="Bibliography"/>
        <w:rPr>
          <w:lang w:val="en-US"/>
        </w:rPr>
      </w:pPr>
      <w:r>
        <w:rPr>
          <w:lang w:val="en-US"/>
        </w:rPr>
        <w:t>Fischer, G., Fogli, D., &amp; Piccinno, A. (2017). Revisiting and broadening the meta-design framework for end-user development.</w:t>
      </w:r>
    </w:p>
    <w:p>
      <w:pPr>
        <w:pStyle w:val="Bibliography"/>
        <w:rPr>
          <w:lang w:val="en-US"/>
        </w:rPr>
      </w:pPr>
      <w:r>
        <w:rPr>
          <w:lang w:val="en-US"/>
        </w:rPr>
      </w:r>
    </w:p>
    <w:p>
      <w:pPr>
        <w:pStyle w:val="Bibliography"/>
        <w:rPr>
          <w:lang w:val="en-US"/>
        </w:rPr>
      </w:pPr>
      <w:r>
        <w:rPr>
          <w:lang w:val="en-US"/>
        </w:rPr>
        <w:t>Fischer, G., Giaccardi, E., Ye, Y., Sutcliffe, A. G., &amp; Mehandjiev, N. (2004). Meta-design.</w:t>
      </w:r>
    </w:p>
    <w:p>
      <w:pPr>
        <w:pStyle w:val="Bibliography"/>
        <w:rPr>
          <w:lang w:val="en-US"/>
        </w:rPr>
      </w:pPr>
      <w:r>
        <w:rPr>
          <w:lang w:val="en-US"/>
        </w:rPr>
      </w:r>
    </w:p>
    <w:p>
      <w:pPr>
        <w:pStyle w:val="Bibliography"/>
        <w:rPr>
          <w:lang w:val="en-US"/>
        </w:rPr>
      </w:pPr>
      <w:r>
        <w:rPr>
          <w:lang w:val="en-US"/>
        </w:rPr>
        <w:t xml:space="preserve">Fisher, M., &amp; Johansen, E. (2020). Human-centered design for medical devices and diagnostics in global health. Global Health Innovation, 3(1), 1-15. </w:t>
      </w:r>
      <w:hyperlink r:id="rId129">
        <w:r>
          <w:rPr>
            <w:rStyle w:val="Hyperlink"/>
            <w:lang w:val="en-US"/>
          </w:rPr>
          <w:t>https://doi.org/10.15641/ghi.v3i1.762</w:t>
        </w:r>
      </w:hyperlink>
    </w:p>
    <w:p>
      <w:pPr>
        <w:pStyle w:val="Bibliography"/>
        <w:rPr>
          <w:lang w:val="en-US"/>
        </w:rPr>
      </w:pPr>
      <w:r>
        <w:rPr>
          <w:lang w:val="en-US"/>
        </w:rPr>
      </w:r>
    </w:p>
    <w:p>
      <w:pPr>
        <w:pStyle w:val="Bibliography"/>
        <w:rPr>
          <w:lang w:val="en-US"/>
        </w:rPr>
      </w:pPr>
      <w:r>
        <w:rPr>
          <w:lang w:val="de-DE"/>
        </w:rPr>
        <w:t xml:space="preserve">Frangos, P., Mierdel, S., &amp; Koirala, S. (2016). </w:t>
      </w:r>
      <w:r>
        <w:rPr>
          <w:lang w:val="en-US"/>
        </w:rPr>
        <w:t>Democratising design in scientific innovation: Application of an open value network to open source hardware design.</w:t>
      </w:r>
    </w:p>
    <w:p>
      <w:pPr>
        <w:pStyle w:val="Bibliography"/>
        <w:rPr>
          <w:lang w:val="en-US"/>
        </w:rPr>
      </w:pPr>
      <w:r>
        <w:rPr>
          <w:lang w:val="en-US"/>
        </w:rPr>
      </w:r>
    </w:p>
    <w:p>
      <w:pPr>
        <w:pStyle w:val="Bibliography"/>
        <w:rPr>
          <w:lang w:val="en-US"/>
        </w:rPr>
      </w:pPr>
      <w:r>
        <w:rPr>
          <w:lang w:val="de-DE"/>
        </w:rPr>
        <w:t xml:space="preserve">Franke, N., &amp; von Hippel, E. (2003). </w:t>
      </w:r>
      <w:r>
        <w:rPr>
          <w:lang w:val="en-US"/>
        </w:rPr>
        <w:t xml:space="preserve">Satisfying heterogeneous user needs via innovation toolkits: The case of Apache security software. </w:t>
      </w:r>
      <w:r>
        <w:rPr>
          <w:i/>
          <w:iCs/>
          <w:lang w:val="en-US"/>
        </w:rPr>
        <w:t>Research Policy, 32</w:t>
      </w:r>
      <w:r>
        <w:rPr>
          <w:lang w:val="en-US"/>
        </w:rPr>
        <w:t xml:space="preserve">(7), 1199–1215. </w:t>
      </w:r>
      <w:hyperlink r:id="rId130">
        <w:r>
          <w:rPr>
            <w:rStyle w:val="Hyperlink"/>
            <w:lang w:val="en-US"/>
          </w:rPr>
          <w:t>https://doi.org/10.1016/S0048-7333(03)00049-0</w:t>
        </w:r>
      </w:hyperlink>
    </w:p>
    <w:p>
      <w:pPr>
        <w:pStyle w:val="Bibliography"/>
        <w:rPr>
          <w:lang w:val="en-US"/>
        </w:rPr>
      </w:pPr>
      <w:r>
        <w:rPr>
          <w:lang w:val="en-US"/>
        </w:rPr>
      </w:r>
    </w:p>
    <w:p>
      <w:pPr>
        <w:pStyle w:val="Bibliography"/>
        <w:rPr>
          <w:lang w:val="en-US"/>
        </w:rPr>
      </w:pPr>
      <w:r>
        <w:rPr>
          <w:lang w:val="en-US"/>
        </w:rPr>
        <w:t>Frayling, C. (1994). Research in art and design (Royal College of Art Research Papers, Vol. 1, No. 1, 1993/4). Royal College of Art.</w:t>
      </w:r>
    </w:p>
    <w:p>
      <w:pPr>
        <w:pStyle w:val="Bibliography"/>
        <w:rPr>
          <w:lang w:val="en-US"/>
        </w:rPr>
      </w:pPr>
      <w:r>
        <w:rPr>
          <w:lang w:val="en-US"/>
        </w:rPr>
      </w:r>
    </w:p>
    <w:p>
      <w:pPr>
        <w:pStyle w:val="Bibliography"/>
        <w:rPr>
          <w:lang w:val="en-US"/>
        </w:rPr>
      </w:pPr>
      <w:r>
        <w:rPr>
          <w:lang w:val="en-US"/>
        </w:rPr>
        <w:t>Ghali, S. (2008). Constructive solid geometry. In Introduction to geometric computing.</w:t>
      </w:r>
    </w:p>
    <w:p>
      <w:pPr>
        <w:pStyle w:val="Bibliography"/>
        <w:rPr>
          <w:lang w:val="en-US"/>
        </w:rPr>
      </w:pPr>
      <w:r>
        <w:rPr>
          <w:lang w:val="en-US"/>
        </w:rPr>
      </w:r>
    </w:p>
    <w:p>
      <w:pPr>
        <w:pStyle w:val="Bibliography"/>
        <w:rPr>
          <w:lang w:val="en-US"/>
        </w:rPr>
      </w:pPr>
      <w:r>
        <w:rPr>
          <w:lang w:val="de-DE"/>
        </w:rPr>
        <w:t xml:space="preserve">Ghillebert, J., Schoukens, J., &amp; Vanderborght, B. (2019). </w:t>
      </w:r>
      <w:r>
        <w:rPr>
          <w:lang w:val="en-US"/>
        </w:rPr>
        <w:t>Guidelines and recommendations to investigate the efficacy of a lower-limb prosthetic device: A systematic review.</w:t>
      </w:r>
    </w:p>
    <w:p>
      <w:pPr>
        <w:pStyle w:val="Bibliography"/>
        <w:rPr>
          <w:lang w:val="en-US"/>
        </w:rPr>
      </w:pPr>
      <w:r>
        <w:rPr>
          <w:lang w:val="en-US"/>
        </w:rPr>
      </w:r>
    </w:p>
    <w:p>
      <w:pPr>
        <w:pStyle w:val="Bibliography"/>
        <w:rPr>
          <w:lang w:val="en-US"/>
        </w:rPr>
      </w:pPr>
      <w:r>
        <w:rPr/>
        <w:t xml:space="preserve">Gonzalez Avila, J. F., Pietrzak, T., Girouard, A., &amp; Casiez, G. (2024). </w:t>
      </w:r>
      <w:r>
        <w:rPr>
          <w:lang w:val="en-US"/>
        </w:rPr>
        <w:t xml:space="preserve">Understanding the challenges of OpenSCAD users for 3D printing. In Proceedings of the CHI Conference on Human Factors in Computing Systems. ACM. </w:t>
      </w:r>
      <w:hyperlink r:id="rId131">
        <w:r>
          <w:rPr>
            <w:rStyle w:val="Hyperlink"/>
            <w:lang w:val="en-US"/>
          </w:rPr>
          <w:t>https://arxiv.org/abs/2408.01796</w:t>
        </w:r>
      </w:hyperlink>
    </w:p>
    <w:p>
      <w:pPr>
        <w:pStyle w:val="Bibliography"/>
        <w:rPr>
          <w:lang w:val="en-US"/>
        </w:rPr>
      </w:pPr>
      <w:r>
        <w:rPr>
          <w:lang w:val="en-US"/>
        </w:rPr>
      </w:r>
    </w:p>
    <w:p>
      <w:pPr>
        <w:pStyle w:val="Bibliography"/>
        <w:rPr>
          <w:lang w:val="en-US"/>
        </w:rPr>
      </w:pPr>
      <w:r>
        <w:rPr>
          <w:lang w:val="en-US"/>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rPr>
          <w:lang w:val="en-US"/>
        </w:rPr>
      </w:pPr>
      <w:r>
        <w:rPr>
          <w:lang w:val="en-US"/>
        </w:rPr>
      </w:r>
    </w:p>
    <w:p>
      <w:pPr>
        <w:pStyle w:val="Bibliography"/>
        <w:rPr>
          <w:lang w:val="en-US"/>
        </w:rPr>
      </w:pPr>
      <w:r>
        <w:rPr>
          <w:lang w:val="en-US"/>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rPr>
          <w:lang w:val="en-US"/>
        </w:rPr>
      </w:pPr>
      <w:r>
        <w:rPr>
          <w:lang w:val="en-US"/>
        </w:rPr>
      </w:r>
    </w:p>
    <w:p>
      <w:pPr>
        <w:pStyle w:val="Bibliography"/>
        <w:rPr>
          <w:lang w:val="en-US"/>
        </w:rPr>
      </w:pPr>
      <w:r>
        <w:rPr>
          <w:lang w:val="en-US"/>
        </w:rPr>
        <w:t xml:space="preserve">Górski, F., Zawadzki, P., Wichniarek, R., Kuczko, W., Słupińska, S., &amp; Żukowska, M. (2022). Automated design and rapid manufacturing of low-cost customized upper limb prostheses. Journal of Physics: Conference Series, 2198, 012040. </w:t>
      </w:r>
      <w:hyperlink r:id="rId132">
        <w:r>
          <w:rPr>
            <w:rStyle w:val="Hyperlink"/>
            <w:lang w:val="en-US"/>
          </w:rPr>
          <w:t>https://doi.org/10.1088/1742-6596/2198/1/012040</w:t>
        </w:r>
      </w:hyperlink>
    </w:p>
    <w:p>
      <w:pPr>
        <w:pStyle w:val="Bibliography"/>
        <w:rPr>
          <w:lang w:val="en-US"/>
        </w:rPr>
      </w:pPr>
      <w:r>
        <w:rPr>
          <w:lang w:val="en-US"/>
        </w:rPr>
      </w:r>
    </w:p>
    <w:p>
      <w:pPr>
        <w:pStyle w:val="Bibliography"/>
        <w:rPr>
          <w:lang w:val="de-DE"/>
        </w:rPr>
      </w:pPr>
      <w:r>
        <w:rPr>
          <w:lang w:val="en-US"/>
        </w:rPr>
        <w:t xml:space="preserve">Govender, R., Abrahmsén-Alami, S., Larsson, A., Borde, A., Liljeblad, A., &amp; Folestad, S. (2020). Independent tailoring of dose and drug release via a modularized product design concept for mass customization. </w:t>
      </w:r>
      <w:r>
        <w:rPr>
          <w:lang w:val="de-DE"/>
        </w:rPr>
        <w:t>Pharmaceutics.</w:t>
      </w:r>
    </w:p>
    <w:p>
      <w:pPr>
        <w:pStyle w:val="Bibliography"/>
        <w:rPr>
          <w:lang w:val="de-DE"/>
        </w:rPr>
      </w:pPr>
      <w:r>
        <w:rPr>
          <w:lang w:val="de-DE"/>
        </w:rPr>
      </w:r>
    </w:p>
    <w:p>
      <w:pPr>
        <w:pStyle w:val="Bibliography"/>
        <w:rPr>
          <w:lang w:val="en-US"/>
        </w:rPr>
      </w:pPr>
      <w:r>
        <w:rPr>
          <w:lang w:val="de-DE"/>
        </w:rPr>
        <w:t xml:space="preserve">Gu, Y., He, L., Zeng, H., Li, J., Zhang, N., Zhang, X., &amp; Liu, T. (2024). </w:t>
      </w:r>
      <w:r>
        <w:rPr>
          <w:lang w:val="en-US"/>
        </w:rPr>
        <w:t xml:space="preserve">A data-driven design framework for structural optimization to enhance wearing adaptability of prosthetic hands. IEEE Transactions on Neural Systems and Rehabilitation Engineering, 32. </w:t>
      </w:r>
      <w:hyperlink r:id="rId133">
        <w:r>
          <w:rPr>
            <w:rStyle w:val="Hyperlink"/>
            <w:lang w:val="en-US"/>
          </w:rPr>
          <w:t>https://doi.org/10.1109/TNSRE.2024.3430070</w:t>
        </w:r>
      </w:hyperlink>
    </w:p>
    <w:p>
      <w:pPr>
        <w:pStyle w:val="Bibliography"/>
        <w:rPr>
          <w:lang w:val="en-US"/>
        </w:rPr>
      </w:pPr>
      <w:r>
        <w:rPr>
          <w:lang w:val="en-US"/>
        </w:rPr>
      </w:r>
    </w:p>
    <w:p>
      <w:pPr>
        <w:pStyle w:val="Bibliography"/>
        <w:rPr>
          <w:lang w:val="en-US"/>
        </w:rPr>
      </w:pPr>
      <w:r>
        <w:rPr>
          <w:lang w:val="en-US"/>
        </w:rPr>
        <w:t>Guo, M. (2025). Human-centered design strategies for prosthetics based on user needs. Interdisciplinary Humanities and Communication Studies, 1(1), 39-48.</w:t>
      </w:r>
    </w:p>
    <w:p>
      <w:pPr>
        <w:pStyle w:val="Bibliography"/>
        <w:rPr>
          <w:lang w:val="en-US"/>
        </w:rPr>
      </w:pPr>
      <w:r>
        <w:rPr>
          <w:lang w:val="en-US"/>
        </w:rPr>
      </w:r>
    </w:p>
    <w:p>
      <w:pPr>
        <w:pStyle w:val="Bibliography"/>
        <w:rPr>
          <w:lang w:val="en-US"/>
        </w:rPr>
      </w:pPr>
      <w:r>
        <w:rPr>
          <w:lang w:val="en-US"/>
        </w:rPr>
        <w:t>Hafner, B. J., &amp; Sawers, A. B. (2016). Issues affecting the level of prosthetics research evidence: Secondary analysis of a systematic review.</w:t>
      </w:r>
    </w:p>
    <w:p>
      <w:pPr>
        <w:pStyle w:val="Bibliography"/>
        <w:rPr>
          <w:lang w:val="en-US"/>
        </w:rPr>
      </w:pPr>
      <w:r>
        <w:rPr>
          <w:lang w:val="en-US"/>
        </w:rPr>
      </w:r>
    </w:p>
    <w:p>
      <w:pPr>
        <w:pStyle w:val="Bibliography"/>
        <w:rPr>
          <w:lang w:val="en-US"/>
        </w:rPr>
      </w:pPr>
      <w:r>
        <w:rPr>
          <w:lang w:val="en-US"/>
        </w:rPr>
        <w:t xml:space="preserve">Henao, J. C., Phillips, S. T., Brooks, T. L., Pienta, K. J., Brantley, J. S., &amp; Carey, S. L. (2025). Upper-limb prosthetic requirements from the healthcare providers, end-users and relatives' perspectives. Journal of Hand Therapy. Advance online publication. </w:t>
      </w:r>
      <w:hyperlink r:id="rId134">
        <w:r>
          <w:rPr>
            <w:rStyle w:val="Hyperlink"/>
            <w:lang w:val="en-US"/>
          </w:rPr>
          <w:t>https://doi.org/10.1016/j.jht.2025.01.004</w:t>
        </w:r>
      </w:hyperlink>
    </w:p>
    <w:p>
      <w:pPr>
        <w:pStyle w:val="Bibliography"/>
        <w:rPr>
          <w:lang w:val="en-US"/>
        </w:rPr>
      </w:pPr>
      <w:r>
        <w:rPr>
          <w:lang w:val="en-US"/>
        </w:rPr>
      </w:r>
    </w:p>
    <w:p>
      <w:pPr>
        <w:pStyle w:val="Bibliography"/>
        <w:rPr>
          <w:lang w:val="de-DE"/>
        </w:rPr>
      </w:pPr>
      <w:r>
        <w:rPr>
          <w:lang w:val="de-DE"/>
        </w:rPr>
        <w:t xml:space="preserve">Herbst, Y., Georgopoulou, A., Dettwyler, M., Fernandez, A., Bacher, M., &amp; Paik, J. (2021). </w:t>
      </w:r>
      <w:r>
        <w:rPr>
          <w:lang w:val="en-US"/>
        </w:rPr>
        <w:t xml:space="preserve">Scan-driven fully-automated pipeline for a personalized, 3D printed low-cost prosthetic hand. In 2021 IEEE 17th International Conference on Automation Science and Engineering (CASE) (pp. 1188-1194). </w:t>
      </w:r>
      <w:r>
        <w:rPr>
          <w:lang w:val="de-DE"/>
        </w:rPr>
        <w:t xml:space="preserve">IEEE. </w:t>
      </w:r>
      <w:hyperlink r:id="rId135">
        <w:r>
          <w:rPr>
            <w:rStyle w:val="Hyperlink"/>
            <w:lang w:val="de-DE"/>
          </w:rPr>
          <w:t>https://doi.org/10.1109/CASE49439.2021.9551649</w:t>
        </w:r>
      </w:hyperlink>
    </w:p>
    <w:p>
      <w:pPr>
        <w:pStyle w:val="Bibliography"/>
        <w:rPr>
          <w:lang w:val="de-DE"/>
        </w:rPr>
      </w:pPr>
      <w:r>
        <w:rPr>
          <w:lang w:val="de-DE"/>
        </w:rPr>
      </w:r>
    </w:p>
    <w:p>
      <w:pPr>
        <w:pStyle w:val="Bibliography"/>
        <w:rPr>
          <w:lang w:val="de-DE"/>
        </w:rPr>
      </w:pPr>
      <w:r>
        <w:rPr>
          <w:lang w:val="de-DE"/>
        </w:rPr>
        <w:t xml:space="preserve">Herneth, T., Hiesl, A., Stief, F., &amp; Farago, D. (2024). </w:t>
      </w:r>
      <w:r>
        <w:rPr>
          <w:lang w:val="en-US"/>
        </w:rPr>
        <w:t xml:space="preserve">Functional kinematic and kinetic requirements of the upper limb during activities of daily living: A recommendation on necessary joint capabilities for prosthetic arms. In 2024 IEEE/RSJ International Conference on Intelligent Robots and Systems (IROS) (pp. 1-8). </w:t>
      </w:r>
      <w:r>
        <w:rPr>
          <w:lang w:val="de-DE"/>
        </w:rPr>
        <w:t xml:space="preserve">IEEE. </w:t>
      </w:r>
      <w:hyperlink r:id="rId136">
        <w:r>
          <w:rPr>
            <w:rStyle w:val="Hyperlink"/>
            <w:lang w:val="de-DE"/>
          </w:rPr>
          <w:t>https://doi.org/10.1109/IROS58592.2024.10801868</w:t>
        </w:r>
      </w:hyperlink>
    </w:p>
    <w:p>
      <w:pPr>
        <w:pStyle w:val="Bibliography"/>
        <w:rPr>
          <w:lang w:val="de-DE"/>
        </w:rPr>
      </w:pPr>
      <w:r>
        <w:rPr>
          <w:lang w:val="de-DE"/>
        </w:rPr>
      </w:r>
    </w:p>
    <w:p>
      <w:pPr>
        <w:pStyle w:val="Bibliography"/>
        <w:rPr>
          <w:lang w:val="en-US"/>
        </w:rPr>
      </w:pPr>
      <w:r>
        <w:rPr>
          <w:lang w:val="de-DE"/>
        </w:rPr>
        <w:t xml:space="preserve">von Hippel, E., &amp; Katz, R. (2002). </w:t>
      </w:r>
      <w:r>
        <w:rPr>
          <w:lang w:val="en-US"/>
        </w:rPr>
        <w:t xml:space="preserve">Shifting innovation to users via toolkits. </w:t>
      </w:r>
      <w:r>
        <w:rPr>
          <w:i/>
          <w:iCs/>
          <w:lang w:val="en-US"/>
        </w:rPr>
        <w:t>Management Science, 48</w:t>
      </w:r>
      <w:r>
        <w:rPr>
          <w:lang w:val="en-US"/>
        </w:rPr>
        <w:t xml:space="preserve">(7), 821–833. </w:t>
      </w:r>
      <w:hyperlink r:id="rId137">
        <w:r>
          <w:rPr>
            <w:rStyle w:val="Hyperlink"/>
            <w:lang w:val="en-US"/>
          </w:rPr>
          <w:t>https://doi.org/10.1287/mnsc.48.7.821.2817</w:t>
        </w:r>
      </w:hyperlink>
    </w:p>
    <w:p>
      <w:pPr>
        <w:pStyle w:val="Bibliography"/>
        <w:rPr>
          <w:lang w:val="en-US"/>
        </w:rPr>
      </w:pPr>
      <w:r>
        <w:rPr>
          <w:lang w:val="en-US"/>
        </w:rPr>
      </w:r>
    </w:p>
    <w:p>
      <w:pPr>
        <w:pStyle w:val="Bibliography"/>
        <w:rPr>
          <w:lang w:val="en-US"/>
        </w:rPr>
      </w:pPr>
      <w:r>
        <w:rPr>
          <w:lang w:val="en-US"/>
        </w:rPr>
        <w:t xml:space="preserve">Hofmann, M. H., Griffiths, D., &amp; Margetts, E. (2016). Helping hands: Requirements for a prototyping methodology for upper-limb prosthetics users. In Proceedings of the 2016 CHI Conference on Human Factors in Computing Systems (pp. 1769-1780). ACM. </w:t>
      </w:r>
      <w:hyperlink r:id="rId138">
        <w:r>
          <w:rPr>
            <w:rStyle w:val="Hyperlink"/>
            <w:lang w:val="en-US"/>
          </w:rPr>
          <w:t>https://doi.org/10.1145/2858036.2858346</w:t>
        </w:r>
      </w:hyperlink>
    </w:p>
    <w:p>
      <w:pPr>
        <w:pStyle w:val="Bibliography"/>
        <w:rPr>
          <w:lang w:val="en-US"/>
        </w:rPr>
      </w:pPr>
      <w:r>
        <w:rPr>
          <w:lang w:val="en-US"/>
        </w:rPr>
      </w:r>
    </w:p>
    <w:p>
      <w:pPr>
        <w:pStyle w:val="Bibliography"/>
        <w:rPr>
          <w:lang w:val="en-US"/>
        </w:rPr>
      </w:pPr>
      <w:r>
        <w:rPr>
          <w:lang w:val="en-US"/>
        </w:rPr>
        <w:t>Howard, D., Davies, L., Dwyer, A., &amp; Williams, J. (2022). Assessing the use of co-design to produce bespoke assistive technology solutions within a current healthcare service: A service evaluation.</w:t>
      </w:r>
    </w:p>
    <w:p>
      <w:pPr>
        <w:pStyle w:val="Bibliography"/>
        <w:rPr>
          <w:lang w:val="en-US"/>
        </w:rPr>
      </w:pPr>
      <w:r>
        <w:rPr>
          <w:lang w:val="en-US"/>
        </w:rPr>
      </w:r>
    </w:p>
    <w:p>
      <w:pPr>
        <w:pStyle w:val="Bibliography"/>
        <w:rPr>
          <w:lang w:val="en-US"/>
        </w:rPr>
      </w:pPr>
      <w:r>
        <w:rPr>
          <w:lang w:val="en-US"/>
        </w:rPr>
        <w:t xml:space="preserve">Howard, J., Fisher, Z., Kemp, A. H., Lindsay, S., Tasker, L. H., &amp; Tree, J. J. (2022). Exploring the barriers to using assistive technology for individuals with chronic conditions: A meta-synthesis review. </w:t>
      </w:r>
      <w:r>
        <w:rPr>
          <w:i/>
          <w:iCs/>
          <w:lang w:val="en-US"/>
        </w:rPr>
        <w:t>Disability and Rehabilitation: Assistive Technology, 17</w:t>
      </w:r>
      <w:r>
        <w:rPr>
          <w:lang w:val="en-US"/>
        </w:rPr>
        <w:t xml:space="preserve">(4), 390–408. </w:t>
      </w:r>
      <w:hyperlink r:id="rId139">
        <w:r>
          <w:rPr>
            <w:rStyle w:val="Hyperlink"/>
            <w:lang w:val="en-US"/>
          </w:rPr>
          <w:t>https://doi.org/10.1080/17483107.2020.1788181</w:t>
        </w:r>
      </w:hyperlink>
    </w:p>
    <w:p>
      <w:pPr>
        <w:pStyle w:val="Bibliography"/>
        <w:rPr>
          <w:lang w:val="en-US"/>
        </w:rPr>
      </w:pPr>
      <w:r>
        <w:rPr>
          <w:lang w:val="en-US"/>
        </w:rPr>
      </w:r>
    </w:p>
    <w:p>
      <w:pPr>
        <w:pStyle w:val="Bibliography"/>
        <w:rPr>
          <w:lang w:val="en-US"/>
        </w:rPr>
      </w:pPr>
      <w:r>
        <w:rPr>
          <w:lang w:val="en-US"/>
        </w:rPr>
        <w:t xml:space="preserve">Hsueh, M.-H., Lai, C.-J., Wang, S.-H., Zeng, Y.-S., Hsieh, C.-H., Pan, C.-Y., &amp; Huang, W.-C. (2021). Effect of printing parameters on the thermal and mechanical properties of 3D-printed PLA and PETG, using fused deposition modeling. Polymers, 13(11), 1758. </w:t>
      </w:r>
      <w:hyperlink r:id="rId140">
        <w:r>
          <w:rPr>
            <w:rStyle w:val="Hyperlink"/>
            <w:lang w:val="en-US"/>
          </w:rPr>
          <w:t>https://doi.org/10.3390/polym13111758</w:t>
        </w:r>
      </w:hyperlink>
    </w:p>
    <w:p>
      <w:pPr>
        <w:pStyle w:val="Bibliography"/>
        <w:rPr>
          <w:lang w:val="en-US"/>
        </w:rPr>
      </w:pPr>
      <w:r>
        <w:rPr>
          <w:lang w:val="en-US"/>
        </w:rPr>
      </w:r>
    </w:p>
    <w:p>
      <w:pPr>
        <w:pStyle w:val="Bibliography"/>
        <w:rPr>
          <w:lang w:val="en-US"/>
        </w:rPr>
      </w:pPr>
      <w:r>
        <w:rPr>
          <w:lang w:val="en-US"/>
        </w:rPr>
        <w:t xml:space="preserve">Hu, H., Li, Z., Yan, J., Wang, X., Xiao, H., Duan, J., &amp; Zheng, L. (2007). Anthropometric measurement of the Chinese elderly living in the Beijing area. International Journal of Industrial Ergonomics, 37(4), 303-311. </w:t>
      </w:r>
      <w:hyperlink r:id="rId141">
        <w:r>
          <w:rPr>
            <w:rStyle w:val="Hyperlink"/>
            <w:lang w:val="en-US"/>
          </w:rPr>
          <w:t>https://doi.org/10.1016/j.ergon.2006.11.006</w:t>
        </w:r>
      </w:hyperlink>
    </w:p>
    <w:p>
      <w:pPr>
        <w:pStyle w:val="Bibliography"/>
        <w:rPr>
          <w:lang w:val="en-US"/>
        </w:rPr>
      </w:pPr>
      <w:r>
        <w:rPr>
          <w:lang w:val="en-US"/>
        </w:rPr>
      </w:r>
    </w:p>
    <w:p>
      <w:pPr>
        <w:pStyle w:val="Bibliography"/>
        <w:rPr>
          <w:lang w:val="en-US"/>
        </w:rPr>
      </w:pPr>
      <w:r>
        <w:rPr>
          <w:lang w:val="en-US"/>
        </w:rPr>
        <w:t>Hussaini, A., Kyberd, P., Mulindwa, B., Ssekitoleko, R., Keeble, W., Kenney, L., &amp; Howard, D. (2023). 3D printing in LMICs: Functional design for upper limb prosthetics in Uganda.</w:t>
      </w:r>
    </w:p>
    <w:p>
      <w:pPr>
        <w:pStyle w:val="Bibliography"/>
        <w:rPr>
          <w:lang w:val="en-US"/>
        </w:rPr>
      </w:pPr>
      <w:r>
        <w:rPr>
          <w:lang w:val="en-US"/>
        </w:rPr>
      </w:r>
    </w:p>
    <w:p>
      <w:pPr>
        <w:pStyle w:val="Bibliography"/>
        <w:rPr>
          <w:lang w:val="en-US"/>
        </w:rPr>
      </w:pPr>
      <w:r>
        <w:rPr>
          <w:lang w:val="en-US"/>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rPr>
          <w:lang w:val="en-US"/>
        </w:rPr>
      </w:pPr>
      <w:r>
        <w:rPr>
          <w:lang w:val="en-US"/>
        </w:rPr>
      </w:r>
    </w:p>
    <w:p>
      <w:pPr>
        <w:pStyle w:val="Bibliography"/>
        <w:rPr>
          <w:lang w:val="en-US"/>
        </w:rPr>
      </w:pPr>
      <w:r>
        <w:rPr>
          <w:lang w:val="en-US"/>
        </w:rPr>
        <w:t xml:space="preserve">Ibrahim, M. T., Azman, H., Adzahar, N. S. I. A., Ismail, M. A., &amp; Shaharuddin, S. (2024). Techniques for measuring the fluctuation of residual lower limb volume in clinical practices: A systematic review of the past four decades. Applied Sciences, 14(6), 2594. </w:t>
      </w:r>
      <w:hyperlink r:id="rId142">
        <w:r>
          <w:rPr>
            <w:rStyle w:val="Hyperlink"/>
            <w:lang w:val="en-US"/>
          </w:rPr>
          <w:t>https://www.mdpi.com/2076-3417/14/6/2594/pdf?version=1710932396</w:t>
        </w:r>
      </w:hyperlink>
    </w:p>
    <w:p>
      <w:pPr>
        <w:pStyle w:val="Bibliography"/>
        <w:rPr>
          <w:lang w:val="en-US"/>
        </w:rPr>
      </w:pPr>
      <w:r>
        <w:rPr>
          <w:lang w:val="en-US"/>
        </w:rPr>
      </w:r>
    </w:p>
    <w:p>
      <w:pPr>
        <w:pStyle w:val="Bibliography"/>
        <w:rPr/>
      </w:pPr>
      <w:r>
        <w:rPr>
          <w:lang w:val="en-US"/>
        </w:rPr>
        <w:t xml:space="preserve">Idris, M. Z., Hashim, M. E. A. H. B., Albakry, N., &amp; Septian, N. (2024). Exploring the integration of artificial intelligence in co-design framework for designer. </w:t>
      </w:r>
      <w:hyperlink r:id="rId143">
        <w:r>
          <w:rPr>
            <w:rStyle w:val="Hyperlink"/>
          </w:rPr>
          <w:t>https://ebpj.e-iph.co.uk/index.php/EBProceedings/article/download/6348/3640</w:t>
        </w:r>
      </w:hyperlink>
    </w:p>
    <w:p>
      <w:pPr>
        <w:pStyle w:val="Bibliography"/>
        <w:rPr/>
      </w:pPr>
      <w:r>
        <w:rPr/>
      </w:r>
    </w:p>
    <w:p>
      <w:pPr>
        <w:pStyle w:val="Bibliography"/>
        <w:rPr>
          <w:lang w:val="en-US"/>
        </w:rPr>
      </w:pPr>
      <w:r>
        <w:rPr>
          <w:lang w:val="en-US"/>
        </w:rPr>
        <w:t xml:space="preserve">International Electrotechnical Commission. (2015). </w:t>
      </w:r>
      <w:r>
        <w:rPr>
          <w:i/>
          <w:iCs/>
          <w:lang w:val="en-US"/>
        </w:rPr>
        <w:t xml:space="preserve">Internacional </w:t>
      </w:r>
      <w:hyperlink r:id="rId144">
        <w:r>
          <w:rPr>
            <w:rStyle w:val="Hyperlink"/>
            <w:lang w:val="en-US"/>
          </w:rPr>
          <w:t>https://webstore.iec.ch/en/publication/21863</w:t>
        </w:r>
      </w:hyperlink>
    </w:p>
    <w:p>
      <w:pPr>
        <w:pStyle w:val="Bibliography"/>
        <w:rPr>
          <w:lang w:val="en-US"/>
        </w:rPr>
      </w:pPr>
      <w:r>
        <w:rPr>
          <w:lang w:val="en-US"/>
        </w:rPr>
      </w:r>
    </w:p>
    <w:p>
      <w:pPr>
        <w:pStyle w:val="Bibliography"/>
        <w:rPr>
          <w:lang w:val="en-US"/>
        </w:rPr>
      </w:pPr>
      <w:r>
        <w:rPr>
          <w:lang w:val="en-US"/>
        </w:rPr>
        <w:t xml:space="preserve">International Organization for Standardization. (n.d.). </w:t>
      </w:r>
      <w:r>
        <w:rPr>
          <w:i/>
          <w:iCs/>
          <w:lang w:val="en-US"/>
        </w:rPr>
        <w:t>ISO/TC 168: Prosthetics and orthotics</w:t>
      </w:r>
      <w:r>
        <w:rPr>
          <w:lang w:val="en-US"/>
        </w:rPr>
        <w:t xml:space="preserve">. Retrieved July 20, 2026, from </w:t>
      </w:r>
      <w:hyperlink r:id="rId145">
        <w:r>
          <w:rPr>
            <w:rStyle w:val="Hyperlink"/>
            <w:lang w:val="en-US"/>
          </w:rPr>
          <w:t>https://www.iso.org/committee/53630.html</w:t>
        </w:r>
      </w:hyperlink>
    </w:p>
    <w:p>
      <w:pPr>
        <w:pStyle w:val="Bibliography"/>
        <w:rPr>
          <w:lang w:val="en-US"/>
        </w:rPr>
      </w:pPr>
      <w:r>
        <w:rPr>
          <w:lang w:val="en-US"/>
        </w:rPr>
      </w:r>
    </w:p>
    <w:p>
      <w:pPr>
        <w:pStyle w:val="Bibliography"/>
        <w:rPr>
          <w:lang w:val="en-US"/>
        </w:rPr>
      </w:pPr>
      <w:r>
        <w:rPr>
          <w:lang w:val="en-US"/>
        </w:rPr>
        <w:t xml:space="preserve">International Organization for Standardization. (2017). </w:t>
      </w:r>
      <w:r>
        <w:rPr>
          <w:i/>
          <w:iCs/>
          <w:lang w:val="en-US"/>
        </w:rPr>
        <w:t>Basic human body measurements for technological design—Part 1: Body measurement definitions and landmarks</w:t>
      </w:r>
      <w:r>
        <w:rPr>
          <w:lang w:val="en-US"/>
        </w:rPr>
        <w:t xml:space="preserve"> (ISO Standard No. 7250-1:2017). </w:t>
      </w:r>
      <w:hyperlink r:id="rId146">
        <w:r>
          <w:rPr>
            <w:rStyle w:val="Hyperlink"/>
            <w:lang w:val="en-US"/>
          </w:rPr>
          <w:t>https://www.iso.org/standard/65246.html</w:t>
        </w:r>
      </w:hyperlink>
    </w:p>
    <w:p>
      <w:pPr>
        <w:pStyle w:val="Bibliography"/>
        <w:rPr>
          <w:lang w:val="en-US"/>
        </w:rPr>
      </w:pPr>
      <w:r>
        <w:rPr>
          <w:lang w:val="en-US"/>
        </w:rPr>
      </w:r>
    </w:p>
    <w:p>
      <w:pPr>
        <w:pStyle w:val="Bibliography"/>
        <w:rPr>
          <w:lang w:val="en-US"/>
        </w:rPr>
      </w:pPr>
      <w:r>
        <w:rPr>
          <w:lang w:val="en-US"/>
        </w:rPr>
        <w:t xml:space="preserve">International Organization for Standardization. (2020). </w:t>
      </w:r>
      <w:r>
        <w:rPr>
          <w:i/>
          <w:iCs/>
          <w:lang w:val="en-US"/>
        </w:rPr>
        <w:t>Prosthetics and orthotics—Vocabulary—Part 1: General terms for external limb prostheses and external orthoses</w:t>
      </w:r>
      <w:r>
        <w:rPr>
          <w:lang w:val="en-US"/>
        </w:rPr>
        <w:t xml:space="preserve"> (ISO Standard No. 8549-1:2020). </w:t>
      </w:r>
      <w:hyperlink r:id="rId147">
        <w:r>
          <w:rPr>
            <w:rStyle w:val="Hyperlink"/>
            <w:lang w:val="en-US"/>
          </w:rPr>
          <w:t>https://www.iso.org/standard/79495.html</w:t>
        </w:r>
      </w:hyperlink>
    </w:p>
    <w:p>
      <w:pPr>
        <w:pStyle w:val="Bibliography"/>
        <w:rPr>
          <w:lang w:val="en-US"/>
        </w:rPr>
      </w:pPr>
      <w:r>
        <w:rPr>
          <w:lang w:val="en-US"/>
        </w:rPr>
      </w:r>
    </w:p>
    <w:p>
      <w:pPr>
        <w:pStyle w:val="Bibliography"/>
        <w:rPr>
          <w:lang w:val="en-US"/>
        </w:rPr>
      </w:pPr>
      <w:r>
        <w:rPr>
          <w:lang w:val="en-US"/>
        </w:rPr>
        <w:t xml:space="preserve">Jones, H., Chadwell, A., &amp; Dyson, M. (2023). Evidencing the effectiveness of upper limb prostheses: A multi-stakeholder perspective on study requirements. </w:t>
      </w:r>
      <w:r>
        <w:rPr>
          <w:i/>
          <w:iCs/>
          <w:lang w:val="en-US"/>
        </w:rPr>
        <w:t>Frontiers in Health Services, 3</w:t>
      </w:r>
      <w:r>
        <w:rPr>
          <w:lang w:val="en-US"/>
        </w:rPr>
        <w:t xml:space="preserve">, Article 1213752. </w:t>
      </w:r>
      <w:hyperlink r:id="rId148">
        <w:r>
          <w:rPr>
            <w:rStyle w:val="Hyperlink"/>
            <w:lang w:val="en-US"/>
          </w:rPr>
          <w:t>https://doi.org/10.3389/frhs.2023.1213752</w:t>
        </w:r>
      </w:hyperlink>
    </w:p>
    <w:p>
      <w:pPr>
        <w:pStyle w:val="Bibliography"/>
        <w:rPr>
          <w:lang w:val="en-US"/>
        </w:rPr>
      </w:pPr>
      <w:r>
        <w:rPr>
          <w:lang w:val="en-US"/>
        </w:rPr>
      </w:r>
    </w:p>
    <w:p>
      <w:pPr>
        <w:pStyle w:val="Bibliography"/>
        <w:rPr>
          <w:lang w:val="en-US"/>
        </w:rPr>
      </w:pPr>
      <w:r>
        <w:rPr>
          <w:lang w:val="en-US"/>
        </w:rPr>
        <w:t xml:space="preserve">Kadenhe, N., Al Musleh, M., &amp; Lompot, A. (2025). Human-AI co-design and co-creation: A review of emerging approaches, challenges, and future directions. Proceedings of the AAAI Symposium Series, 6(1), 265-270. </w:t>
      </w:r>
      <w:hyperlink r:id="rId149">
        <w:r>
          <w:rPr>
            <w:rStyle w:val="Hyperlink"/>
            <w:lang w:val="en-US"/>
          </w:rPr>
          <w:t>https://doi.org/10.1609/aaaiss.v6i1.36061</w:t>
        </w:r>
      </w:hyperlink>
    </w:p>
    <w:p>
      <w:pPr>
        <w:pStyle w:val="Bibliography"/>
        <w:rPr>
          <w:lang w:val="en-US"/>
        </w:rPr>
      </w:pPr>
      <w:r>
        <w:rPr>
          <w:lang w:val="en-US"/>
        </w:rPr>
      </w:r>
    </w:p>
    <w:p>
      <w:pPr>
        <w:pStyle w:val="Bibliography"/>
        <w:rPr>
          <w:lang w:val="en-US"/>
        </w:rPr>
      </w:pPr>
      <w:r>
        <w:rPr>
          <w:lang w:val="de-DE"/>
        </w:rPr>
        <w:t xml:space="preserve">Kandikjan, T., Djokikj, J., Mircheski, I., &amp; Angeleska, E. (2022). </w:t>
      </w:r>
      <w:r>
        <w:rPr>
          <w:lang w:val="en-US"/>
        </w:rPr>
        <w:t xml:space="preserve">Integrating parametric design and additive manufacturing knowledge in industrial design education. Materials Today: Proceedings, 70, 687-693. </w:t>
      </w:r>
      <w:hyperlink r:id="rId150">
        <w:r>
          <w:rPr>
            <w:rStyle w:val="Hyperlink"/>
            <w:lang w:val="en-US"/>
          </w:rPr>
          <w:t>https://doi.org/10.1016/j.matpr.2022.10.124</w:t>
        </w:r>
      </w:hyperlink>
    </w:p>
    <w:p>
      <w:pPr>
        <w:pStyle w:val="Bibliography"/>
        <w:rPr>
          <w:lang w:val="en-US"/>
        </w:rPr>
      </w:pPr>
      <w:r>
        <w:rPr>
          <w:lang w:val="en-US"/>
        </w:rPr>
      </w:r>
    </w:p>
    <w:p>
      <w:pPr>
        <w:pStyle w:val="Bibliography"/>
        <w:rPr>
          <w:lang w:val="en-US"/>
        </w:rPr>
      </w:pPr>
      <w:r>
        <w:rPr>
          <w:lang w:val="en-US"/>
        </w:rPr>
        <w:t xml:space="preserve">Kannenberg, A., Buis, A. W. P., Sengeh, D. M., &amp; Worsley, P. R. (2024). Insights into the spectrum of transtibial prosthetic socket design from expert clinicians and their digital records. Frontiers in Rehabilitation Sciences, 5. </w:t>
      </w:r>
      <w:hyperlink r:id="rId151">
        <w:r>
          <w:rPr>
            <w:rStyle w:val="Hyperlink"/>
            <w:lang w:val="en-US"/>
          </w:rPr>
          <w:t>https://doi.org/10.3389/fresc.2024.1354069</w:t>
        </w:r>
      </w:hyperlink>
    </w:p>
    <w:p>
      <w:pPr>
        <w:pStyle w:val="Bibliography"/>
        <w:rPr>
          <w:lang w:val="en-US"/>
        </w:rPr>
      </w:pPr>
      <w:r>
        <w:rPr>
          <w:lang w:val="en-US"/>
        </w:rPr>
      </w:r>
    </w:p>
    <w:p>
      <w:pPr>
        <w:pStyle w:val="Bibliography"/>
        <w:rPr>
          <w:lang w:val="de-DE"/>
        </w:rPr>
      </w:pPr>
      <w:r>
        <w:rPr>
          <w:lang w:val="en-US"/>
        </w:rPr>
        <w:t xml:space="preserve">Kaygan, H., &amp; Kaygan, P. (2025). Clients and carers: Healthcare professionals’ roles in medical device development processes in SMEs. </w:t>
      </w:r>
      <w:r>
        <w:rPr>
          <w:lang w:val="de-DE"/>
        </w:rPr>
        <w:t xml:space="preserve">The Design Journal, 28(2), 213-231. </w:t>
      </w:r>
      <w:hyperlink r:id="rId152">
        <w:r>
          <w:rPr>
            <w:rStyle w:val="Hyperlink"/>
            <w:lang w:val="de-DE"/>
          </w:rPr>
          <w:t>https://doi.org/10.1080/14606925.2024.2420152</w:t>
        </w:r>
      </w:hyperlink>
    </w:p>
    <w:p>
      <w:pPr>
        <w:pStyle w:val="Bibliography"/>
        <w:rPr>
          <w:lang w:val="de-DE"/>
        </w:rPr>
      </w:pPr>
      <w:r>
        <w:rPr>
          <w:lang w:val="de-DE"/>
        </w:rPr>
      </w:r>
    </w:p>
    <w:p>
      <w:pPr>
        <w:pStyle w:val="Bibliography"/>
        <w:rPr>
          <w:lang w:val="en-US"/>
        </w:rPr>
      </w:pPr>
      <w:r>
        <w:rPr>
          <w:lang w:val="de-DE"/>
        </w:rPr>
        <w:t xml:space="preserve">Kellam, S. M., Boleneus, G. J., Stewart, J., Richter, D. C., Michaelis, B. M., &amp; Gerlick, R. E. (2019). </w:t>
      </w:r>
      <w:r>
        <w:rPr>
          <w:lang w:val="en-US"/>
        </w:rPr>
        <w:t>An undergraduate engineering service learning project involving 3D-printed prosthetic hands for children. In American Society for Engineering Education Annual Conference &amp; Exposition Proceedings.</w:t>
      </w:r>
    </w:p>
    <w:p>
      <w:pPr>
        <w:pStyle w:val="Bibliography"/>
        <w:rPr>
          <w:lang w:val="en-US"/>
        </w:rPr>
      </w:pPr>
      <w:r>
        <w:rPr>
          <w:lang w:val="en-US"/>
        </w:rPr>
      </w:r>
    </w:p>
    <w:p>
      <w:pPr>
        <w:pStyle w:val="Bibliography"/>
        <w:rPr>
          <w:lang w:val="en-US"/>
        </w:rPr>
      </w:pPr>
      <w:r>
        <w:rPr>
          <w:lang w:val="en-US"/>
        </w:rPr>
        <w:t>Kerr, A., Del Din, S., Clarkson, P. J., &amp; Rochester, L. (2024). A participatory model for cocreating accessible rehabilitation technology for stroke survivors: User-centered design approach.</w:t>
      </w:r>
    </w:p>
    <w:p>
      <w:pPr>
        <w:pStyle w:val="Bibliography"/>
        <w:rPr>
          <w:lang w:val="en-US"/>
        </w:rPr>
      </w:pPr>
      <w:r>
        <w:rPr>
          <w:lang w:val="en-US"/>
        </w:rPr>
      </w:r>
    </w:p>
    <w:p>
      <w:pPr>
        <w:pStyle w:val="Bibliography"/>
        <w:rPr>
          <w:lang w:val="en-US"/>
        </w:rPr>
      </w:pPr>
      <w:r>
        <w:rPr>
          <w:lang w:val="en-US"/>
        </w:rPr>
        <w:t xml:space="preserve">Khanolkar, P. M., Vrolijk, A., &amp; Olechowski, A. (2023). Mapping artificial intelligence-based methods to engineering design stages: A focused literature review. Artificial Intelligence for Engineering Design, Analysis and Manufacturing, 37, e25. </w:t>
      </w:r>
      <w:hyperlink r:id="rId153">
        <w:r>
          <w:rPr>
            <w:rStyle w:val="Hyperlink"/>
            <w:lang w:val="en-US"/>
          </w:rPr>
          <w:t>https://doi.org/10.1017/S0890060423000203</w:t>
        </w:r>
      </w:hyperlink>
    </w:p>
    <w:p>
      <w:pPr>
        <w:pStyle w:val="Bibliography"/>
        <w:rPr>
          <w:lang w:val="en-US"/>
        </w:rPr>
      </w:pPr>
      <w:r>
        <w:rPr>
          <w:lang w:val="en-US"/>
        </w:rPr>
      </w:r>
    </w:p>
    <w:p>
      <w:pPr>
        <w:pStyle w:val="Bibliography"/>
        <w:rPr>
          <w:lang w:val="en-US"/>
        </w:rPr>
      </w:pPr>
      <w:r>
        <w:rPr>
          <w:lang w:val="de-DE"/>
        </w:rPr>
        <w:t xml:space="preserve">Krahe, C., Bräunche, A., Jacob, A., Stricker, N., &amp; Lanza, G. (2020). </w:t>
      </w:r>
      <w:r>
        <w:rPr>
          <w:lang w:val="en-US"/>
        </w:rPr>
        <w:t xml:space="preserve">Deep learning for automated product design. Procedia CIRP, 91, 3-8. </w:t>
      </w:r>
      <w:hyperlink r:id="rId154">
        <w:r>
          <w:rPr>
            <w:rStyle w:val="Hyperlink"/>
            <w:lang w:val="en-US"/>
          </w:rPr>
          <w:t>https://doi.org/10.1016/j.procir.2020.01.135</w:t>
        </w:r>
      </w:hyperlink>
    </w:p>
    <w:p>
      <w:pPr>
        <w:pStyle w:val="Bibliography"/>
        <w:rPr>
          <w:lang w:val="en-US"/>
        </w:rPr>
      </w:pPr>
      <w:r>
        <w:rPr>
          <w:lang w:val="en-US"/>
        </w:rPr>
      </w:r>
    </w:p>
    <w:p>
      <w:pPr>
        <w:pStyle w:val="Bibliography"/>
        <w:rPr>
          <w:lang w:val="en-US"/>
        </w:rPr>
      </w:pPr>
      <w:r>
        <w:rPr>
          <w:lang w:val="de-DE"/>
        </w:rPr>
        <w:t xml:space="preserve">Kuhl, M., Lutz, J., Krause, D., &amp; Vielhaber, M. (2020). </w:t>
      </w:r>
      <w:r>
        <w:rPr>
          <w:lang w:val="en-US"/>
        </w:rPr>
        <w:t>Design of personalized devices: The tradeoff between individual value and personalization workload. Applied Sciences.</w:t>
      </w:r>
    </w:p>
    <w:p>
      <w:pPr>
        <w:pStyle w:val="Bibliography"/>
        <w:rPr>
          <w:lang w:val="en-US"/>
        </w:rPr>
      </w:pPr>
      <w:r>
        <w:rPr/>
        <w:t xml:space="preserve">Lei, N., Moon, S. K., &amp; Rosen, D. W. (2015). Redefining product family design for additive manufacturing. In </w:t>
      </w:r>
      <w:r>
        <w:rPr>
          <w:i/>
          <w:iCs/>
        </w:rPr>
        <w:t>DS 80-4: Proceedings of the 20th International Conference on Engineering Design (ICED 15), Vol. 4: Design for X, Design to X</w:t>
      </w:r>
      <w:r>
        <w:rPr/>
        <w:t xml:space="preserve"> (pp. 267–278). The Design Society. https://iced.designsociety.org/publication/37778/redefining_product_family_design_for_additive_manufacturing</w:t>
      </w:r>
    </w:p>
    <w:p>
      <w:pPr>
        <w:pStyle w:val="Bibliography"/>
        <w:rPr>
          <w:lang w:val="en-US"/>
        </w:rPr>
      </w:pPr>
      <w:r>
        <w:rPr>
          <w:lang w:val="en-US"/>
        </w:rPr>
        <w:t xml:space="preserve">Lei, N., Yao, X., Moon, S. K., &amp; Bi, G. (2016). An additive manufacturing process model for product family design. </w:t>
      </w:r>
      <w:r>
        <w:rPr>
          <w:i/>
          <w:iCs/>
          <w:lang w:val="en-US"/>
        </w:rPr>
        <w:t>Journal of Engineering Design, 27</w:t>
      </w:r>
      <w:r>
        <w:rPr>
          <w:lang w:val="en-US"/>
        </w:rPr>
        <w:t xml:space="preserve">(11), 751–767. </w:t>
      </w:r>
      <w:hyperlink r:id="rId155">
        <w:r>
          <w:rPr>
            <w:rStyle w:val="Hyperlink"/>
            <w:lang w:val="en-US"/>
          </w:rPr>
          <w:t>https://doi.org/10.1080/09544828.2016.1228101</w:t>
        </w:r>
      </w:hyperlink>
    </w:p>
    <w:p>
      <w:pPr>
        <w:pStyle w:val="Bibliography"/>
        <w:rPr>
          <w:lang w:val="en-US"/>
        </w:rPr>
      </w:pPr>
      <w:r>
        <w:rPr>
          <w:lang w:val="en-US"/>
        </w:rPr>
      </w:r>
    </w:p>
    <w:p>
      <w:pPr>
        <w:pStyle w:val="Bibliography"/>
        <w:rPr>
          <w:lang w:val="en-US"/>
        </w:rPr>
      </w:pPr>
      <w:r>
        <w:rPr>
          <w:lang w:val="en-US"/>
        </w:rPr>
        <w:t xml:space="preserve">Li, M., &amp; Aflatoony, L. (2025). Parametric design and three-dimensional printing: Enabling occupational therapists to develop custom hand grips. Disability and Rehabilitation: Assistive Technology, 20(6), 1829-1837. </w:t>
      </w:r>
      <w:hyperlink r:id="rId156">
        <w:r>
          <w:rPr>
            <w:rStyle w:val="Hyperlink"/>
            <w:lang w:val="en-US"/>
          </w:rPr>
          <w:t>https://doi.org/10.1080/17483107.2025.2483953</w:t>
        </w:r>
      </w:hyperlink>
    </w:p>
    <w:p>
      <w:pPr>
        <w:pStyle w:val="Bibliography"/>
        <w:rPr>
          <w:lang w:val="en-US"/>
        </w:rPr>
      </w:pPr>
      <w:r>
        <w:rPr>
          <w:lang w:val="en-US"/>
        </w:rPr>
      </w:r>
    </w:p>
    <w:p>
      <w:pPr>
        <w:pStyle w:val="Bibliography"/>
        <w:rPr>
          <w:lang w:val="en-US"/>
        </w:rPr>
      </w:pPr>
      <w:r>
        <w:rPr>
          <w:lang w:val="en-US"/>
        </w:rPr>
        <w:t xml:space="preserve">Li, X., Demirel, H., Goldstein, M., &amp; Sha, Z. (2021). Exploring generative design thinking for engineering design and design education. </w:t>
      </w:r>
      <w:hyperlink r:id="rId157">
        <w:r>
          <w:rPr>
            <w:rStyle w:val="Hyperlink"/>
            <w:lang w:val="en-US"/>
          </w:rPr>
          <w:t>https://peer.asee.org/38349.pdf</w:t>
        </w:r>
      </w:hyperlink>
    </w:p>
    <w:p>
      <w:pPr>
        <w:pStyle w:val="Bibliography"/>
        <w:rPr>
          <w:lang w:val="en-US"/>
        </w:rPr>
      </w:pPr>
      <w:r>
        <w:rPr>
          <w:lang w:val="en-US"/>
        </w:rPr>
      </w:r>
    </w:p>
    <w:p>
      <w:pPr>
        <w:pStyle w:val="Bibliography"/>
        <w:rPr>
          <w:lang w:val="en-US"/>
        </w:rPr>
      </w:pPr>
      <w:r>
        <w:rPr>
          <w:lang w:val="en-US"/>
        </w:rPr>
        <w:t xml:space="preserve">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158">
        <w:r>
          <w:rPr>
            <w:rStyle w:val="Hyperlink"/>
            <w:lang w:val="en-US"/>
          </w:rPr>
          <w:t>https://doi.org/10.1115/DETC2018-85645</w:t>
        </w:r>
      </w:hyperlink>
    </w:p>
    <w:p>
      <w:pPr>
        <w:pStyle w:val="Bibliography"/>
        <w:rPr>
          <w:lang w:val="en-US"/>
        </w:rPr>
      </w:pPr>
      <w:r>
        <w:rPr>
          <w:lang w:val="en-US"/>
        </w:rPr>
      </w:r>
    </w:p>
    <w:p>
      <w:pPr>
        <w:pStyle w:val="Bibliography"/>
        <w:rPr/>
      </w:pPr>
      <w:r>
        <w:rPr>
          <w:lang w:val="en-US"/>
        </w:rPr>
        <w:t xml:space="preserve">Lindell, E., Tingsvik, H., Guo, L., &amp; Peterson, J. (2021). 3D body scan as anthropometric tool for individualized prosthetic socks. </w:t>
      </w:r>
      <w:hyperlink r:id="rId159">
        <w:r>
          <w:rPr>
            <w:rStyle w:val="Hyperlink"/>
          </w:rPr>
          <w:t>https://sciendo.com/pdf/10.2478/aut-2021-0007</w:t>
        </w:r>
      </w:hyperlink>
    </w:p>
    <w:p>
      <w:pPr>
        <w:pStyle w:val="Bibliography"/>
        <w:rPr/>
      </w:pPr>
      <w:r>
        <w:rPr/>
      </w:r>
    </w:p>
    <w:p>
      <w:pPr>
        <w:pStyle w:val="Bibliography"/>
        <w:rPr>
          <w:lang w:val="en-US"/>
        </w:rPr>
      </w:pPr>
      <w:r>
        <w:rPr/>
        <w:t xml:space="preserve">Machado, F., Malpica, N., &amp; Borromeo, S. (2019). </w:t>
      </w:r>
      <w:r>
        <w:rPr>
          <w:lang w:val="en-US"/>
        </w:rPr>
        <w:t xml:space="preserve">Parametric CAD modeling for open source scientific hardware: Comparing OpenSCAD and FreeCAD Python scripts. PLOS ONE, 14(12), e0225795. </w:t>
      </w:r>
      <w:hyperlink r:id="rId160">
        <w:r>
          <w:rPr>
            <w:rStyle w:val="Hyperlink"/>
            <w:lang w:val="en-US"/>
          </w:rPr>
          <w:t>https://doi.org/10.1371/journal.pone.0225795</w:t>
        </w:r>
      </w:hyperlink>
    </w:p>
    <w:p>
      <w:pPr>
        <w:pStyle w:val="Bibliography"/>
        <w:rPr>
          <w:lang w:val="en-US"/>
        </w:rPr>
      </w:pPr>
      <w:r>
        <w:rPr>
          <w:lang w:val="en-US"/>
        </w:rPr>
      </w:r>
    </w:p>
    <w:p>
      <w:pPr>
        <w:pStyle w:val="Bibliography"/>
        <w:rPr>
          <w:lang w:val="en-US"/>
        </w:rPr>
      </w:pPr>
      <w:r>
        <w:rPr>
          <w:lang w:val="en-US"/>
        </w:rPr>
        <w:t xml:space="preserve">Manero, A., Smith, P., Sparkman, J., Dombrowski, M., Courbin, D., Kester, A., Womack, I., &amp; Chi, A. (2019). Implementation of 3D printing technology in the field of prosthetics: Past, present, and future. International Journal of Environmental Research and Public Health, 16, 1641. </w:t>
      </w:r>
      <w:hyperlink r:id="rId161">
        <w:r>
          <w:rPr>
            <w:rStyle w:val="Hyperlink"/>
            <w:lang w:val="en-US"/>
          </w:rPr>
          <w:t>https://doi.org/10.3390/ijerph16091641</w:t>
        </w:r>
      </w:hyperlink>
    </w:p>
    <w:p>
      <w:pPr>
        <w:pStyle w:val="Bibliography"/>
        <w:rPr>
          <w:lang w:val="en-US"/>
        </w:rPr>
      </w:pPr>
      <w:r>
        <w:rPr>
          <w:lang w:val="en-US"/>
        </w:rPr>
      </w:r>
    </w:p>
    <w:p>
      <w:pPr>
        <w:pStyle w:val="Bibliography"/>
        <w:rPr>
          <w:lang w:val="en-US"/>
        </w:rPr>
      </w:pPr>
      <w:r>
        <w:rPr/>
        <w:t xml:space="preserve">Manz, S., Valette, R., Damonte, F., Avanci Gaudio, L., Gonzalez-Vargas, J., Sartori, M., Dosen, S., &amp; Rietman, J. (2022). </w:t>
      </w:r>
      <w:r>
        <w:rPr>
          <w:lang w:val="en-US"/>
        </w:rPr>
        <w:t xml:space="preserve">A review of user needs to drive the development of lower limb prostheses. </w:t>
      </w:r>
      <w:r>
        <w:rPr>
          <w:i/>
          <w:iCs/>
          <w:lang w:val="en-US"/>
        </w:rPr>
        <w:t>Journal of NeuroEngineering and Rehabilitation, 19</w:t>
      </w:r>
      <w:r>
        <w:rPr>
          <w:lang w:val="en-US"/>
        </w:rPr>
        <w:t xml:space="preserve">, Article 119. </w:t>
      </w:r>
      <w:hyperlink r:id="rId162">
        <w:r>
          <w:rPr>
            <w:rStyle w:val="Hyperlink"/>
            <w:lang w:val="en-US"/>
          </w:rPr>
          <w:t>https://doi.org/10.1186/s12984-022-01097-1</w:t>
        </w:r>
      </w:hyperlink>
    </w:p>
    <w:p>
      <w:pPr>
        <w:pStyle w:val="Bibliography"/>
        <w:rPr>
          <w:lang w:val="en-US"/>
        </w:rPr>
      </w:pPr>
      <w:r>
        <w:rPr>
          <w:lang w:val="en-US"/>
        </w:rPr>
      </w:r>
    </w:p>
    <w:p>
      <w:pPr>
        <w:pStyle w:val="Bibliography"/>
        <w:rPr>
          <w:lang w:val="en-US"/>
        </w:rPr>
      </w:pPr>
      <w:r>
        <w:rPr>
          <w:lang w:val="en-US"/>
        </w:rPr>
        <w:t>Marinelli, M., Putrino, D., Stella, F., &amp; Guglielmelli, E. (2022). Active upper limb prostheses: A review on current state and upcoming breakthroughs.</w:t>
      </w:r>
    </w:p>
    <w:p>
      <w:pPr>
        <w:pStyle w:val="Bibliography"/>
        <w:rPr>
          <w:lang w:val="en-US"/>
        </w:rPr>
      </w:pPr>
      <w:r>
        <w:rPr>
          <w:lang w:val="en-US"/>
        </w:rPr>
      </w:r>
    </w:p>
    <w:p>
      <w:pPr>
        <w:pStyle w:val="Bibliography"/>
        <w:rPr>
          <w:lang w:val="en-US"/>
        </w:rPr>
      </w:pPr>
      <w:r>
        <w:rPr/>
        <w:t xml:space="preserve">Martins, R. F., Branco, R., Martins, M., Macek, W., Marciniak, Z., Silva, R., Trindade, D., Moura, C., Franco, M., &amp; Malça, C. (2024). </w:t>
      </w:r>
      <w:r>
        <w:rPr>
          <w:lang w:val="en-US"/>
        </w:rPr>
        <w:t xml:space="preserve">Mechanical properties of additively manufactured polymeric materials—PLA and PETG—for biomechanical applications. Polymers, 16(13), 1868. </w:t>
      </w:r>
      <w:hyperlink r:id="rId163">
        <w:r>
          <w:rPr>
            <w:rStyle w:val="Hyperlink"/>
            <w:lang w:val="en-US"/>
          </w:rPr>
          <w:t>https://doi.org/10.3390/polym16131868</w:t>
        </w:r>
      </w:hyperlink>
    </w:p>
    <w:p>
      <w:pPr>
        <w:pStyle w:val="Bibliography"/>
        <w:rPr>
          <w:lang w:val="en-US"/>
        </w:rPr>
      </w:pPr>
      <w:r>
        <w:rPr>
          <w:lang w:val="en-US"/>
        </w:rPr>
      </w:r>
    </w:p>
    <w:p>
      <w:pPr>
        <w:pStyle w:val="Bibliography"/>
        <w:rPr>
          <w:lang w:val="en-US"/>
        </w:rPr>
      </w:pPr>
      <w:r>
        <w:rPr>
          <w:lang w:val="en-US"/>
        </w:rPr>
        <w:t xml:space="preserve">Menaka, S., Raja, W., Ramakrishnan, S., Karthikeswaran, D., Sridar, K., &amp; Sivaranjani, T. (2025). AI-driven computer-aided design (CAD) systems: Leveraging neural networks for optimized engineering product development. International Journal of Applied Mathematics, 38(5s). </w:t>
      </w:r>
      <w:hyperlink r:id="rId164">
        <w:r>
          <w:rPr>
            <w:rStyle w:val="Hyperlink"/>
            <w:lang w:val="en-US"/>
          </w:rPr>
          <w:t>https://ijamjournal.org/ijam/publication/index.php/ijam/article/download/341/311</w:t>
        </w:r>
      </w:hyperlink>
    </w:p>
    <w:p>
      <w:pPr>
        <w:pStyle w:val="Bibliography"/>
        <w:rPr>
          <w:lang w:val="en-US"/>
        </w:rPr>
      </w:pPr>
      <w:r>
        <w:rPr>
          <w:lang w:val="en-US"/>
        </w:rPr>
      </w:r>
    </w:p>
    <w:p>
      <w:pPr>
        <w:pStyle w:val="Bibliography"/>
        <w:rPr>
          <w:lang w:val="en-US"/>
        </w:rPr>
      </w:pPr>
      <w:r>
        <w:rPr>
          <w:lang w:val="en-US"/>
        </w:rPr>
        <w:t>Mikołajewski, D., Rojek, I., Kotlarz, P., Dorożyński, J., &amp; Kopowski, J. (2023). Personalization of the 3D-printed upper limb exoskeleton design: Mechanical and IT aspects. Applied Sciences.</w:t>
      </w:r>
    </w:p>
    <w:p>
      <w:pPr>
        <w:pStyle w:val="Normal"/>
        <w:rPr>
          <w:lang w:val="en-US"/>
        </w:rPr>
      </w:pPr>
      <w:r>
        <w:rPr>
          <w:lang w:val="en-US"/>
        </w:rPr>
      </w:r>
    </w:p>
    <w:p>
      <w:pPr>
        <w:pStyle w:val="Bibliography"/>
        <w:rPr>
          <w:lang w:val="en-US"/>
        </w:rPr>
      </w:pPr>
      <w:r>
        <w:rPr>
          <w:lang w:val="en-US"/>
        </w:rPr>
        <w:t xml:space="preserve">Millet, A., Abi Akle, A., &amp; Legardeur, J. (2018, July 5-6). Human centred criteria for healthcare design [Conference paper]. 25e colloque des Sciences de la conception et de l’innovation (CONFERE 2018), Budapest, Hungary. </w:t>
      </w:r>
      <w:hyperlink r:id="rId165">
        <w:r>
          <w:rPr>
            <w:rStyle w:val="Hyperlink"/>
            <w:lang w:val="en-US"/>
          </w:rPr>
          <w:t>https://hal.science/hal-01938985</w:t>
        </w:r>
      </w:hyperlink>
    </w:p>
    <w:p>
      <w:pPr>
        <w:pStyle w:val="Normal"/>
        <w:rPr>
          <w:lang w:val="en-US"/>
        </w:rPr>
      </w:pPr>
      <w:r>
        <w:rPr>
          <w:lang w:val="en-US"/>
        </w:rPr>
      </w:r>
    </w:p>
    <w:p>
      <w:pPr>
        <w:pStyle w:val="Bibliography"/>
        <w:rPr>
          <w:lang w:val="en-US"/>
        </w:rPr>
      </w:pPr>
      <w:r>
        <w:rPr>
          <w:lang w:val="en-US"/>
        </w:rPr>
        <w:t xml:space="preserve">Mistarihi, M. Z. (2020). A data set on anthropometric measurements and degree of discomfort of physically disabled workers for ergonomic requirements in work space design. Data in Brief, 30, 105420. </w:t>
      </w:r>
      <w:hyperlink r:id="rId166">
        <w:r>
          <w:rPr>
            <w:rStyle w:val="Hyperlink"/>
            <w:lang w:val="en-US"/>
          </w:rPr>
          <w:t>https://doi.org/10.1016/j.dib.2020.105420</w:t>
        </w:r>
      </w:hyperlink>
    </w:p>
    <w:p>
      <w:pPr>
        <w:pStyle w:val="Normal"/>
        <w:rPr>
          <w:lang w:val="en-US"/>
        </w:rPr>
      </w:pPr>
      <w:r>
        <w:rPr>
          <w:lang w:val="en-US"/>
        </w:rPr>
      </w:r>
    </w:p>
    <w:p>
      <w:pPr>
        <w:pStyle w:val="Bibliography"/>
        <w:rPr>
          <w:lang w:val="en-US"/>
        </w:rPr>
      </w:pPr>
      <w:r>
        <w:rPr>
          <w:lang w:val="en-US"/>
        </w:rPr>
        <w:t xml:space="preserve">Molenbroek, J. F. M. (1998). Geron study on Dutch elderly anthropometry. DINED database. Delft University of Technology. </w:t>
      </w:r>
      <w:hyperlink r:id="rId167">
        <w:r>
          <w:rPr>
            <w:rStyle w:val="Hyperlink"/>
            <w:lang w:val="en-US"/>
          </w:rPr>
          <w:t>https://dined.io.tudelft.nl</w:t>
        </w:r>
      </w:hyperlink>
    </w:p>
    <w:p>
      <w:pPr>
        <w:pStyle w:val="Normal"/>
        <w:rPr>
          <w:lang w:val="en-US"/>
        </w:rPr>
      </w:pPr>
      <w:r>
        <w:rPr>
          <w:lang w:val="en-US"/>
        </w:rPr>
      </w:r>
    </w:p>
    <w:p>
      <w:pPr>
        <w:pStyle w:val="Bibliography"/>
        <w:rPr>
          <w:lang w:val="en-US"/>
        </w:rPr>
      </w:pPr>
      <w:r>
        <w:rPr>
          <w:lang w:val="en-US"/>
        </w:rPr>
        <w:t xml:space="preserve">Molenbroek, J. F. M., Kroon-Ramaekers, Y. M. T., &amp; Snijders, C. J. (2003). Revision of the Dutch standard for furniture in schools. Ergonomics, 46(5), 491-498. </w:t>
      </w:r>
      <w:hyperlink r:id="rId168">
        <w:r>
          <w:rPr>
            <w:rStyle w:val="Hyperlink"/>
            <w:lang w:val="en-US"/>
          </w:rPr>
          <w:t>https://doi.org/10.1080/0014013031000085635</w:t>
        </w:r>
      </w:hyperlink>
    </w:p>
    <w:p>
      <w:pPr>
        <w:pStyle w:val="Normal"/>
        <w:rPr>
          <w:lang w:val="en-US"/>
        </w:rPr>
      </w:pPr>
      <w:r>
        <w:rPr>
          <w:lang w:val="en-US"/>
        </w:rPr>
      </w:r>
    </w:p>
    <w:p>
      <w:pPr>
        <w:pStyle w:val="Bibliography"/>
        <w:rPr>
          <w:lang w:val="en-US"/>
        </w:rPr>
      </w:pPr>
      <w:r>
        <w:rPr>
          <w:lang w:val="en-US"/>
        </w:rPr>
        <w:t>Moreo, A. M. (2016). Parametric design of a 3D printable hand prosthesis for children in developing countries [Master's thesis, Delft University of Technology].</w:t>
      </w:r>
    </w:p>
    <w:p>
      <w:pPr>
        <w:pStyle w:val="Normal"/>
        <w:rPr>
          <w:lang w:val="en-US"/>
        </w:rPr>
      </w:pPr>
      <w:r>
        <w:rPr>
          <w:lang w:val="en-US"/>
        </w:rPr>
      </w:r>
    </w:p>
    <w:p>
      <w:pPr>
        <w:pStyle w:val="Bibliography"/>
        <w:rPr>
          <w:lang w:val="en-US"/>
        </w:rPr>
      </w:pPr>
      <w:r>
        <w:rPr>
          <w:lang w:val="de-DE"/>
        </w:rPr>
        <w:t xml:space="preserve">Nag, A., Nag, P. K., &amp; Desai, H. (2003). </w:t>
      </w:r>
      <w:r>
        <w:rPr>
          <w:lang w:val="en-US"/>
        </w:rPr>
        <w:t>Hand anthropometry of Indian women. Indian Journal of Medical Research, 117, 260-269.</w:t>
      </w:r>
    </w:p>
    <w:p>
      <w:pPr>
        <w:pStyle w:val="Bibliography"/>
        <w:rPr>
          <w:lang w:val="en-US"/>
        </w:rPr>
      </w:pPr>
      <w:r>
        <w:rPr>
          <w:lang w:val="en-US"/>
        </w:rPr>
        <w:t xml:space="preserve">van Niekerk, K., Dada, S., Tönsing, K., &amp; Boshoff, K. (2018). Factors perceived by rehabilitation professionals to influence the provision of assistive technology to children: A systematic review. </w:t>
      </w:r>
      <w:r>
        <w:rPr>
          <w:i/>
          <w:iCs/>
          <w:lang w:val="en-US"/>
        </w:rPr>
        <w:t>Physical &amp; Occupational Therapy in Pediatrics, 38</w:t>
      </w:r>
      <w:r>
        <w:rPr>
          <w:lang w:val="en-US"/>
        </w:rPr>
        <w:t xml:space="preserve">(2), 168–189. </w:t>
      </w:r>
      <w:hyperlink r:id="rId169">
        <w:r>
          <w:rPr>
            <w:rStyle w:val="Hyperlink"/>
            <w:lang w:val="en-US"/>
          </w:rPr>
          <w:t>https://doi.org/10.1080/01942638.2017.1337661</w:t>
        </w:r>
      </w:hyperlink>
    </w:p>
    <w:p>
      <w:pPr>
        <w:pStyle w:val="Normal"/>
        <w:rPr>
          <w:lang w:val="en-US"/>
        </w:rPr>
      </w:pPr>
      <w:r>
        <w:rPr>
          <w:lang w:val="en-US"/>
        </w:rPr>
      </w:r>
    </w:p>
    <w:p>
      <w:pPr>
        <w:pStyle w:val="Bibliography"/>
        <w:rPr>
          <w:lang w:val="en-US"/>
        </w:rPr>
      </w:pPr>
      <w:r>
        <w:rPr>
          <w:lang w:val="en-US"/>
        </w:rPr>
        <w:t xml:space="preserve">Nilsiam, Y., &amp; Pearce, J. M. (2017). Free and open source 3-D model customizer for websites to democratize design with OpenSCAD. Designs, 1(1), 5. </w:t>
      </w:r>
      <w:hyperlink r:id="rId170">
        <w:r>
          <w:rPr>
            <w:rStyle w:val="Hyperlink"/>
            <w:lang w:val="en-US"/>
          </w:rPr>
          <w:t>https://doi.org/10.3390/designs1010005</w:t>
        </w:r>
      </w:hyperlink>
    </w:p>
    <w:p>
      <w:pPr>
        <w:pStyle w:val="Normal"/>
        <w:rPr>
          <w:lang w:val="en-US"/>
        </w:rPr>
      </w:pPr>
      <w:r>
        <w:rPr>
          <w:lang w:val="en-US"/>
        </w:rPr>
      </w:r>
    </w:p>
    <w:p>
      <w:pPr>
        <w:pStyle w:val="Bibliography"/>
        <w:rPr>
          <w:lang w:val="en-US"/>
        </w:rPr>
      </w:pPr>
      <w:r>
        <w:rPr>
          <w:lang w:val="en-US"/>
        </w:rPr>
        <w:t xml:space="preserve">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71">
        <w:r>
          <w:rPr>
            <w:rStyle w:val="Hyperlink"/>
            <w:lang w:val="en-US"/>
          </w:rPr>
          <w:t>https://doi.org/10.1109/BioRob60516.2024.10719909</w:t>
        </w:r>
      </w:hyperlink>
    </w:p>
    <w:p>
      <w:pPr>
        <w:pStyle w:val="Normal"/>
        <w:rPr>
          <w:lang w:val="en-US"/>
        </w:rPr>
      </w:pPr>
      <w:r>
        <w:rPr>
          <w:lang w:val="en-US"/>
        </w:rPr>
      </w:r>
    </w:p>
    <w:p>
      <w:pPr>
        <w:pStyle w:val="Bibliography"/>
        <w:rPr>
          <w:lang w:val="en-US"/>
        </w:rPr>
      </w:pPr>
      <w:r>
        <w:rPr>
          <w:lang w:val="en-US"/>
        </w:rP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lang w:val="en-US"/>
        </w:rPr>
        <w:t>Prosthetics and Orthotics International, 48</w:t>
      </w:r>
      <w:r>
        <w:rPr>
          <w:lang w:val="en-US"/>
        </w:rPr>
        <w:t xml:space="preserve">(5), 574–589. </w:t>
      </w:r>
      <w:hyperlink r:id="rId172">
        <w:r>
          <w:rPr>
            <w:rStyle w:val="Hyperlink"/>
            <w:lang w:val="en-US"/>
          </w:rPr>
          <w:t>https://doi.org/10.1097/PXR.0000000000000351</w:t>
        </w:r>
      </w:hyperlink>
    </w:p>
    <w:p>
      <w:pPr>
        <w:pStyle w:val="Normal"/>
        <w:rPr>
          <w:lang w:val="en-US"/>
        </w:rPr>
      </w:pPr>
      <w:r>
        <w:rPr>
          <w:lang w:val="en-US"/>
        </w:rPr>
      </w:r>
    </w:p>
    <w:p>
      <w:pPr>
        <w:pStyle w:val="Bibliography"/>
        <w:rPr>
          <w:lang w:val="en-US"/>
        </w:rPr>
      </w:pPr>
      <w:r>
        <w:rPr>
          <w:lang w:val="en-US"/>
        </w:rPr>
        <w:t xml:space="preserve">Østlie, K., Lesjø, I. M., Franklin, R. J., Garfelt, B., Skjeldal, O. H., &amp; Magnus, P. (2012). Prosthesis rejection in acquired major upper-limb amputees: A population-based survey. </w:t>
      </w:r>
      <w:r>
        <w:rPr>
          <w:i/>
          <w:iCs/>
          <w:lang w:val="en-US"/>
        </w:rPr>
        <w:t>Disability and Rehabilitation: Assistive Technology, 7</w:t>
      </w:r>
      <w:r>
        <w:rPr>
          <w:lang w:val="en-US"/>
        </w:rPr>
        <w:t xml:space="preserve">(4), 294–303. </w:t>
      </w:r>
      <w:hyperlink r:id="rId173">
        <w:r>
          <w:rPr>
            <w:rStyle w:val="Hyperlink"/>
            <w:lang w:val="en-US"/>
          </w:rPr>
          <w:t>https://doi.org/10.3109/17483107.2011.635405</w:t>
        </w:r>
      </w:hyperlink>
    </w:p>
    <w:p>
      <w:pPr>
        <w:pStyle w:val="Normal"/>
        <w:rPr>
          <w:lang w:val="en-US"/>
        </w:rPr>
      </w:pPr>
      <w:r>
        <w:rPr>
          <w:lang w:val="en-US"/>
        </w:rPr>
      </w:r>
    </w:p>
    <w:p>
      <w:pPr>
        <w:pStyle w:val="Bibliography"/>
        <w:rPr>
          <w:lang w:val="en-US"/>
        </w:rPr>
      </w:pPr>
      <w:r>
        <w:rPr>
          <w:lang w:val="en-US"/>
        </w:rPr>
        <w:t>OpenSCAD Community. (n.d.). OpenSCAD User Manual/Using OpenSCAD in a command line environment. Wikibooks. Retrieved July 7, 2026, from https://en.wikibooks.org/wiki/OpenSCAD</w:t>
      </w:r>
      <w:r>
        <w:rPr>
          <w:i/>
          <w:lang w:val="en-US"/>
        </w:rPr>
        <w:t>User</w:t>
      </w:r>
      <w:r>
        <w:rPr>
          <w:lang w:val="en-US"/>
        </w:rPr>
        <w:t>Manual/Using</w:t>
      </w:r>
      <w:r>
        <w:rPr>
          <w:i/>
          <w:lang w:val="en-US"/>
        </w:rPr>
        <w:t>OpenSCAD</w:t>
      </w:r>
      <w:r>
        <w:rPr>
          <w:lang w:val="en-US"/>
        </w:rPr>
        <w:t>in</w:t>
      </w:r>
      <w:r>
        <w:rPr>
          <w:i/>
          <w:lang w:val="en-US"/>
        </w:rPr>
        <w:t>a</w:t>
      </w:r>
      <w:r>
        <w:rPr>
          <w:lang w:val="en-US"/>
        </w:rPr>
        <w:t>command</w:t>
      </w:r>
      <w:r>
        <w:rPr>
          <w:i/>
          <w:lang w:val="en-US"/>
        </w:rPr>
        <w:t>line</w:t>
      </w:r>
      <w:r>
        <w:rPr>
          <w:lang w:val="en-US"/>
        </w:rPr>
        <w:t>environment</w:t>
      </w:r>
    </w:p>
    <w:p>
      <w:pPr>
        <w:pStyle w:val="Bibliography"/>
        <w:rPr>
          <w:lang w:val="en-US"/>
        </w:rPr>
      </w:pPr>
      <w:r>
        <w:rPr>
          <w:lang w:val="en-US"/>
        </w:rPr>
        <w:t xml:space="preserve">OpenSCAD Project. (n.d.-a). OpenSCAD: The programmers solid 3D CAD modeller. Retrieved July 7, 2026, from </w:t>
      </w:r>
      <w:hyperlink r:id="rId174">
        <w:r>
          <w:rPr>
            <w:rStyle w:val="Hyperlink"/>
            <w:lang w:val="en-US"/>
          </w:rPr>
          <w:t>https://openscad.org/</w:t>
        </w:r>
      </w:hyperlink>
    </w:p>
    <w:p>
      <w:pPr>
        <w:pStyle w:val="Normal"/>
        <w:rPr>
          <w:lang w:val="en-US"/>
        </w:rPr>
      </w:pPr>
      <w:r>
        <w:rPr>
          <w:lang w:val="en-US"/>
        </w:rPr>
      </w:r>
    </w:p>
    <w:p>
      <w:pPr>
        <w:pStyle w:val="Bibliography"/>
        <w:rPr>
          <w:lang w:val="en-US"/>
        </w:rPr>
      </w:pPr>
      <w:r>
        <w:rPr>
          <w:lang w:val="en-US"/>
        </w:rPr>
        <w:t>OpenSCAD Project. (n.d.-b). OpenSCAD source repository [Computer software]. GitHub. Retrieved July 7, 2026, from https://github.com/openscad/openscad</w:t>
      </w:r>
    </w:p>
    <w:p>
      <w:pPr>
        <w:pStyle w:val="Bibliography"/>
        <w:rPr/>
      </w:pPr>
      <w:r>
        <w:rPr>
          <w:lang w:val="en-US"/>
        </w:rPr>
        <w:t xml:space="preserve">Ozdemir, M., Verlinden, J., &amp; Cascini, G. (2022). Design methodology for mass personalisation enabled by digital manufacturing. </w:t>
      </w:r>
      <w:r>
        <w:rPr>
          <w:i/>
          <w:iCs/>
        </w:rPr>
        <w:t>Design Science, 8</w:t>
      </w:r>
      <w:r>
        <w:rPr/>
        <w:t xml:space="preserve">, e7. </w:t>
      </w:r>
      <w:hyperlink r:id="rId175">
        <w:r>
          <w:rPr>
            <w:rStyle w:val="Hyperlink"/>
          </w:rPr>
          <w:t>https://doi.org/10.1017/dsj.2022.3</w:t>
        </w:r>
      </w:hyperlink>
    </w:p>
    <w:p>
      <w:pPr>
        <w:pStyle w:val="Normal"/>
        <w:rPr/>
      </w:pPr>
      <w:r>
        <w:rPr/>
      </w:r>
    </w:p>
    <w:p>
      <w:pPr>
        <w:pStyle w:val="Bibliography"/>
        <w:rPr/>
      </w:pPr>
      <w:r>
        <w:rPr/>
        <w:t xml:space="preserve">Panchal, J. H., Fuge, M., Liu, Y., Missoum, S., &amp; Tucker, C. S. (2019). </w:t>
      </w:r>
      <w:r>
        <w:rPr>
          <w:lang w:val="en-US"/>
        </w:rPr>
        <w:t xml:space="preserve">Special issue: Machine learning for engineering design. Journal of Mechanical Design, 141(11), 110301. </w:t>
      </w:r>
      <w:hyperlink r:id="rId176">
        <w:r>
          <w:rPr>
            <w:rStyle w:val="Hyperlink"/>
          </w:rPr>
          <w:t>https://doi.org/10.1115/1.4044690</w:t>
        </w:r>
      </w:hyperlink>
    </w:p>
    <w:p>
      <w:pPr>
        <w:pStyle w:val="Normal"/>
        <w:rPr/>
      </w:pPr>
      <w:r>
        <w:rPr/>
      </w:r>
    </w:p>
    <w:p>
      <w:pPr>
        <w:pStyle w:val="Bibliography"/>
        <w:rPr>
          <w:lang w:val="en-US"/>
        </w:rPr>
      </w:pPr>
      <w:r>
        <w:rPr/>
        <w:t xml:space="preserve">Peerdeman, B., Boere, D., Witteveen, H., Huis in 't Veld, R., Hermens, H., Stramigioli, S., Rietman, H., Veltink, P., &amp; Misra, S. (2011). </w:t>
      </w:r>
      <w:r>
        <w:rPr>
          <w:lang w:val="en-US"/>
        </w:rPr>
        <w:t xml:space="preserve">Myoelectric forearm prostheses: State of the art from a user-centered perspective. Journal of Rehabilitation Research and Development, 48(6), 719-738. </w:t>
      </w:r>
      <w:hyperlink r:id="rId177">
        <w:r>
          <w:rPr>
            <w:rStyle w:val="Hyperlink"/>
            <w:lang w:val="en-US"/>
          </w:rPr>
          <w:t>https://doi.org/10.1682/JRRD.2010.08.0161</w:t>
        </w:r>
      </w:hyperlink>
    </w:p>
    <w:p>
      <w:pPr>
        <w:pStyle w:val="Normal"/>
        <w:rPr>
          <w:lang w:val="en-US"/>
        </w:rPr>
      </w:pPr>
      <w:r>
        <w:rPr>
          <w:lang w:val="en-US"/>
        </w:rPr>
      </w:r>
    </w:p>
    <w:p>
      <w:pPr>
        <w:pStyle w:val="Bibliography"/>
        <w:rPr>
          <w:lang w:val="en-US"/>
        </w:rPr>
      </w:pPr>
      <w:r>
        <w:rPr/>
        <w:t xml:space="preserve">Peixoto, S., Martins, N., Miranda, D., Matos, D., &amp; Carvalho, V. (2025). </w:t>
      </w:r>
      <w:r>
        <w:rPr>
          <w:lang w:val="en-US"/>
        </w:rPr>
        <w:t xml:space="preserve">The design process in the development of an online platform for personalizing wearable prostheses: A preliminary approach. Designs, 9(2), 39. </w:t>
      </w:r>
      <w:hyperlink r:id="rId178">
        <w:r>
          <w:rPr>
            <w:rStyle w:val="Hyperlink"/>
            <w:lang w:val="en-US"/>
          </w:rPr>
          <w:t>https://doi.org/10.3390/designs9020039</w:t>
        </w:r>
      </w:hyperlink>
    </w:p>
    <w:p>
      <w:pPr>
        <w:pStyle w:val="Normal"/>
        <w:rPr>
          <w:lang w:val="en-US"/>
        </w:rPr>
      </w:pPr>
      <w:r>
        <w:rPr>
          <w:lang w:val="en-US"/>
        </w:rPr>
      </w:r>
    </w:p>
    <w:p>
      <w:pPr>
        <w:pStyle w:val="Bibliography"/>
        <w:rPr>
          <w:lang w:val="en-US"/>
        </w:rPr>
      </w:pPr>
      <w:r>
        <w:rPr>
          <w:lang w:val="en-US"/>
        </w:rPr>
        <w:t>Peters, C., &amp; Richter, P. (2023). Individualizing patient pathways through modularization: Design and evaluation of healthcare-specific modularization parameters.</w:t>
      </w:r>
    </w:p>
    <w:p>
      <w:pPr>
        <w:pStyle w:val="Bibliography"/>
        <w:rPr>
          <w:lang w:val="en-US"/>
        </w:rPr>
      </w:pPr>
      <w:r>
        <w:rPr>
          <w:lang w:val="en-US"/>
        </w:rPr>
        <w:t xml:space="preserve">Quintero, D., Reznick, E., Lambert, D. J., Rezazadeh, S., Gray, L., &amp; Gregg, R. D. (2018). Intuitive clinician control interface for a powered knee-ankle prosthesis: A case study. IEEE Journal of Translational Engineering in Health and Medicine, 6, 2600209. </w:t>
      </w:r>
      <w:hyperlink r:id="rId179">
        <w:r>
          <w:rPr>
            <w:rStyle w:val="Hyperlink"/>
            <w:lang w:val="en-US"/>
          </w:rPr>
          <w:t>https://doi.org/10.1109/JTEHM.2018.2880199</w:t>
        </w:r>
      </w:hyperlink>
    </w:p>
    <w:p>
      <w:pPr>
        <w:pStyle w:val="Normal"/>
        <w:rPr>
          <w:lang w:val="en-US"/>
        </w:rPr>
      </w:pPr>
      <w:r>
        <w:rPr>
          <w:lang w:val="en-US"/>
        </w:rPr>
      </w:r>
    </w:p>
    <w:p>
      <w:pPr>
        <w:pStyle w:val="Bibliography"/>
        <w:rPr>
          <w:lang w:val="de-DE"/>
        </w:rPr>
      </w:pPr>
      <w:r>
        <w:rPr>
          <w:lang w:val="de-DE"/>
        </w:rPr>
        <w:t xml:space="preserve">Ramnath, S., Haghighi, P., Kim, J. H., Detwiler, D., Berry, M., Shah, J. J., Aulig, N., Wollstadt, P., &amp; Menzel, S. (2019). </w:t>
      </w:r>
      <w:r>
        <w:rPr>
          <w:lang w:val="en-US"/>
        </w:rPr>
        <w:t xml:space="preserve">Automatically generating 60,000 CAD variants for big data applications. In Volume 1: 39th Computers and Information in Engineering Conference (Article V001T02A006). </w:t>
      </w:r>
      <w:r>
        <w:rPr>
          <w:lang w:val="de-DE"/>
        </w:rPr>
        <w:t xml:space="preserve">ASME. </w:t>
      </w:r>
      <w:hyperlink r:id="rId180">
        <w:r>
          <w:rPr>
            <w:rStyle w:val="Hyperlink"/>
            <w:lang w:val="de-DE"/>
          </w:rPr>
          <w:t>https://doi.org/10.1115/DETC2019-97378</w:t>
        </w:r>
      </w:hyperlink>
    </w:p>
    <w:p>
      <w:pPr>
        <w:pStyle w:val="Normal"/>
        <w:rPr>
          <w:lang w:val="de-DE"/>
        </w:rPr>
      </w:pPr>
      <w:r>
        <w:rPr>
          <w:lang w:val="de-DE"/>
        </w:rPr>
      </w:r>
    </w:p>
    <w:p>
      <w:pPr>
        <w:pStyle w:val="Bibliography"/>
        <w:rPr>
          <w:lang w:val="en-US"/>
        </w:rPr>
      </w:pPr>
      <w:r>
        <w:rPr>
          <w:lang w:val="de-DE"/>
        </w:rPr>
        <w:t xml:space="preserve">Resnik, L., Klinger, S. L., Krauthamer, V., &amp; Barnabe, K. (2010). </w:t>
      </w:r>
      <w:r>
        <w:rPr>
          <w:lang w:val="en-US"/>
        </w:rPr>
        <w:t xml:space="preserve">U.S. Food and Drug Administration regulation of prosthetic research, development, and testing. JPO: Journal of Prosthetics and Orthotics, 22(2), 121-126. </w:t>
      </w:r>
      <w:hyperlink r:id="rId181">
        <w:r>
          <w:rPr>
            <w:rStyle w:val="Hyperlink"/>
            <w:lang w:val="en-US"/>
          </w:rPr>
          <w:t>https://doi.org/10.1097/JPO.0b013e3181d427b7</w:t>
        </w:r>
      </w:hyperlink>
    </w:p>
    <w:p>
      <w:pPr>
        <w:pStyle w:val="Normal"/>
        <w:rPr>
          <w:lang w:val="en-US"/>
        </w:rPr>
      </w:pPr>
      <w:r>
        <w:rPr>
          <w:lang w:val="en-US"/>
        </w:rPr>
      </w:r>
    </w:p>
    <w:p>
      <w:pPr>
        <w:pStyle w:val="Bibliography"/>
        <w:rPr>
          <w:lang w:val="en-US"/>
        </w:rPr>
      </w:pPr>
      <w:r>
        <w:rPr>
          <w:lang w:val="en-US"/>
        </w:rPr>
        <w:t xml:space="preserve">Rezwana, J., &amp; Maher, M. (2022). Understanding user perceptions, collaborative experience, and user engagement in different human-AI interaction designs for co-creative systems. </w:t>
      </w:r>
      <w:hyperlink r:id="rId182">
        <w:r>
          <w:rPr>
            <w:rStyle w:val="Hyperlink"/>
            <w:lang w:val="en-US"/>
          </w:rPr>
          <w:t>https://arxiv.org/pdf/2204.13217</w:t>
        </w:r>
      </w:hyperlink>
    </w:p>
    <w:p>
      <w:pPr>
        <w:pStyle w:val="Normal"/>
        <w:rPr>
          <w:lang w:val="en-US"/>
        </w:rPr>
      </w:pPr>
      <w:r>
        <w:rPr>
          <w:lang w:val="en-US"/>
        </w:rPr>
      </w:r>
    </w:p>
    <w:p>
      <w:pPr>
        <w:pStyle w:val="Bibliography"/>
        <w:rPr>
          <w:lang w:val="en-US"/>
        </w:rPr>
      </w:pPr>
      <w:r>
        <w:rPr>
          <w:lang w:val="en-US"/>
        </w:rPr>
        <w:t xml:space="preserve">Richardson, A., &amp; Dillon, M. P. (2017). User experience of transtibial prosthetic liners: A systematic review. </w:t>
      </w:r>
      <w:r>
        <w:rPr>
          <w:i/>
          <w:iCs/>
          <w:lang w:val="en-US"/>
        </w:rPr>
        <w:t>Prosthetics and Orthotics International, 41</w:t>
      </w:r>
      <w:r>
        <w:rPr>
          <w:lang w:val="en-US"/>
        </w:rPr>
        <w:t xml:space="preserve">(1), 6–18. </w:t>
      </w:r>
      <w:hyperlink r:id="rId183">
        <w:r>
          <w:rPr>
            <w:rStyle w:val="Hyperlink"/>
            <w:lang w:val="en-US"/>
          </w:rPr>
          <w:t>https://doi.org/10.1177/0309364616631343</w:t>
        </w:r>
      </w:hyperlink>
    </w:p>
    <w:p>
      <w:pPr>
        <w:pStyle w:val="Normal"/>
        <w:rPr>
          <w:lang w:val="en-US"/>
        </w:rPr>
      </w:pPr>
      <w:r>
        <w:rPr>
          <w:lang w:val="en-US"/>
        </w:rPr>
      </w:r>
    </w:p>
    <w:p>
      <w:pPr>
        <w:pStyle w:val="Bibliography"/>
        <w:rPr>
          <w:lang w:val="en-US"/>
        </w:rPr>
      </w:pPr>
      <w:r>
        <w:rPr>
          <w:lang w:val="en-US"/>
        </w:rPr>
        <w:t xml:space="preserve">Rodríguez-Vega, G., &amp; Rodríguez-Vega, D. A. (2024). Normative data for the anthropometric hand dimensions of the Mexican population. European Public &amp; Social Innovation Review, 9, 1-15. </w:t>
      </w:r>
      <w:hyperlink r:id="rId184">
        <w:r>
          <w:rPr>
            <w:rStyle w:val="Hyperlink"/>
            <w:lang w:val="en-US"/>
          </w:rPr>
          <w:t>https://doi.org/10.31637/epsir-2024-932</w:t>
        </w:r>
      </w:hyperlink>
    </w:p>
    <w:p>
      <w:pPr>
        <w:pStyle w:val="Normal"/>
        <w:rPr>
          <w:lang w:val="en-US"/>
        </w:rPr>
      </w:pPr>
      <w:r>
        <w:rPr>
          <w:lang w:val="en-US"/>
        </w:rPr>
      </w:r>
    </w:p>
    <w:p>
      <w:pPr>
        <w:pStyle w:val="Bibliography"/>
        <w:rPr/>
      </w:pPr>
      <w:r>
        <w:rPr>
          <w:lang w:val="en-US"/>
        </w:rPr>
        <w:t xml:space="preserve">Romani, A., &amp; Levi, M. (2020). Parametric design for online user customization of 3D printed assistive technology for rheumatic diseases. </w:t>
      </w:r>
      <w:r>
        <w:rPr/>
        <w:t>In International Conference on Augmented and Virtual Reality.</w:t>
      </w:r>
    </w:p>
    <w:p>
      <w:pPr>
        <w:pStyle w:val="Normal"/>
        <w:rPr/>
      </w:pPr>
      <w:r>
        <w:rPr/>
      </w:r>
    </w:p>
    <w:p>
      <w:pPr>
        <w:pStyle w:val="Bibliography"/>
        <w:rPr>
          <w:lang w:val="en-US"/>
        </w:rPr>
      </w:pPr>
      <w:r>
        <w:rPr/>
        <w:t xml:space="preserve">Romero, E., Garcia, J. G., Parra, M., Caballa, S., Saldarriaga, A. M., Luque, E. F., Rodriguez, D. J., Abarca, V. E., &amp; Elias, D. A. (2025). </w:t>
      </w:r>
      <w:r>
        <w:rPr>
          <w:lang w:val="en-US"/>
        </w:rPr>
        <w:t xml:space="preserve">An affordable AI-driven and 3D-printed personalized myoelectric prosthesis: Design, development, and assessment. IEEE Access, 13. </w:t>
      </w:r>
      <w:hyperlink r:id="rId185">
        <w:r>
          <w:rPr>
            <w:rStyle w:val="Hyperlink"/>
            <w:lang w:val="en-US"/>
          </w:rPr>
          <w:t>https://doi.org/10.1109/ACCESS.2025.3596475</w:t>
        </w:r>
      </w:hyperlink>
    </w:p>
    <w:p>
      <w:pPr>
        <w:pStyle w:val="Normal"/>
        <w:rPr>
          <w:lang w:val="en-US"/>
        </w:rPr>
      </w:pPr>
      <w:r>
        <w:rPr>
          <w:lang w:val="en-US"/>
        </w:rPr>
      </w:r>
    </w:p>
    <w:p>
      <w:pPr>
        <w:pStyle w:val="Bibliography"/>
        <w:rPr/>
      </w:pPr>
      <w:r>
        <w:rPr>
          <w:lang w:val="en-US"/>
        </w:rPr>
        <w:t xml:space="preserve">Saeidnia, H. R., &amp; Ausloos, M. (2024). Integrating artificial intelligence into design thinking: A comprehensive examination of the principles and potentialities of AI for design thinking framework. </w:t>
      </w:r>
      <w:r>
        <w:rPr/>
        <w:t xml:space="preserve">InfoScience Trends, 1(2), 1-9. </w:t>
      </w:r>
      <w:hyperlink r:id="rId186">
        <w:r>
          <w:rPr>
            <w:rStyle w:val="Hyperlink"/>
          </w:rPr>
          <w:t>https://doi.org/10.61186/ist.202401.01.09</w:t>
        </w:r>
      </w:hyperlink>
    </w:p>
    <w:p>
      <w:pPr>
        <w:pStyle w:val="Normal"/>
        <w:rPr/>
      </w:pPr>
      <w:r>
        <w:rPr/>
      </w:r>
    </w:p>
    <w:p>
      <w:pPr>
        <w:pStyle w:val="Bibliography"/>
        <w:rPr>
          <w:lang w:val="de-DE"/>
        </w:rPr>
      </w:pPr>
      <w:r>
        <w:rPr/>
        <w:t xml:space="preserve">Saldarriaga, A. M., Romero, E., Abarca, V. E., &amp; Elias, D. A. (2024). </w:t>
      </w:r>
      <w:r>
        <w:rPr>
          <w:lang w:val="en-US"/>
        </w:rPr>
        <w:t xml:space="preserve">A parametric design approach for affordable customized 3D socket for transradial upper limb prostheses. In 2024 10th International Conference on Control, Decision and Information Technologies (CoDIT). </w:t>
      </w:r>
      <w:hyperlink r:id="rId187">
        <w:r>
          <w:rPr>
            <w:rStyle w:val="Hyperlink"/>
            <w:lang w:val="de-DE"/>
          </w:rPr>
          <w:t>https://doi.org/10.1109/CoDIT62066.2024.10708382</w:t>
        </w:r>
      </w:hyperlink>
    </w:p>
    <w:p>
      <w:pPr>
        <w:pStyle w:val="Normal"/>
        <w:rPr>
          <w:lang w:val="de-DE"/>
        </w:rPr>
      </w:pPr>
      <w:r>
        <w:rPr>
          <w:lang w:val="de-DE"/>
        </w:rPr>
      </w:r>
    </w:p>
    <w:p>
      <w:pPr>
        <w:pStyle w:val="Bibliography"/>
        <w:rPr>
          <w:lang w:val="en-US"/>
        </w:rPr>
      </w:pPr>
      <w:r>
        <w:rPr>
          <w:lang w:val="de-DE"/>
        </w:rPr>
        <w:t xml:space="preserve">Samuelsson, K. A. M., Töytäri, O., Salminen, A.-L., &amp; Brandt, Å. (2012). </w:t>
      </w:r>
      <w:r>
        <w:rPr>
          <w:lang w:val="en-US"/>
        </w:rPr>
        <w:t>Effects of lower limb prosthesis on activity, participation, and quality of life: A systematic review.</w:t>
      </w:r>
    </w:p>
    <w:p>
      <w:pPr>
        <w:pStyle w:val="Bibliography"/>
        <w:rPr>
          <w:lang w:val="en-US"/>
        </w:rPr>
      </w:pPr>
      <w:r>
        <w:rPr>
          <w:lang w:val="en-US"/>
        </w:rPr>
        <w:t>Schöfer, F., &amp; Seibel, A. (2025). Augmented design automation: Leveraging parametric designs using large language models. Proceedings of the Design Society.</w:t>
      </w:r>
    </w:p>
    <w:p>
      <w:pPr>
        <w:pStyle w:val="Normal"/>
        <w:rPr>
          <w:lang w:val="en-US"/>
        </w:rPr>
      </w:pPr>
      <w:r>
        <w:rPr>
          <w:lang w:val="en-US"/>
        </w:rPr>
      </w:r>
    </w:p>
    <w:p>
      <w:pPr>
        <w:pStyle w:val="Bibliography"/>
        <w:rPr/>
      </w:pPr>
      <w:r>
        <w:rPr>
          <w:lang w:val="en-US"/>
        </w:rPr>
        <w:t xml:space="preserve">Segura, D., Romero, E., Abarca, V. E., &amp; Elías, D. A. (2024). Upper limb prostheses by the level of amputation: A systematic review. </w:t>
      </w:r>
      <w:r>
        <w:rPr/>
        <w:t xml:space="preserve">Prosthesis, 6(2), 22. </w:t>
      </w:r>
      <w:hyperlink r:id="rId188">
        <w:r>
          <w:rPr>
            <w:rStyle w:val="Hyperlink"/>
          </w:rPr>
          <w:t>https://doi.org/10.3390/prosthesis6020022</w:t>
        </w:r>
      </w:hyperlink>
    </w:p>
    <w:p>
      <w:pPr>
        <w:pStyle w:val="Normal"/>
        <w:rPr/>
      </w:pPr>
      <w:r>
        <w:rPr/>
      </w:r>
    </w:p>
    <w:p>
      <w:pPr>
        <w:pStyle w:val="Bibliography"/>
        <w:rPr>
          <w:lang w:val="en-US"/>
        </w:rPr>
      </w:pPr>
      <w:r>
        <w:rPr/>
        <w:t xml:space="preserve">Seregni, F., Arlati, S., Colombo, V., Spoladore, D., Greci, L., Pedroli, E., Serino, S., Cipresso, P., Goulene, K., Stroulia, E., Rizzo, A., &amp; Sacco, M. (2021). </w:t>
      </w:r>
      <w:r>
        <w:rPr>
          <w:lang w:val="en-US"/>
        </w:rPr>
        <w:t>Virtual coaching for rehabilitation: The participatory design experience of the vCare Project.</w:t>
      </w:r>
    </w:p>
    <w:p>
      <w:pPr>
        <w:pStyle w:val="Normal"/>
        <w:rPr>
          <w:lang w:val="en-US"/>
        </w:rPr>
      </w:pPr>
      <w:r>
        <w:rPr>
          <w:lang w:val="en-US"/>
        </w:rPr>
      </w:r>
    </w:p>
    <w:p>
      <w:pPr>
        <w:pStyle w:val="Bibliography"/>
        <w:rPr>
          <w:lang w:val="en-US"/>
        </w:rPr>
      </w:pPr>
      <w:r>
        <w:rPr>
          <w:lang w:val="en-US"/>
        </w:rPr>
        <w:t xml:space="preserve">Shah, S. G. S., &amp; Robinson, I. (2006). User involvement in healthcare technology development and assessment: Structured literature review. International Journal of Health Care Quality Assurance, 19(6), 500-515. </w:t>
      </w:r>
      <w:hyperlink r:id="rId189">
        <w:r>
          <w:rPr>
            <w:rStyle w:val="Hyperlink"/>
            <w:lang w:val="en-US"/>
          </w:rPr>
          <w:t>https://doi.org/10.1108/09526860610687619</w:t>
        </w:r>
      </w:hyperlink>
    </w:p>
    <w:p>
      <w:pPr>
        <w:pStyle w:val="Normal"/>
        <w:rPr>
          <w:lang w:val="en-US"/>
        </w:rPr>
      </w:pPr>
      <w:r>
        <w:rPr>
          <w:lang w:val="en-US"/>
        </w:rPr>
      </w:r>
    </w:p>
    <w:p>
      <w:pPr>
        <w:pStyle w:val="Bibliography"/>
        <w:rPr/>
      </w:pPr>
      <w:r>
        <w:rPr/>
        <w:t xml:space="preserve">Silva, L. A. da, Medola, F. O., Rodrigues, O. V., Rodrigues, A. C. T., &amp; Sandnes, F. E. (2018). </w:t>
      </w:r>
      <w:r>
        <w:rPr>
          <w:lang w:val="en-US"/>
        </w:rPr>
        <w:t xml:space="preserve">Interdisciplinary-based development of user-friendly customized 3D printed upper limb prosthesis. </w:t>
      </w:r>
      <w:r>
        <w:rPr/>
        <w:t>Comunicação em conferência.</w:t>
      </w:r>
    </w:p>
    <w:p>
      <w:pPr>
        <w:pStyle w:val="Normal"/>
        <w:rPr/>
      </w:pPr>
      <w:r>
        <w:rPr/>
      </w:r>
    </w:p>
    <w:p>
      <w:pPr>
        <w:pStyle w:val="Bibliography"/>
        <w:rPr>
          <w:lang w:val="en-US"/>
        </w:rPr>
      </w:pPr>
      <w:r>
        <w:rPr/>
        <w:t xml:space="preserve">Silva, R., Silva, B., Fernandes, C., Morouco, P., Alves, N., &amp; Veloso, A. (2024). </w:t>
      </w:r>
      <w:r>
        <w:rPr>
          <w:lang w:val="en-US"/>
        </w:rPr>
        <w:t xml:space="preserve">A review on 3D scanners studies for producing customized orthoses. Sensors, 24(5), 1373. </w:t>
      </w:r>
      <w:hyperlink r:id="rId190">
        <w:r>
          <w:rPr>
            <w:rStyle w:val="Hyperlink"/>
            <w:lang w:val="en-US"/>
          </w:rPr>
          <w:t>https://pmc.ncbi.nlm.nih.gov/articles/PMC10935386/pdf/sensors-24-01373.pdf</w:t>
        </w:r>
      </w:hyperlink>
    </w:p>
    <w:p>
      <w:pPr>
        <w:pStyle w:val="Normal"/>
        <w:rPr>
          <w:lang w:val="en-US"/>
        </w:rPr>
      </w:pPr>
      <w:r>
        <w:rPr>
          <w:lang w:val="en-US"/>
        </w:rPr>
      </w:r>
    </w:p>
    <w:p>
      <w:pPr>
        <w:pStyle w:val="Bibliography"/>
        <w:rPr>
          <w:lang w:val="en-US"/>
        </w:rPr>
      </w:pPr>
      <w:r>
        <w:rPr>
          <w:lang w:val="en-US"/>
        </w:rPr>
        <w:t>Sims, T., Cranny, A., Metcalf, C., Chappell, P., &amp; Donovan-Hall, M. (2017). Participatory design of pediatric upper limb prostheses: Qualitative methods and prototyping.</w:t>
      </w:r>
    </w:p>
    <w:p>
      <w:pPr>
        <w:pStyle w:val="Normal"/>
        <w:rPr>
          <w:lang w:val="en-US"/>
        </w:rPr>
      </w:pPr>
      <w:r>
        <w:rPr>
          <w:lang w:val="en-US"/>
        </w:rPr>
      </w:r>
    </w:p>
    <w:p>
      <w:pPr>
        <w:pStyle w:val="Bibliography"/>
        <w:rPr>
          <w:lang w:val="en-US"/>
        </w:rPr>
      </w:pPr>
      <w:r>
        <w:rPr>
          <w:lang w:val="en-US"/>
        </w:rPr>
        <w:t xml:space="preserve">Smail, L. C., Neal, C., Wilkins, C., &amp; Packham, T. L. (2021). Comfort and function remain key factors in upper limb prosthetic abandonment: Findings of a scoping review. Disability and Rehabilitation: Assistive Technology, 16(8), 821-830. </w:t>
      </w:r>
      <w:hyperlink r:id="rId191">
        <w:r>
          <w:rPr>
            <w:rStyle w:val="Hyperlink"/>
            <w:lang w:val="en-US"/>
          </w:rPr>
          <w:t>https://doi.org/10.1080/17483107.2020.1738567</w:t>
        </w:r>
      </w:hyperlink>
    </w:p>
    <w:p>
      <w:pPr>
        <w:pStyle w:val="Normal"/>
        <w:rPr>
          <w:lang w:val="en-US"/>
        </w:rPr>
      </w:pPr>
      <w:r>
        <w:rPr>
          <w:lang w:val="en-US"/>
        </w:rPr>
      </w:r>
    </w:p>
    <w:p>
      <w:pPr>
        <w:pStyle w:val="Bibliography"/>
        <w:rPr>
          <w:lang w:val="en-US"/>
        </w:rPr>
      </w:pPr>
      <w:r>
        <w:rPr>
          <w:lang w:val="en-US"/>
        </w:rPr>
        <w:t xml:space="preserve">Soyer, K., Unver, B., Tamer, S., &amp; Ulger, O. (2016). The importance of rehabilitation concerning upper extremity amputees: A systematic review. </w:t>
      </w:r>
      <w:hyperlink r:id="rId192">
        <w:r>
          <w:rPr>
            <w:rStyle w:val="Hyperlink"/>
            <w:lang w:val="en-US"/>
          </w:rPr>
          <w:t>https://pjms.com.pk/index.php/pjms/article/view/9922/4660</w:t>
        </w:r>
      </w:hyperlink>
    </w:p>
    <w:p>
      <w:pPr>
        <w:pStyle w:val="Normal"/>
        <w:rPr>
          <w:lang w:val="en-US"/>
        </w:rPr>
      </w:pPr>
      <w:r>
        <w:rPr>
          <w:lang w:val="en-US"/>
        </w:rPr>
      </w:r>
    </w:p>
    <w:p>
      <w:pPr>
        <w:pStyle w:val="Bibliography"/>
        <w:rPr>
          <w:lang w:val="en-US"/>
        </w:rPr>
      </w:pPr>
      <w:r>
        <w:rPr>
          <w:lang w:val="en-US"/>
        </w:rPr>
        <w:t xml:space="preserve">Squibb, C., Madigan, M. L., &amp; Philen, M. K. (2024). A high precision laser scanning system for measuring shape and volume of transtibial amputee residual limbs: Design and validation. PLOS ONE, 19(5). </w:t>
      </w:r>
      <w:hyperlink r:id="rId193">
        <w:r>
          <w:rPr>
            <w:rStyle w:val="Hyperlink"/>
            <w:lang w:val="en-US"/>
          </w:rPr>
          <w:t>https://journals.plos.org/plosone/article/file?id=10.1371/journal.pone.0301619&amp;type=printable</w:t>
        </w:r>
      </w:hyperlink>
    </w:p>
    <w:p>
      <w:pPr>
        <w:pStyle w:val="Normal"/>
        <w:rPr>
          <w:lang w:val="en-US"/>
        </w:rPr>
      </w:pPr>
      <w:r>
        <w:rPr>
          <w:lang w:val="en-US"/>
        </w:rPr>
      </w:r>
    </w:p>
    <w:p>
      <w:pPr>
        <w:pStyle w:val="Bibliography"/>
        <w:rPr>
          <w:lang w:val="en-US"/>
        </w:rPr>
      </w:pPr>
      <w:r>
        <w:rPr>
          <w:lang w:val="en-US"/>
        </w:rPr>
        <w:t>Steenbekkers, L. P. A., &amp; van Beijsterveldt, C. E. M. (Eds.). (1998). Design-relevant characteristics of ageing users. Delft University Press.</w:t>
      </w:r>
    </w:p>
    <w:p>
      <w:pPr>
        <w:pStyle w:val="Bibliography"/>
        <w:rPr>
          <w:lang w:val="en-US"/>
        </w:rPr>
      </w:pPr>
      <w:r>
        <w:rPr>
          <w:lang w:val="en-US"/>
        </w:rPr>
        <w:t xml:space="preserve">van Stralen, M. (2018). Mass customization: A critical perspective on parametric design, digital fabrication and design democratization. In Proceedings of the 22nd Congress of the Iberoamerican Society of Digital Graphics (pp. 142-149). Blucher. </w:t>
      </w:r>
      <w:hyperlink r:id="rId194">
        <w:r>
          <w:rPr>
            <w:rStyle w:val="Hyperlink"/>
            <w:lang w:val="en-US"/>
          </w:rPr>
          <w:t>https://doi.org/10.5151/sigradi2018-1770</w:t>
        </w:r>
      </w:hyperlink>
    </w:p>
    <w:p>
      <w:pPr>
        <w:pStyle w:val="Normal"/>
        <w:rPr>
          <w:lang w:val="en-US"/>
        </w:rPr>
      </w:pPr>
      <w:r>
        <w:rPr>
          <w:lang w:val="en-US"/>
        </w:rPr>
      </w:r>
    </w:p>
    <w:p>
      <w:pPr>
        <w:pStyle w:val="Bibliography"/>
        <w:rPr>
          <w:lang w:val="en-US"/>
        </w:rPr>
      </w:pPr>
      <w:r>
        <w:rPr>
          <w:lang w:val="en-US"/>
        </w:rPr>
        <w:t xml:space="preserve">Sunderland, F., Willerth, S., Silver-Thorn, B., &amp; Dickinson, A. (2024). OpenLimbTT, a transtibial residual limb shape model for prosthetics simulation and design: Creating a statistical anatomic model using sparse data. medRxiv. </w:t>
      </w:r>
    </w:p>
    <w:p>
      <w:pPr>
        <w:pStyle w:val="Bibliography"/>
        <w:rPr>
          <w:lang w:val="en-US"/>
        </w:rPr>
      </w:pPr>
      <w:hyperlink r:id="rId195">
        <w:r>
          <w:rPr>
            <w:rStyle w:val="Hyperlink"/>
            <w:lang w:val="en-US"/>
          </w:rPr>
          <w:t>https://www.medrxiv.org/content/medrxiv/early/2024/11/30/2024.11.27.24317622.full.pdf</w:t>
        </w:r>
      </w:hyperlink>
    </w:p>
    <w:p>
      <w:pPr>
        <w:pStyle w:val="Normal"/>
        <w:rPr>
          <w:lang w:val="en-US"/>
        </w:rPr>
      </w:pPr>
      <w:r>
        <w:rPr>
          <w:lang w:val="en-US"/>
        </w:rPr>
      </w:r>
    </w:p>
    <w:p>
      <w:pPr>
        <w:pStyle w:val="Bibliography"/>
        <w:rPr>
          <w:lang w:val="en-US"/>
        </w:rPr>
      </w:pPr>
      <w:r>
        <w:rPr>
          <w:lang w:val="de-DE"/>
        </w:rPr>
        <w:t xml:space="preserve">ten Kate, J., Smit, G., &amp; Breedveld, P. (2017). </w:t>
      </w:r>
      <w:r>
        <w:rPr>
          <w:lang w:val="en-US"/>
        </w:rPr>
        <w:t xml:space="preserve">3D-printed upper limb prostheses: A review. Disability and Rehabilitation: Assistive Technology, 12(3), 300-314. </w:t>
      </w:r>
      <w:hyperlink r:id="rId196">
        <w:r>
          <w:rPr>
            <w:rStyle w:val="Hyperlink"/>
            <w:lang w:val="en-US"/>
          </w:rPr>
          <w:t>https://doi.org/10.1080/17483107.2016.1253117</w:t>
        </w:r>
      </w:hyperlink>
    </w:p>
    <w:p>
      <w:pPr>
        <w:pStyle w:val="Normal"/>
        <w:rPr>
          <w:lang w:val="en-US"/>
        </w:rPr>
      </w:pPr>
      <w:r>
        <w:rPr>
          <w:lang w:val="en-US"/>
        </w:rPr>
      </w:r>
    </w:p>
    <w:p>
      <w:pPr>
        <w:pStyle w:val="Bibliography"/>
        <w:rPr>
          <w:lang w:val="en-US"/>
        </w:rPr>
      </w:pPr>
      <w:r>
        <w:rPr>
          <w:lang w:val="en-US"/>
        </w:rPr>
        <w:t>Thorsen, R., Hansen, A. H., &amp; Nilsen, E. R. (2023). From patient to maker: A workflow including people with cerebral palsy in co-creating assistive devices using 3D printing technologies.</w:t>
      </w:r>
    </w:p>
    <w:p>
      <w:pPr>
        <w:pStyle w:val="Normal"/>
        <w:rPr>
          <w:lang w:val="en-US"/>
        </w:rPr>
      </w:pPr>
      <w:r>
        <w:rPr>
          <w:lang w:val="en-US"/>
        </w:rPr>
      </w:r>
    </w:p>
    <w:p>
      <w:pPr>
        <w:pStyle w:val="Bibliography"/>
        <w:rPr>
          <w:lang w:val="en-US"/>
        </w:rPr>
      </w:pPr>
      <w:r>
        <w:rPr>
          <w:lang w:val="en-US"/>
        </w:rPr>
        <w:t>Trautmann, L. (2021). Product customization and generative design. Multidiszciplináris Tudományok.</w:t>
      </w:r>
    </w:p>
    <w:p>
      <w:pPr>
        <w:pStyle w:val="Normal"/>
        <w:rPr>
          <w:lang w:val="en-US"/>
        </w:rPr>
      </w:pPr>
      <w:r>
        <w:rPr>
          <w:lang w:val="en-US"/>
        </w:rPr>
      </w:r>
    </w:p>
    <w:p>
      <w:pPr>
        <w:pStyle w:val="Bibliography"/>
        <w:rPr>
          <w:lang w:val="en-US"/>
        </w:rPr>
      </w:pPr>
      <w:r>
        <w:rPr>
          <w:lang w:val="en-US"/>
        </w:rPr>
        <w:t xml:space="preserve">Verganti, R., Vendraminelli, L., &amp; Iansiti, M. (2020). Innovation and design in the age of artificial intelligence. </w:t>
      </w:r>
      <w:hyperlink r:id="rId197">
        <w:r>
          <w:rPr>
            <w:rStyle w:val="Hyperlink"/>
            <w:lang w:val="en-US"/>
          </w:rPr>
          <w:t>https://onlinelibrary.wiley.com/doi/pdfdirect/10.1111/jpim.12523</w:t>
        </w:r>
      </w:hyperlink>
    </w:p>
    <w:p>
      <w:pPr>
        <w:pStyle w:val="Normal"/>
        <w:rPr>
          <w:lang w:val="en-US"/>
        </w:rPr>
      </w:pPr>
      <w:r>
        <w:rPr>
          <w:lang w:val="en-US"/>
        </w:rPr>
      </w:r>
    </w:p>
    <w:p>
      <w:pPr>
        <w:pStyle w:val="Bibliography"/>
        <w:rPr>
          <w:lang w:val="en-US"/>
        </w:rPr>
      </w:pPr>
      <w:r>
        <w:rPr>
          <w:lang w:val="en-US"/>
        </w:rPr>
        <w:t xml:space="preserve">Virós-i-Martin, A., &amp; Selva, D. (2021). A framework to study human-AI collaborative design space exploration. In Volume 6: 33rd International Conference on Design Theory and Methodology (Article V006T06A052). ASME. </w:t>
      </w:r>
      <w:hyperlink r:id="rId198">
        <w:r>
          <w:rPr>
            <w:rStyle w:val="Hyperlink"/>
            <w:lang w:val="en-US"/>
          </w:rPr>
          <w:t>https://doi.org/10.1115/DETC2021-67619</w:t>
        </w:r>
      </w:hyperlink>
    </w:p>
    <w:p>
      <w:pPr>
        <w:pStyle w:val="Normal"/>
        <w:rPr>
          <w:lang w:val="en-US"/>
        </w:rPr>
      </w:pPr>
      <w:r>
        <w:rPr>
          <w:lang w:val="en-US"/>
        </w:rPr>
      </w:r>
    </w:p>
    <w:p>
      <w:pPr>
        <w:pStyle w:val="Bibliography"/>
        <w:rPr>
          <w:lang w:val="en-US"/>
        </w:rPr>
      </w:pPr>
      <w:r>
        <w:rPr>
          <w:lang w:val="en-US"/>
        </w:rPr>
        <w:t xml:space="preserve">Walker, M. J., Goddard, E., Stephens-Fripp, B., &amp; Alici, G. (2020). Towards including end-users in the design of prosthetic hands: Ethical analysis of a survey of Australians with upper-limb difference. </w:t>
      </w:r>
      <w:r>
        <w:rPr>
          <w:i/>
          <w:iCs/>
          <w:lang w:val="en-US"/>
        </w:rPr>
        <w:t>Science and Engineering Ethics, 26</w:t>
      </w:r>
      <w:r>
        <w:rPr>
          <w:lang w:val="en-US"/>
        </w:rPr>
        <w:t xml:space="preserve">, 981–1007. </w:t>
      </w:r>
      <w:hyperlink r:id="rId199">
        <w:r>
          <w:rPr>
            <w:rStyle w:val="Hyperlink"/>
            <w:lang w:val="en-US"/>
          </w:rPr>
          <w:t>https://doi.org/10.1007/s11948-019-00168-2</w:t>
        </w:r>
      </w:hyperlink>
    </w:p>
    <w:p>
      <w:pPr>
        <w:pStyle w:val="Normal"/>
        <w:rPr>
          <w:lang w:val="en-US"/>
        </w:rPr>
      </w:pPr>
      <w:r>
        <w:rPr>
          <w:lang w:val="en-US"/>
        </w:rPr>
      </w:r>
    </w:p>
    <w:p>
      <w:pPr>
        <w:pStyle w:val="Bibliography"/>
        <w:rPr>
          <w:lang w:val="en-US"/>
        </w:rPr>
      </w:pPr>
      <w:r>
        <w:rPr>
          <w:lang w:val="en-US"/>
        </w:rPr>
        <w:t xml:space="preserve">Walters, S., Seminati, E., Metcalfe, B., Bailey, N. Y., &amp; Pegg, E. C. (2025). Demystifying upper limb hybrid prostheses: A scoping review. Frontiers in Rehabilitation Sciences, 6, 1610336. </w:t>
      </w:r>
      <w:hyperlink r:id="rId200">
        <w:r>
          <w:rPr>
            <w:rStyle w:val="Hyperlink"/>
            <w:lang w:val="en-US"/>
          </w:rPr>
          <w:t>https://doi.org/10.3389/fresc.2025.1610336</w:t>
        </w:r>
      </w:hyperlink>
    </w:p>
    <w:p>
      <w:pPr>
        <w:pStyle w:val="Normal"/>
        <w:rPr>
          <w:lang w:val="en-US"/>
        </w:rPr>
      </w:pPr>
      <w:r>
        <w:rPr>
          <w:lang w:val="en-US"/>
        </w:rPr>
      </w:r>
    </w:p>
    <w:p>
      <w:pPr>
        <w:pStyle w:val="Bibliography"/>
        <w:rPr>
          <w:lang w:val="en-US"/>
        </w:rPr>
      </w:pPr>
      <w:r>
        <w:rPr>
          <w:lang w:val="en-US"/>
        </w:rPr>
        <w:t xml:space="preserve">Wang, X., &amp; Hu, B. (2024). Machine learning algorithms for improved product design user experience. IEEE Access, 12, 112810-112821. </w:t>
      </w:r>
    </w:p>
    <w:p>
      <w:pPr>
        <w:pStyle w:val="Bibliography"/>
        <w:rPr>
          <w:lang w:val="en-US"/>
        </w:rPr>
      </w:pPr>
      <w:hyperlink r:id="rId201">
        <w:r>
          <w:rPr>
            <w:rStyle w:val="Hyperlink"/>
            <w:lang w:val="en-US"/>
          </w:rPr>
          <w:t>https://doi.org/10.1109/ACCESS.2024.3442085</w:t>
        </w:r>
      </w:hyperlink>
    </w:p>
    <w:p>
      <w:pPr>
        <w:pStyle w:val="Normal"/>
        <w:rPr>
          <w:lang w:val="en-US"/>
        </w:rPr>
      </w:pPr>
      <w:r>
        <w:rPr>
          <w:lang w:val="en-US"/>
        </w:rPr>
      </w:r>
    </w:p>
    <w:p>
      <w:pPr>
        <w:pStyle w:val="Bibliography"/>
        <w:rPr>
          <w:lang w:val="en-US"/>
        </w:rPr>
      </w:pPr>
      <w:r>
        <w:rPr>
          <w:lang w:val="en-US"/>
        </w:rPr>
        <w:t xml:space="preserve">Wendo, K., Barbier, O., Bollen, X., Schubert, T., Lejeune, T., Raucent, B., &amp; Olszewski, R. (2022). Open-source 3D printing in the prosthetic field: The case of upper limb prostheses: A review. Machines, 10(6), 413. </w:t>
      </w:r>
      <w:hyperlink r:id="rId202">
        <w:r>
          <w:rPr>
            <w:rStyle w:val="Hyperlink"/>
            <w:lang w:val="en-US"/>
          </w:rPr>
          <w:t>https://doi.org/10.3390/machines10060413</w:t>
        </w:r>
      </w:hyperlink>
    </w:p>
    <w:p>
      <w:pPr>
        <w:pStyle w:val="Normal"/>
        <w:rPr>
          <w:lang w:val="en-US"/>
        </w:rPr>
      </w:pPr>
      <w:r>
        <w:rPr>
          <w:lang w:val="en-US"/>
        </w:rPr>
      </w:r>
    </w:p>
    <w:p>
      <w:pPr>
        <w:pStyle w:val="Bibliography"/>
        <w:rPr>
          <w:lang w:val="en-US"/>
        </w:rPr>
      </w:pPr>
      <w:r>
        <w:rPr>
          <w:lang w:val="en-US"/>
        </w:rPr>
        <w:t xml:space="preserve">White, J., &amp; Mosca, E. I. (2022). Developing innovative solutions for universal design in healthcare and other sectors. Studies in Health Technology and Informatics, 297, 340-347. </w:t>
      </w:r>
      <w:hyperlink r:id="rId203">
        <w:r>
          <w:rPr>
            <w:rStyle w:val="Hyperlink"/>
            <w:lang w:val="en-US"/>
          </w:rPr>
          <w:t>https://doi.org/10.3233/SHTI220858</w:t>
        </w:r>
      </w:hyperlink>
    </w:p>
    <w:p>
      <w:pPr>
        <w:pStyle w:val="Normal"/>
        <w:rPr>
          <w:lang w:val="en-US"/>
        </w:rPr>
      </w:pPr>
      <w:r>
        <w:rPr>
          <w:lang w:val="en-US"/>
        </w:rPr>
      </w:r>
    </w:p>
    <w:p>
      <w:pPr>
        <w:pStyle w:val="Bibliography"/>
        <w:rPr>
          <w:lang w:val="en-US"/>
        </w:rPr>
      </w:pPr>
      <w:r>
        <w:rPr>
          <w:lang w:val="en-US"/>
        </w:rPr>
        <w:t xml:space="preserve">Wiberg, A., Persson, J., &amp; Ölvander, J. (2019). Design for additive manufacturing: A review of available design methods and software. Rapid Prototyping Journal, 25(6), 1080-1094. </w:t>
      </w:r>
      <w:hyperlink r:id="rId204">
        <w:r>
          <w:rPr>
            <w:rStyle w:val="Hyperlink"/>
            <w:lang w:val="en-US"/>
          </w:rPr>
          <w:t>https://doi.org/10.1108/RPJ-10-2018-0262</w:t>
        </w:r>
      </w:hyperlink>
    </w:p>
    <w:p>
      <w:pPr>
        <w:pStyle w:val="Normal"/>
        <w:rPr>
          <w:lang w:val="en-US"/>
        </w:rPr>
      </w:pPr>
      <w:r>
        <w:rPr>
          <w:lang w:val="en-US"/>
        </w:rPr>
      </w:r>
    </w:p>
    <w:p>
      <w:pPr>
        <w:pStyle w:val="Bibliography"/>
        <w:rPr>
          <w:lang w:val="en-US"/>
        </w:rPr>
      </w:pPr>
      <w:r>
        <w:rPr>
          <w:lang w:val="en-US"/>
        </w:rPr>
        <w:t xml:space="preserve">Wilke, H., Badke-Schaub, P., &amp; Thoring, K. (2020). The healthcare design dilemma: Perils of a technology-driven design process for medical products. Proceedings of the Design Society: DESIGN Conference, 1, 2217-2226. </w:t>
      </w:r>
      <w:hyperlink r:id="rId205">
        <w:r>
          <w:rPr>
            <w:rStyle w:val="Hyperlink"/>
            <w:lang w:val="en-US"/>
          </w:rPr>
          <w:t>https://doi.org/10.1017/dsd.2020.133</w:t>
        </w:r>
      </w:hyperlink>
    </w:p>
    <w:p>
      <w:pPr>
        <w:pStyle w:val="Normal"/>
        <w:rPr>
          <w:lang w:val="en-US"/>
        </w:rPr>
      </w:pPr>
      <w:r>
        <w:rPr>
          <w:lang w:val="en-US"/>
        </w:rPr>
      </w:r>
    </w:p>
    <w:p>
      <w:pPr>
        <w:pStyle w:val="Bibliography"/>
        <w:rPr>
          <w:lang w:val="en-US"/>
        </w:rPr>
      </w:pPr>
      <w:r>
        <w:rPr>
          <w:lang w:val="de-DE"/>
        </w:rPr>
        <w:t xml:space="preserve">Windrich, M., Grimmer, M., Christ, O., Rinderknecht, S., &amp; Beckerle, P. (2016). </w:t>
      </w:r>
      <w:r>
        <w:rPr>
          <w:lang w:val="en-US"/>
        </w:rPr>
        <w:t>Active lower limb prosthetics: A systematic review of design issues and solutions.</w:t>
      </w:r>
    </w:p>
    <w:p>
      <w:pPr>
        <w:pStyle w:val="Normal"/>
        <w:rPr>
          <w:lang w:val="en-US"/>
        </w:rPr>
      </w:pPr>
      <w:r>
        <w:rPr>
          <w:lang w:val="en-US"/>
        </w:rPr>
      </w:r>
    </w:p>
    <w:p>
      <w:pPr>
        <w:pStyle w:val="Bibliography"/>
        <w:rPr>
          <w:lang w:val="en-US"/>
        </w:rPr>
      </w:pPr>
      <w:r>
        <w:rPr>
          <w:lang w:val="en-US"/>
        </w:rPr>
        <w:t xml:space="preserve">Xu, K., &amp; Qin, S.-F. (2022). 3D printing, limb prosthetics and generative design: A scoping review. In </w:t>
      </w:r>
      <w:r>
        <w:rPr>
          <w:i/>
          <w:iCs/>
          <w:lang w:val="en-US"/>
        </w:rPr>
        <w:t>2022 27th International Conference on Automation and Computing (ICAC)</w:t>
      </w:r>
      <w:r>
        <w:rPr>
          <w:lang w:val="en-US"/>
        </w:rPr>
        <w:t xml:space="preserve"> (pp. 1–6). IEEE. </w:t>
      </w:r>
      <w:hyperlink r:id="rId206">
        <w:r>
          <w:rPr>
            <w:rStyle w:val="Hyperlink"/>
            <w:lang w:val="en-US"/>
          </w:rPr>
          <w:t>https://doi.org/10.1109/ICAC55051.2022.9911138</w:t>
        </w:r>
      </w:hyperlink>
    </w:p>
    <w:p>
      <w:pPr>
        <w:pStyle w:val="Normal"/>
        <w:rPr>
          <w:lang w:val="en-US"/>
        </w:rPr>
      </w:pPr>
      <w:r>
        <w:rPr>
          <w:lang w:val="en-US"/>
        </w:rPr>
      </w:r>
    </w:p>
    <w:p>
      <w:pPr>
        <w:pStyle w:val="Normal"/>
        <w:rPr>
          <w:lang w:val="en-US"/>
        </w:rPr>
      </w:pPr>
      <w:r>
        <w:rPr>
          <w:lang w:val="en-US"/>
        </w:rPr>
      </w:r>
    </w:p>
    <w:p>
      <w:pPr>
        <w:pStyle w:val="Bibliography"/>
        <w:rPr>
          <w:lang w:val="en-US"/>
        </w:rPr>
      </w:pPr>
      <w:r>
        <w:rPr>
          <w:lang w:val="en-US"/>
        </w:rPr>
        <w:t xml:space="preserve">Young, P. R., Hebert, J. S., Marasco, P., Carey, J., &amp; Schofield, J. S. (2023). Advances in the measurement of prosthetic socket interface mechanics: A review of technology, techniques, and a 20-year update. </w:t>
      </w:r>
      <w:hyperlink r:id="rId207">
        <w:r>
          <w:rPr>
            <w:rStyle w:val="Hyperlink"/>
            <w:lang w:val="en-US"/>
          </w:rPr>
          <w:t>https://www.tandfonline.com/doi/pdf/10.1080/17434440.2023.2244418</w:t>
        </w:r>
      </w:hyperlink>
    </w:p>
    <w:p>
      <w:pPr>
        <w:pStyle w:val="Bibliography"/>
        <w:rPr>
          <w:lang w:val="en-US"/>
        </w:rPr>
      </w:pPr>
      <w:r>
        <w:rPr>
          <w:lang w:val="en-US"/>
        </w:rPr>
      </w:r>
    </w:p>
    <w:p>
      <w:pPr>
        <w:pStyle w:val="Bibliography"/>
        <w:rPr>
          <w:lang w:val="en-US"/>
        </w:rPr>
      </w:pPr>
      <w:r>
        <w:rPr>
          <w:lang w:val="en-US"/>
        </w:rPr>
        <w:t>Yu, A., Yick, K. L., Ng, S. P., &amp; Yip, J. (2013). 2D and 3D anatomical analyses of hand dimensions for custom-made gloves. Applied Ergonomics, 44, 381-392.</w:t>
      </w:r>
    </w:p>
    <w:p>
      <w:pPr>
        <w:pStyle w:val="Bibliography"/>
        <w:rPr>
          <w:lang w:val="en-US"/>
        </w:rPr>
      </w:pPr>
      <w:r>
        <w:rPr>
          <w:lang w:val="en-US"/>
        </w:rPr>
      </w:r>
    </w:p>
    <w:p>
      <w:pPr>
        <w:pStyle w:val="Bibliography"/>
        <w:rPr>
          <w:lang w:val="en-US"/>
        </w:rPr>
      </w:pPr>
      <w:r>
        <w:rPr>
          <w:lang w:val="en-US"/>
        </w:rPr>
        <w:t xml:space="preserve">Yüksel, N., Börklü, H. R., Sezer, H. K., &amp; Canyurt, O. (2023). Review of artificial intelligence applications in engineering design perspective. Engineering Applications of Artificial Intelligence, 118, 105697. </w:t>
      </w:r>
      <w:hyperlink r:id="rId208">
        <w:r>
          <w:rPr>
            <w:rStyle w:val="Hyperlink"/>
            <w:lang w:val="en-US"/>
          </w:rPr>
          <w:t>https://doi.org/10.1016/j.engappai.2022.105697</w:t>
        </w:r>
      </w:hyperlink>
    </w:p>
    <w:p>
      <w:pPr>
        <w:pStyle w:val="Normal"/>
        <w:rPr>
          <w:lang w:val="en-US"/>
        </w:rPr>
      </w:pPr>
      <w:r>
        <w:rPr>
          <w:lang w:val="en-US"/>
        </w:rPr>
      </w:r>
    </w:p>
    <w:p>
      <w:pPr>
        <w:pStyle w:val="Bibliography"/>
        <w:rPr>
          <w:lang w:val="en-US"/>
        </w:rPr>
      </w:pPr>
      <w:r>
        <w:rPr>
          <w:lang w:val="de-DE"/>
        </w:rPr>
        <w:t xml:space="preserve">Zhu, Z., &amp; Zhong, R. Y. (2022). </w:t>
      </w:r>
      <w:r>
        <w:rPr>
          <w:lang w:val="en-US"/>
        </w:rPr>
        <w:t>A digital twin enabled wearable device for customized healthcare.</w:t>
      </w:r>
    </w:p>
    <w:p>
      <w:pPr>
        <w:pStyle w:val="Bibliography"/>
        <w:rPr>
          <w:lang w:val="en-US"/>
        </w:rPr>
      </w:pPr>
      <w:r>
        <w:rPr>
          <w:lang w:val="de-DE"/>
        </w:rPr>
        <w:t xml:space="preserve">Zimmerman, J., Forlizzi, J., &amp; Evenson, S. (2007). </w:t>
      </w:r>
      <w:r>
        <w:rPr>
          <w:lang w:val="en-US"/>
        </w:rPr>
        <w:t xml:space="preserve">Research through design as a method for interaction design research in HCI. In Proceedings of the SIGCHI Conference on Human Factors in Computing Systems (pp. 493-502). ACM. </w:t>
      </w:r>
      <w:hyperlink r:id="rId209">
        <w:r>
          <w:rPr>
            <w:rStyle w:val="Hyperlink"/>
            <w:lang w:val="en-US"/>
          </w:rPr>
          <w:t>https://doi.org/10.1145/1240624.1240704</w:t>
        </w:r>
      </w:hyperlink>
    </w:p>
    <w:p>
      <w:pPr>
        <w:pStyle w:val="Normal"/>
        <w:rPr>
          <w:lang w:val="en-US"/>
        </w:rPr>
      </w:pPr>
      <w:r>
        <w:rPr>
          <w:lang w:val="en-US"/>
        </w:rPr>
      </w:r>
    </w:p>
    <w:p>
      <w:pPr>
        <w:pStyle w:val="Bibliography"/>
        <w:rPr/>
      </w:pPr>
      <w:r>
        <w:rPr>
          <w:lang w:val="en-US"/>
        </w:rPr>
        <w:t xml:space="preserve">Zuniga, J., Katsavelis, D., Peck, J., Stollberg, J., Petrykowski, M., Carson, A., &amp; Fernandez, C. (2015). Cyborg beast: A low-cost 3D-printed prosthetic hand for children with upper-limb differences. </w:t>
      </w:r>
      <w:r>
        <w:rPr/>
        <w:t xml:space="preserve">BMC Research Notes, 8, 10. </w:t>
      </w:r>
      <w:hyperlink r:id="rId210">
        <w:r>
          <w:rPr>
            <w:rStyle w:val="Hyperlink"/>
          </w:rPr>
          <w:t>https://doi.org/10.1186/s13104-015-0971-9</w:t>
        </w:r>
      </w:hyperlink>
      <w:bookmarkEnd w:id="20"/>
    </w:p>
    <w:p>
      <w:pPr>
        <w:pStyle w:val="Bibliography"/>
        <w:rPr/>
      </w:pPr>
      <w:r>
        <w:rPr/>
      </w:r>
      <w:r>
        <w:br w:type="page"/>
      </w:r>
    </w:p>
    <w:p>
      <w:pPr>
        <w:pStyle w:val="TtulosPrembulo-IPCA"/>
        <w:spacing w:before="0" w:after="120"/>
        <w:contextualSpacing/>
        <w:rPr/>
      </w:pPr>
      <w:bookmarkStart w:id="188" w:name="_Toc235565022"/>
      <w:r>
        <w:rPr/>
        <w:t>Anexo A — Metodologia de extração e codificação de dados antropométricos</w:t>
      </w:r>
      <w:bookmarkEnd w:id="188"/>
    </w:p>
    <w:p>
      <w:pPr>
        <w:pStyle w:val="TextoNormal-IPCA"/>
        <w:keepNext w:val="true"/>
        <w:rPr/>
      </w:pPr>
      <w:r>
        <w:rPr/>
      </w:r>
    </w:p>
    <w:p>
      <w:pPr>
        <w:pStyle w:val="TtulosPrembulo-IPCA"/>
        <w:rPr/>
      </w:pPr>
      <w:bookmarkStart w:id="189" w:name="_Toc235565023"/>
      <w:r>
        <w:rPr/>
        <w:t>Índice do Anexo A</w:t>
      </w:r>
      <w:bookmarkEnd w:id="189"/>
    </w:p>
    <w:p>
      <w:pPr>
        <w:pStyle w:val="ndicedoAnexo2"/>
        <w:rPr/>
      </w:pPr>
      <w:r>
        <w:rPr/>
        <w:t>A.1 Contexto e Objectivo</w:t>
        <w:tab/>
        <w:t>144</w:t>
      </w:r>
    </w:p>
    <w:p>
      <w:pPr>
        <w:pStyle w:val="ndicedoAnexo2"/>
        <w:rPr/>
      </w:pPr>
      <w:r>
        <w:rPr/>
        <w:t>A.2 Estratégia de Pesquisa Bibliográfica</w:t>
        <w:tab/>
        <w:t>144</w:t>
      </w:r>
    </w:p>
    <w:p>
      <w:pPr>
        <w:pStyle w:val="ndicedoAnexo3"/>
        <w:tabs>
          <w:tab w:val="clear" w:pos="708"/>
          <w:tab w:val="right" w:pos="8204" w:leader="dot"/>
        </w:tabs>
        <w:rPr/>
      </w:pPr>
      <w:r>
        <w:rPr/>
        <w:t>A.2.1 Pesquisa bibliográfica orientada</w:t>
        <w:tab/>
        <w:t>144</w:t>
      </w:r>
    </w:p>
    <w:p>
      <w:pPr>
        <w:pStyle w:val="ndicedoAnexo3"/>
        <w:tabs>
          <w:tab w:val="clear" w:pos="708"/>
          <w:tab w:val="right" w:pos="8204" w:leader="dot"/>
        </w:tabs>
        <w:rPr/>
      </w:pPr>
      <w:r>
        <w:rPr/>
        <w:t>A.2.2 Base ANSUR 1988</w:t>
        <w:tab/>
        <w:t>145</w:t>
      </w:r>
    </w:p>
    <w:p>
      <w:pPr>
        <w:pStyle w:val="ndicedoAnexo2"/>
        <w:rPr/>
      </w:pPr>
      <w:r>
        <w:rPr/>
        <w:t>A.3 Critérios de Inclusão e Exclusão de Estudos</w:t>
        <w:tab/>
        <w:t>145</w:t>
      </w:r>
    </w:p>
    <w:p>
      <w:pPr>
        <w:pStyle w:val="ndicedoAnexo3"/>
        <w:tabs>
          <w:tab w:val="clear" w:pos="708"/>
          <w:tab w:val="right" w:pos="8204" w:leader="dot"/>
        </w:tabs>
        <w:rPr/>
      </w:pPr>
      <w:r>
        <w:rPr/>
        <w:t>A.3.1 Critérios de inclusão</w:t>
        <w:tab/>
        <w:t>145</w:t>
      </w:r>
    </w:p>
    <w:p>
      <w:pPr>
        <w:pStyle w:val="ndicedoAnexo3"/>
        <w:tabs>
          <w:tab w:val="clear" w:pos="708"/>
          <w:tab w:val="right" w:pos="8204" w:leader="dot"/>
        </w:tabs>
        <w:rPr/>
      </w:pPr>
      <w:r>
        <w:rPr/>
        <w:t>A.3.2 Critérios de exclusão</w:t>
        <w:tab/>
        <w:t>145</w:t>
      </w:r>
    </w:p>
    <w:p>
      <w:pPr>
        <w:pStyle w:val="ndicedoAnexo2"/>
        <w:rPr/>
      </w:pPr>
      <w:r>
        <w:rPr/>
        <w:t>A.4 Processo de Extracção de Dados</w:t>
        <w:tab/>
        <w:t>146</w:t>
      </w:r>
    </w:p>
    <w:p>
      <w:pPr>
        <w:pStyle w:val="ndicedoAnexo3"/>
        <w:tabs>
          <w:tab w:val="clear" w:pos="708"/>
          <w:tab w:val="right" w:pos="8204" w:leader="dot"/>
        </w:tabs>
        <w:rPr/>
      </w:pPr>
      <w:r>
        <w:rPr/>
        <w:t>A.4.1 Leitura dos PDFs e localização das tabelas</w:t>
        <w:tab/>
        <w:t>146</w:t>
      </w:r>
    </w:p>
    <w:p>
      <w:pPr>
        <w:pStyle w:val="ndicedoAnexo3"/>
        <w:tabs>
          <w:tab w:val="clear" w:pos="708"/>
          <w:tab w:val="right" w:pos="8204" w:leader="dot"/>
        </w:tabs>
        <w:rPr/>
      </w:pPr>
      <w:r>
        <w:rPr/>
        <w:t>A.4.2 Identificação das unidades e conversão</w:t>
        <w:tab/>
        <w:t>146</w:t>
      </w:r>
    </w:p>
    <w:p>
      <w:pPr>
        <w:pStyle w:val="ndicedoAnexo3"/>
        <w:tabs>
          <w:tab w:val="clear" w:pos="708"/>
          <w:tab w:val="right" w:pos="8204" w:leader="dot"/>
        </w:tabs>
        <w:rPr/>
      </w:pPr>
      <w:r>
        <w:rPr/>
        <w:t>A.4.3 Decomposição em linhas atómicas</w:t>
        <w:tab/>
        <w:t>146</w:t>
      </w:r>
    </w:p>
    <w:p>
      <w:pPr>
        <w:pStyle w:val="ndicedoAnexo3"/>
        <w:tabs>
          <w:tab w:val="clear" w:pos="708"/>
          <w:tab w:val="right" w:pos="8204" w:leader="dot"/>
        </w:tabs>
        <w:rPr/>
      </w:pPr>
      <w:r>
        <w:rPr/>
        <w:t>A.4.4 Registo fiel do contexto da medição</w:t>
        <w:tab/>
        <w:t>146</w:t>
      </w:r>
    </w:p>
    <w:p>
      <w:pPr>
        <w:pStyle w:val="ndicedoAnexo2"/>
        <w:rPr/>
      </w:pPr>
      <w:r>
        <w:rPr/>
        <w:t>A.5 Decisões por Estudo</w:t>
        <w:tab/>
        <w:t>147</w:t>
      </w:r>
    </w:p>
    <w:p>
      <w:pPr>
        <w:pStyle w:val="ndicedoAnexo3"/>
        <w:tabs>
          <w:tab w:val="clear" w:pos="708"/>
          <w:tab w:val="right" w:pos="8204" w:leader="dot"/>
        </w:tabs>
        <w:rPr/>
      </w:pPr>
      <w:r>
        <w:rPr/>
        <w:t>A.5.1 ANSUR 1988 — EUA, militares (Gordon et al., 1989)</w:t>
        <w:tab/>
        <w:t>147</w:t>
      </w:r>
    </w:p>
    <w:p>
      <w:pPr>
        <w:pStyle w:val="ndicedoAnexo3"/>
        <w:tabs>
          <w:tab w:val="clear" w:pos="708"/>
          <w:tab w:val="right" w:pos="8204" w:leader="dot"/>
        </w:tabs>
        <w:rPr/>
      </w:pPr>
      <w:r>
        <w:rPr/>
        <w:t>A.5.2 Turquia — jovens adultos (Chatzioglou et al., 2024)</w:t>
        <w:tab/>
        <w:t>148</w:t>
      </w:r>
    </w:p>
    <w:p>
      <w:pPr>
        <w:pStyle w:val="ndicedoAnexo3"/>
        <w:tabs>
          <w:tab w:val="clear" w:pos="708"/>
          <w:tab w:val="right" w:pos="8204" w:leader="dot"/>
        </w:tabs>
        <w:rPr/>
      </w:pPr>
      <w:r>
        <w:rPr/>
        <w:t>A.5.3 México — população geral (Rodríguez-Vega &amp; Rodríguez-Vega, 2024)</w:t>
        <w:tab/>
        <w:t>148</w:t>
      </w:r>
    </w:p>
    <w:p>
      <w:pPr>
        <w:pStyle w:val="ndicedoAnexo3"/>
        <w:tabs>
          <w:tab w:val="clear" w:pos="708"/>
          <w:tab w:val="right" w:pos="8204" w:leader="dot"/>
        </w:tabs>
        <w:rPr/>
      </w:pPr>
      <w:r>
        <w:rPr/>
        <w:t>A.5.4 Índia — mulheres trabalhadoras (Nag et al., 2003)</w:t>
        <w:tab/>
        <w:t>148</w:t>
      </w:r>
    </w:p>
    <w:p>
      <w:pPr>
        <w:pStyle w:val="ndicedoAnexo3"/>
        <w:tabs>
          <w:tab w:val="clear" w:pos="708"/>
          <w:tab w:val="right" w:pos="8204" w:leader="dot"/>
        </w:tabs>
        <w:rPr/>
      </w:pPr>
      <w:r>
        <w:rPr/>
        <w:t>A.5.5 Portugal — trabalhadores industriais (Anacleto Filho et al., 2023)</w:t>
        <w:tab/>
        <w:t>148</w:t>
      </w:r>
    </w:p>
    <w:p>
      <w:pPr>
        <w:pStyle w:val="ndicedoAnexo3"/>
        <w:tabs>
          <w:tab w:val="clear" w:pos="708"/>
          <w:tab w:val="right" w:pos="8204" w:leader="dot"/>
        </w:tabs>
        <w:rPr/>
      </w:pPr>
      <w:r>
        <w:rPr/>
        <w:t>A.5.6 Nigéria — atletas universitários (Ibiwari et al., 2025)</w:t>
        <w:tab/>
        <w:t>149</w:t>
      </w:r>
    </w:p>
    <w:p>
      <w:pPr>
        <w:pStyle w:val="ndicedoAnexo3"/>
        <w:tabs>
          <w:tab w:val="clear" w:pos="708"/>
          <w:tab w:val="right" w:pos="8204" w:leader="dot"/>
        </w:tabs>
        <w:rPr/>
      </w:pPr>
      <w:r>
        <w:rPr/>
        <w:t>A.5.7 Jordânia — trabalhadores com deficiência (Mistarihi, 2020)</w:t>
        <w:tab/>
        <w:t>149</w:t>
      </w:r>
    </w:p>
    <w:p>
      <w:pPr>
        <w:pStyle w:val="ndicedoAnexo3"/>
        <w:tabs>
          <w:tab w:val="clear" w:pos="708"/>
          <w:tab w:val="right" w:pos="8204" w:leader="dot"/>
        </w:tabs>
        <w:rPr/>
      </w:pPr>
      <w:r>
        <w:rPr/>
        <w:t>A.5.8 EUA — dedo indicador (Lim et al., 2018)</w:t>
        <w:tab/>
        <w:t>149</w:t>
      </w:r>
    </w:p>
    <w:p>
      <w:pPr>
        <w:pStyle w:val="ndicedoAnexo3"/>
        <w:tabs>
          <w:tab w:val="clear" w:pos="708"/>
          <w:tab w:val="right" w:pos="8204" w:leader="dot"/>
        </w:tabs>
        <w:rPr/>
      </w:pPr>
      <w:r>
        <w:rPr/>
        <w:t>A.5.9 Estudo excluído: Moreo (2016)</w:t>
        <w:tab/>
        <w:t>150</w:t>
      </w:r>
    </w:p>
    <w:p>
      <w:pPr>
        <w:pStyle w:val="ndicedoAnexo3"/>
        <w:tabs>
          <w:tab w:val="clear" w:pos="708"/>
          <w:tab w:val="right" w:pos="8204" w:leader="dot"/>
        </w:tabs>
        <w:rPr/>
      </w:pPr>
      <w:r>
        <w:rPr/>
        <w:t>A.5.10 EUA — militares ANSUR II (Gordon et al., 2015)</w:t>
        <w:tab/>
        <w:t>150</w:t>
      </w:r>
    </w:p>
    <w:p>
      <w:pPr>
        <w:pStyle w:val="ndicedoAnexo3"/>
        <w:tabs>
          <w:tab w:val="clear" w:pos="708"/>
          <w:tab w:val="right" w:pos="8204" w:leader="dot"/>
        </w:tabs>
        <w:rPr/>
      </w:pPr>
      <w:r>
        <w:rPr/>
        <w:t>A.5.11 Países Baixos — DINED (TU Delft, 1993–2004)</w:t>
        <w:tab/>
        <w:t>150</w:t>
      </w:r>
    </w:p>
    <w:p>
      <w:pPr>
        <w:pStyle w:val="ndicedoAnexo3"/>
        <w:tabs>
          <w:tab w:val="clear" w:pos="708"/>
          <w:tab w:val="right" w:pos="8204" w:leader="dot"/>
        </w:tabs>
        <w:rPr/>
      </w:pPr>
      <w:r>
        <w:rPr/>
        <w:t>A.5.12 China — idosos de Pequim (Hu et al., 2007)</w:t>
        <w:tab/>
        <w:t>151</w:t>
      </w:r>
    </w:p>
    <w:p>
      <w:pPr>
        <w:pStyle w:val="ndicedoAnexo3"/>
        <w:tabs>
          <w:tab w:val="clear" w:pos="708"/>
          <w:tab w:val="right" w:pos="8204" w:leader="dot"/>
        </w:tabs>
        <w:rPr/>
      </w:pPr>
      <w:r>
        <w:rPr/>
        <w:t>A.5.13 Estudo excluído: reconstrução corporal 3D a partir de fotografias ortogonais</w:t>
        <w:tab/>
        <w:t>151</w:t>
      </w:r>
    </w:p>
    <w:p>
      <w:pPr>
        <w:pStyle w:val="ndicedoAnexo2"/>
        <w:rPr/>
      </w:pPr>
      <w:r>
        <w:rPr/>
        <w:t>A.6 Estrutura do CSV e esquema de dados</w:t>
        <w:tab/>
        <w:t>151</w:t>
      </w:r>
    </w:p>
    <w:p>
      <w:pPr>
        <w:pStyle w:val="ndicedoAnexo3"/>
        <w:tabs>
          <w:tab w:val="clear" w:pos="708"/>
          <w:tab w:val="right" w:pos="8204" w:leader="dot"/>
        </w:tabs>
        <w:rPr/>
      </w:pPr>
      <w:r>
        <w:rPr/>
        <w:t>A.6.1 Campos</w:t>
        <w:tab/>
        <w:t>152</w:t>
      </w:r>
    </w:p>
    <w:p>
      <w:pPr>
        <w:pStyle w:val="ndicedoAnexo3"/>
        <w:tabs>
          <w:tab w:val="clear" w:pos="708"/>
          <w:tab w:val="right" w:pos="8204" w:leader="dot"/>
        </w:tabs>
        <w:rPr/>
      </w:pPr>
      <w:r>
        <w:rPr/>
        <w:t>A.6.2 Formato longo (</w:t>
      </w:r>
      <w:r>
        <w:rPr>
          <w:i/>
          <w:iCs/>
        </w:rPr>
        <w:t>long format</w:t>
      </w:r>
      <w:r>
        <w:rPr/>
        <w:t>)</w:t>
        <w:tab/>
        <w:t>145</w:t>
      </w:r>
    </w:p>
    <w:p>
      <w:pPr>
        <w:pStyle w:val="ndicedoAnexo2"/>
        <w:rPr/>
      </w:pPr>
      <w:r>
        <w:rPr/>
        <w:t>A.7 Controlo de Qualidade dos Dados</w:t>
        <w:tab/>
        <w:t>153</w:t>
      </w:r>
    </w:p>
    <w:p>
      <w:pPr>
        <w:pStyle w:val="ndicedoAnexo3"/>
        <w:tabs>
          <w:tab w:val="clear" w:pos="708"/>
          <w:tab w:val="right" w:pos="8204" w:leader="dot"/>
        </w:tabs>
        <w:rPr/>
      </w:pPr>
      <w:r>
        <w:rPr/>
        <w:t xml:space="preserve">A.7.1 Marcação </w:t>
      </w:r>
      <w:r>
        <w:rPr>
          <w:i/>
          <w:iCs/>
        </w:rPr>
        <w:t>inline</w:t>
      </w:r>
      <w:r>
        <w:rPr/>
        <w:t xml:space="preserve"> de limitações</w:t>
        <w:tab/>
        <w:t>145</w:t>
      </w:r>
    </w:p>
    <w:p>
      <w:pPr>
        <w:pStyle w:val="ndicedoAnexo3"/>
        <w:tabs>
          <w:tab w:val="clear" w:pos="708"/>
          <w:tab w:val="right" w:pos="8204" w:leader="dot"/>
        </w:tabs>
        <w:rPr/>
      </w:pPr>
      <w:r>
        <w:rPr/>
        <w:t>A.7.2 Verificação de unidades</w:t>
        <w:tab/>
        <w:t>153</w:t>
      </w:r>
    </w:p>
    <w:p>
      <w:pPr>
        <w:pStyle w:val="ndicedoAnexo3"/>
        <w:tabs>
          <w:tab w:val="clear" w:pos="708"/>
          <w:tab w:val="right" w:pos="8204" w:leader="dot"/>
        </w:tabs>
        <w:rPr/>
      </w:pPr>
      <w:r>
        <w:rPr/>
        <w:t>A.7.3 Ligação à fonte</w:t>
        <w:tab/>
        <w:t>153</w:t>
      </w:r>
    </w:p>
    <w:p>
      <w:pPr>
        <w:pStyle w:val="ndicedoAnexo2"/>
        <w:rPr/>
      </w:pPr>
      <w:r>
        <w:rPr/>
        <w:t>A.8 Escrita do Código de Geração</w:t>
        <w:tab/>
        <w:t>154</w:t>
      </w:r>
    </w:p>
    <w:p>
      <w:pPr>
        <w:pStyle w:val="ndicedoAnexo3"/>
        <w:tabs>
          <w:tab w:val="clear" w:pos="708"/>
          <w:tab w:val="right" w:pos="8204" w:leader="dot"/>
        </w:tabs>
        <w:rPr/>
      </w:pPr>
      <w:r>
        <w:rPr/>
        <w:t>A.8.1 Correspondência entre os CSV e os parâmetros da plataforma</w:t>
        <w:tab/>
        <w:t>154</w:t>
      </w:r>
    </w:p>
    <w:p>
      <w:pPr>
        <w:pStyle w:val="ndicedoAnexo2"/>
        <w:rPr/>
      </w:pPr>
      <w:r>
        <w:rPr/>
        <w:t>A.9 Resultado Final</w:t>
        <w:tab/>
        <w:t>155</w:t>
      </w:r>
    </w:p>
    <w:p>
      <w:pPr>
        <w:pStyle w:val="ndicedoAnexo2"/>
        <w:rPr/>
      </w:pPr>
      <w:r>
        <w:rPr/>
        <w:t>A.10 Cobertura Global da Base de Dados e Lacunas</w:t>
        <w:tab/>
        <w:t>155</w:t>
      </w:r>
    </w:p>
    <w:p>
      <w:pPr>
        <w:pStyle w:val="ndicedoAnexo3"/>
        <w:tabs>
          <w:tab w:val="clear" w:pos="708"/>
          <w:tab w:val="right" w:pos="8204" w:leader="dot"/>
        </w:tabs>
        <w:rPr/>
      </w:pPr>
      <w:r>
        <w:rPr/>
        <w:t>A.10.1 O que está coberto</w:t>
        <w:tab/>
        <w:t>155</w:t>
      </w:r>
    </w:p>
    <w:p>
      <w:pPr>
        <w:pStyle w:val="ndicedoAnexo4"/>
        <w:tabs>
          <w:tab w:val="clear" w:pos="708"/>
          <w:tab w:val="right" w:pos="8204" w:leader="dot"/>
        </w:tabs>
        <w:rPr/>
      </w:pPr>
      <w:r>
        <w:rPr/>
        <w:t>A.10.1.1. Cobertura geográfica</w:t>
        <w:tab/>
        <w:t>156</w:t>
      </w:r>
    </w:p>
    <w:p>
      <w:pPr>
        <w:pStyle w:val="ndicedoAnexo4"/>
        <w:tabs>
          <w:tab w:val="clear" w:pos="708"/>
          <w:tab w:val="right" w:pos="8204" w:leader="dot"/>
        </w:tabs>
        <w:rPr/>
      </w:pPr>
      <w:r>
        <w:rPr/>
        <w:t>A.10.1.2. Cobertura etária</w:t>
        <w:tab/>
        <w:t>156</w:t>
      </w:r>
    </w:p>
    <w:p>
      <w:pPr>
        <w:pStyle w:val="ndicedoAnexo4"/>
        <w:tabs>
          <w:tab w:val="clear" w:pos="708"/>
          <w:tab w:val="right" w:pos="8204" w:leader="dot"/>
        </w:tabs>
        <w:rPr/>
      </w:pPr>
      <w:r>
        <w:rPr/>
        <w:t>A.10.1.3. Cobertura estatística</w:t>
        <w:tab/>
        <w:t>157</w:t>
      </w:r>
    </w:p>
    <w:p>
      <w:pPr>
        <w:pStyle w:val="ndicedoAnexo3"/>
        <w:tabs>
          <w:tab w:val="clear" w:pos="708"/>
          <w:tab w:val="right" w:pos="8204" w:leader="dot"/>
        </w:tabs>
        <w:rPr/>
      </w:pPr>
      <w:r>
        <w:rPr/>
        <w:t>A.10.2 Onde a cobertura falha</w:t>
        <w:tab/>
        <w:t>157</w:t>
      </w:r>
    </w:p>
    <w:p>
      <w:pPr>
        <w:pStyle w:val="ndicedoAnexo4"/>
        <w:tabs>
          <w:tab w:val="clear" w:pos="708"/>
          <w:tab w:val="right" w:pos="8204" w:leader="dot"/>
        </w:tabs>
        <w:rPr/>
      </w:pPr>
      <w:r>
        <w:rPr/>
        <w:t>A.10.2.1. Lacunas geográficas</w:t>
        <w:tab/>
        <w:t>157</w:t>
      </w:r>
    </w:p>
    <w:p>
      <w:pPr>
        <w:pStyle w:val="ndicedoAnexo4"/>
        <w:tabs>
          <w:tab w:val="clear" w:pos="708"/>
          <w:tab w:val="right" w:pos="8204" w:leader="dot"/>
        </w:tabs>
        <w:rPr/>
      </w:pPr>
      <w:r>
        <w:rPr/>
        <w:t>A.10.2.2. Lacunas demográficas</w:t>
        <w:tab/>
        <w:t>158</w:t>
      </w:r>
    </w:p>
    <w:p>
      <w:pPr>
        <w:pStyle w:val="ndicedoAnexo4"/>
        <w:tabs>
          <w:tab w:val="clear" w:pos="708"/>
          <w:tab w:val="right" w:pos="8204" w:leader="dot"/>
        </w:tabs>
        <w:rPr/>
      </w:pPr>
      <w:r>
        <w:rPr/>
        <w:t>A.10.2.3. Limitações qualitativas dos dados existentes</w:t>
        <w:tab/>
        <w:t>158</w:t>
      </w:r>
    </w:p>
    <w:p>
      <w:pPr>
        <w:pStyle w:val="ndicedoAnexo3"/>
        <w:tabs>
          <w:tab w:val="clear" w:pos="708"/>
          <w:tab w:val="right" w:pos="8204" w:leader="dot"/>
        </w:tabs>
        <w:rPr/>
      </w:pPr>
      <w:r>
        <w:rPr/>
        <w:t>A.10.3 PRIORIDADES identificadas para expansão futura</w:t>
        <w:tab/>
        <w:t>159</w:t>
      </w:r>
    </w:p>
    <w:p>
      <w:pPr>
        <w:pStyle w:val="ndicedoAnexo4"/>
        <w:tabs>
          <w:tab w:val="clear" w:pos="708"/>
          <w:tab w:val="right" w:pos="8204" w:leader="dot"/>
        </w:tabs>
        <w:rPr/>
      </w:pPr>
      <w:r>
        <w:rPr/>
        <w:t>A.10.3.1. Prioridade alta</w:t>
        <w:tab/>
        <w:t>159</w:t>
      </w:r>
    </w:p>
    <w:p>
      <w:pPr>
        <w:pStyle w:val="ndicedoAnexo4"/>
        <w:tabs>
          <w:tab w:val="clear" w:pos="708"/>
          <w:tab w:val="right" w:pos="8204" w:leader="dot"/>
        </w:tabs>
        <w:rPr/>
      </w:pPr>
      <w:r>
        <w:rPr/>
        <w:t>A.10.3.2. Prioridade média</w:t>
        <w:tab/>
        <w:t>159</w:t>
      </w:r>
    </w:p>
    <w:p>
      <w:pPr>
        <w:pStyle w:val="ndicedoAnexo4"/>
        <w:tabs>
          <w:tab w:val="clear" w:pos="708"/>
          <w:tab w:val="right" w:pos="8204" w:leader="dot"/>
        </w:tabs>
        <w:rPr/>
      </w:pPr>
      <w:r>
        <w:rPr/>
        <w:t>A.10.3.3. Pertinência direta para o tema da tese</w:t>
        <w:tab/>
        <w:t>159</w:t>
      </w:r>
    </w:p>
    <w:p>
      <w:pPr>
        <w:pStyle w:val="Heading3"/>
        <w:numPr>
          <w:ilvl w:val="0"/>
          <w:numId w:val="0"/>
        </w:numPr>
        <w:ind w:hanging="0" w:start="0"/>
        <w:rPr/>
      </w:pPr>
      <w:r>
        <w:rPr/>
      </w:r>
    </w:p>
    <w:p>
      <w:pPr>
        <w:pStyle w:val="Heading3"/>
        <w:numPr>
          <w:ilvl w:val="0"/>
          <w:numId w:val="0"/>
        </w:numPr>
        <w:ind w:hanging="0" w:start="0"/>
        <w:rPr/>
      </w:pPr>
      <w:bookmarkStart w:id="190" w:name="_Toc235565024"/>
      <w:r>
        <w:rPr/>
        <w:t>A.1 Contexto e Objectivo</w:t>
      </w:r>
      <w:bookmarkEnd w:id="190"/>
    </w:p>
    <w:p>
      <w:pPr>
        <w:pStyle w:val="TextoNormal-IPCA"/>
        <w:keepNext w:val="true"/>
        <w:rPr/>
      </w:pPr>
      <w:r>
        <w:rPr/>
      </w:r>
    </w:p>
    <w:p>
      <w:pPr>
        <w:pStyle w:val="TextoNormal-IPCA"/>
        <w:rPr/>
      </w:pPr>
      <w:r>
        <w:rPr/>
        <w:t>O desenvolvimento de um gerador paramétrico de próteses de membro superior requer dados antropométricos da mão humana suficientemente variados para abranger diferentes populações, sexos e grupos etários. Este processo teve como objectivo construir uma base de dados estruturada em formato CSV para servir de entrada direta ao modelo paramétrico, reunindo medições reais extraídas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bookmarkStart w:id="191" w:name="_Toc235565025"/>
      <w:r>
        <w:rPr/>
        <w:t>A.2 Estratégia de Pesquisa Bibliográfica</w:t>
      </w:r>
      <w:bookmarkEnd w:id="191"/>
    </w:p>
    <w:p>
      <w:pPr>
        <w:pStyle w:val="Heading3"/>
        <w:numPr>
          <w:ilvl w:val="0"/>
          <w:numId w:val="0"/>
        </w:numPr>
        <w:ind w:hanging="0" w:start="0"/>
        <w:rPr/>
      </w:pPr>
      <w:bookmarkStart w:id="192" w:name="_Toc235565026"/>
      <w:r>
        <w:rPr/>
        <w:t>A.2.1 Pesquisa bibliográfica orientada</w:t>
      </w:r>
      <w:bookmarkEnd w:id="192"/>
    </w:p>
    <w:p>
      <w:pPr>
        <w:pStyle w:val="TextoNormal-IPCA"/>
        <w:keepNext w:val="true"/>
        <w:rPr/>
      </w:pPr>
      <w:r>
        <w:rPr/>
      </w:r>
    </w:p>
    <w:p>
      <w:pPr>
        <w:pStyle w:val="TextoNormal-IPCA"/>
        <w:rPr>
          <w:lang w:val="en-US"/>
        </w:rPr>
      </w:pPr>
      <w:r>
        <w:rPr/>
        <w:t xml:space="preserve">A pesquisa de literatura recorreu a consultas bibliográficas orientadas por questões e a ferramentas de apoio à revisão e triagem, com o objectivo de identificar estudos de antropometria da mão que apresentassem dados primários tabelados. </w:t>
      </w:r>
      <w:r>
        <w:rPr>
          <w:lang w:val="en-US"/>
        </w:rPr>
        <w:t>As questões-chave incidiam nas seguintes variações:</w:t>
      </w:r>
    </w:p>
    <w:p>
      <w:pPr>
        <w:pStyle w:val="TextoNormal-IPCA"/>
        <w:rPr>
          <w:lang w:val="en-US"/>
        </w:rPr>
      </w:pPr>
      <w:r>
        <w:rPr>
          <w:lang w:val="en-US"/>
        </w:rPr>
        <w:t>"</w:t>
      </w:r>
      <w:r>
        <w:rPr>
          <w:i/>
          <w:iCs/>
          <w:lang w:val="en-US"/>
        </w:rPr>
        <w:t>hand anthropometry normative data population study percentiles</w:t>
      </w:r>
      <w:r>
        <w:rPr>
          <w:lang w:val="en-US"/>
        </w:rPr>
        <w:t>" "</w:t>
      </w:r>
      <w:r>
        <w:rPr>
          <w:i/>
          <w:iCs/>
          <w:lang w:val="en-US"/>
        </w:rPr>
        <w:t>hand dimensions measurement ergonomics working population</w:t>
      </w:r>
      <w:r>
        <w:rPr>
          <w:lang w:val="en-US"/>
        </w:rPr>
        <w:t>" "</w:t>
      </w:r>
      <w:r>
        <w:rPr>
          <w:i/>
          <w:iCs/>
          <w:lang w:val="en-US"/>
        </w:rPr>
        <w:t>anthropometric survey finger length breadth caliper</w:t>
      </w:r>
      <w:r>
        <w:rPr>
          <w:lang w:val="en-US"/>
        </w:rPr>
        <w:t>"</w:t>
      </w:r>
    </w:p>
    <w:p>
      <w:pPr>
        <w:pStyle w:val="TextoNormal-IPCA"/>
        <w:rPr/>
      </w:pPr>
      <w:r>
        <w:rPr/>
        <w:t>As listas de referências obtidas foram guardadas localmente em pastas organizadas por capítulo da tese. Os ficheiros de trabalho, as citações e as listas bibliográficas foram cruzados com a coleção local de PDFs para identificar lacunas.</w:t>
      </w:r>
    </w:p>
    <w:p>
      <w:pPr>
        <w:pStyle w:val="Normal"/>
        <w:rPr/>
      </w:pPr>
      <w:r>
        <w:rPr/>
      </w:r>
    </w:p>
    <w:p>
      <w:pPr>
        <w:pStyle w:val="Heading3"/>
        <w:numPr>
          <w:ilvl w:val="0"/>
          <w:numId w:val="0"/>
        </w:numPr>
        <w:ind w:hanging="0" w:start="0"/>
        <w:rPr/>
      </w:pPr>
      <w:bookmarkStart w:id="193" w:name="_Toc235565027"/>
      <w:r>
        <w:rPr/>
        <w:t>A.2.2 Base ANSUR 1988</w:t>
      </w:r>
      <w:bookmarkEnd w:id="193"/>
    </w:p>
    <w:p>
      <w:pPr>
        <w:pStyle w:val="TextoNormal-IPCA"/>
        <w:keepNext w:val="true"/>
        <w:rPr/>
      </w:pPr>
      <w:r>
        <w:rPr/>
      </w:r>
    </w:p>
    <w:p>
      <w:pPr>
        <w:pStyle w:val="TextoNormal-IPCA"/>
        <w:rPr/>
      </w:pPr>
      <w:r>
        <w:rPr/>
        <w:t xml:space="preserve">O relatório ANSUR 1988 </w:t>
      </w:r>
      <w:sdt>
        <w:sdtPr>
          <w:tag w:val="MENDELEY_CITATION_v3_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
          <w:id w:val="759576144"/>
          <w:placeholder>
            <w:docPart w:val="DefaultPlaceholder_-1854013440"/>
          </w:placeholder>
        </w:sdtPr>
        <w:sdtContent>
          <w:r>
            <w:rPr/>
          </w:r>
          <w:r>
            <w:rPr>
              <w:color w:val="000000"/>
            </w:rPr>
            <w:t>(Gordon et al., 2014)</w:t>
          </w:r>
        </w:sdtContent>
      </w:sdt>
      <w:r>
        <w:rPr/>
        <w:t xml:space="preserve"> inclui 9.068 participantes no levantamento geral. Os ficheiros produzidos neste projeto codificam as tabelas estatísticas detalhadas do anexo relativas aos grupos aí identificados: 2.208 mulheres e 1.774 homens, perfazendo um total analítico de 3.982 participantes. O total geral do levantamento e os grupos representados nas tabelas codificadas correspondem a âmbitos distintos, pelo que não devem ser somados nem tratados como se descrevessem a mesma amostra. Para cada dimensão e por sexo, as tabelas apresentam a média, o desvio-padrão, os percentis do P1 ao P99, o mínimo e o máximo.</w:t>
      </w:r>
    </w:p>
    <w:p>
      <w:pPr>
        <w:pStyle w:val="Normal"/>
        <w:rPr/>
      </w:pPr>
      <w:r>
        <w:rPr/>
      </w:r>
    </w:p>
    <w:p>
      <w:pPr>
        <w:pStyle w:val="Heading2"/>
        <w:numPr>
          <w:ilvl w:val="0"/>
          <w:numId w:val="0"/>
        </w:numPr>
        <w:ind w:hanging="0" w:start="0"/>
        <w:rPr/>
      </w:pPr>
      <w:bookmarkStart w:id="194" w:name="_Toc235565028"/>
      <w:r>
        <w:rPr/>
        <w:t>A.3 Critérios de Inclusão e Exclusão de Estudos</w:t>
      </w:r>
      <w:bookmarkEnd w:id="194"/>
    </w:p>
    <w:p>
      <w:pPr>
        <w:pStyle w:val="TextoNormal-IPCA"/>
        <w:keepNext w:val="true"/>
        <w:rPr/>
      </w:pPr>
      <w:r>
        <w:rPr/>
      </w:r>
    </w:p>
    <w:p>
      <w:pPr>
        <w:pStyle w:val="TextoNormal-IPCA"/>
        <w:rPr/>
      </w:pPr>
      <w:r>
        <w:rPr/>
        <w:t>A inclusão ou exclusão dos dados de cada estudo identificado na base CSV obedeceu a critérios explícitos.</w:t>
      </w:r>
    </w:p>
    <w:p>
      <w:pPr>
        <w:pStyle w:val="TextoNormal-IPCA"/>
        <w:rPr/>
      </w:pPr>
      <w:r>
        <w:rPr/>
      </w:r>
    </w:p>
    <w:p>
      <w:pPr>
        <w:pStyle w:val="Heading3"/>
        <w:numPr>
          <w:ilvl w:val="0"/>
          <w:numId w:val="0"/>
        </w:numPr>
        <w:ind w:hanging="0" w:start="0"/>
        <w:rPr/>
      </w:pPr>
      <w:bookmarkStart w:id="195" w:name="_Toc235565029"/>
      <w:r>
        <w:rPr/>
        <w:t>A.3.1 Critérios de inclusão</w:t>
      </w:r>
      <w:bookmarkEnd w:id="195"/>
    </w:p>
    <w:p>
      <w:pPr>
        <w:pStyle w:val="TextoNormal-IPCA"/>
        <w:keepNext w:val="true"/>
        <w:rPr/>
      </w:pPr>
      <w:r>
        <w:rPr/>
      </w:r>
    </w:p>
    <w:p>
      <w:pPr>
        <w:pStyle w:val="TextoNormal-IPCA"/>
        <w:rPr/>
      </w:pPr>
      <w:r>
        <w:rPr/>
        <w:t>Foram incluídos os estudos que satisfaziam simultaneamente as seguintes condições:</w:t>
      </w:r>
    </w:p>
    <w:p>
      <w:pPr>
        <w:pStyle w:val="TextoNormal-IPCA"/>
        <w:rPr/>
      </w:pPr>
      <w:r>
        <w:rPr/>
        <w:t>1. Dados primários — o estudo apresenta medições recolhidas pelos seus próprios autores sobre participantes reais, não reutilizando tabelas de terceiros sem transformação.</w:t>
      </w:r>
    </w:p>
    <w:p>
      <w:pPr>
        <w:pStyle w:val="TextoNormal-IPCA"/>
        <w:rPr/>
      </w:pPr>
      <w:r>
        <w:rPr/>
        <w:t>2. Dimensões da mão ou do membro superior — pelo menos uma medição refere-se à mão, dedos, palma, antebraço ou punho.</w:t>
      </w:r>
    </w:p>
    <w:p>
      <w:pPr>
        <w:pStyle w:val="TextoNormal-IPCA"/>
        <w:rPr/>
      </w:pPr>
      <w:r>
        <w:rPr/>
        <w:t>3. Estatística descritiva legível — a tabela do artigo fornece, no mínimo, a média. A presença de desvio-padrão e/ou percentis constituía um critério de preferência.</w:t>
      </w:r>
    </w:p>
    <w:p>
      <w:pPr>
        <w:pStyle w:val="TextoNormal-IPCA"/>
        <w:rPr/>
      </w:pPr>
      <w:r>
        <w:rPr/>
        <w:t>4. Identificação clara da população — o artigo especifica país, sexo, dimensão amostral e método de medição.</w:t>
      </w:r>
    </w:p>
    <w:p>
      <w:pPr>
        <w:pStyle w:val="Normal"/>
        <w:rPr/>
      </w:pPr>
      <w:r>
        <w:rPr/>
      </w:r>
    </w:p>
    <w:p>
      <w:pPr>
        <w:pStyle w:val="Heading3"/>
        <w:numPr>
          <w:ilvl w:val="0"/>
          <w:numId w:val="0"/>
        </w:numPr>
        <w:ind w:hanging="0" w:start="0"/>
        <w:rPr/>
      </w:pPr>
      <w:bookmarkStart w:id="196" w:name="_Toc235565030"/>
      <w:r>
        <w:rPr/>
        <w:t>A.3.2 Critérios de exclusão</w:t>
      </w:r>
      <w:bookmarkEnd w:id="196"/>
    </w:p>
    <w:p>
      <w:pPr>
        <w:pStyle w:val="TextoNormal-IPCA"/>
        <w:keepNext w:val="true"/>
        <w:rPr/>
      </w:pPr>
      <w:r>
        <w:rPr/>
      </w:r>
    </w:p>
    <w:p>
      <w:pPr>
        <w:pStyle w:val="TextoNormal-IPCA"/>
        <w:rPr/>
      </w:pPr>
      <w:r>
        <w:rPr/>
        <w:t>Um estudo foi excluído nas seguintes situações:</w:t>
      </w:r>
    </w:p>
    <w:p>
      <w:pPr>
        <w:pStyle w:val="TextoNormal-IPCA"/>
        <w:rPr/>
      </w:pPr>
      <w:r>
        <w:rPr/>
        <w:t xml:space="preserve">- Dados secundários sem valor acrescentado — por exemplo, o trabalho de Moreo (2016) apresenta valores percentílicos de comprimento de dedo extraídos da base de dados DINED (TU Delft, n=965 crianças neerlandesas), sem recolha própria. A Tabela 21 desse trabalho serve apenas para validar as escolhas de </w:t>
      </w:r>
      <w:r>
        <w:rPr>
          <w:i/>
          <w:iCs/>
        </w:rPr>
        <w:t>design</w:t>
      </w:r>
      <w:r>
        <w:rPr/>
        <w:t xml:space="preserve"> do protótipo, não constituindo uma fonte primária codificável de forma independente.</w:t>
      </w:r>
    </w:p>
    <w:p>
      <w:pPr>
        <w:pStyle w:val="TextoNormal-IPCA"/>
        <w:rPr/>
      </w:pPr>
      <w:r>
        <w:rPr/>
        <w:t>- Artigos de engenharia sem tabelas antropométricas — estudos centrados em materiais, análise de elementos finitos ou fabrico aditivo que referenciam dimensões da mão apenas de forma incidental e sem estatística descritiva.</w:t>
      </w:r>
    </w:p>
    <w:p>
      <w:pPr>
        <w:pStyle w:val="TextoNormal-IPCA"/>
        <w:rPr/>
      </w:pPr>
      <w:r>
        <w:rPr/>
        <w:t xml:space="preserve">- Dimensões não da mão em estudos mistos — medições de outras regiões corporais presentes no mesmo artigo foram excluídas se não existia uma razão direta para a prótese de mão (exceção: comprimento cotovelo-ponta dos dedos, incluído por ser relevante para o encaixe do </w:t>
      </w:r>
      <w:r>
        <w:rPr>
          <w:i/>
          <w:iCs/>
        </w:rPr>
        <w:t>socket</w:t>
      </w:r>
      <w:r>
        <w:rPr/>
        <w:t>).</w:t>
      </w:r>
    </w:p>
    <w:p>
      <w:pPr>
        <w:pStyle w:val="Normal"/>
        <w:rPr/>
      </w:pPr>
      <w:r>
        <w:rPr/>
      </w:r>
    </w:p>
    <w:p>
      <w:pPr>
        <w:pStyle w:val="Heading2"/>
        <w:numPr>
          <w:ilvl w:val="0"/>
          <w:numId w:val="0"/>
        </w:numPr>
        <w:ind w:hanging="0" w:start="0"/>
        <w:rPr/>
      </w:pPr>
      <w:bookmarkStart w:id="197" w:name="_Toc235565031"/>
      <w:r>
        <w:rPr/>
        <w:t>A.4 Processo de Extracção de Dados</w:t>
      </w:r>
      <w:bookmarkEnd w:id="197"/>
    </w:p>
    <w:p>
      <w:pPr>
        <w:pStyle w:val="TextoNormal-IPCA"/>
        <w:keepNext w:val="true"/>
        <w:rPr/>
      </w:pPr>
      <w:r>
        <w:rPr/>
      </w:r>
    </w:p>
    <w:p>
      <w:pPr>
        <w:pStyle w:val="Heading3"/>
        <w:numPr>
          <w:ilvl w:val="0"/>
          <w:numId w:val="0"/>
        </w:numPr>
        <w:ind w:hanging="0" w:start="0"/>
        <w:rPr/>
      </w:pPr>
      <w:bookmarkStart w:id="198" w:name="_Toc235565032"/>
      <w:r>
        <w:rPr/>
        <w:t>A.4.1 Leitura dos PDFs e localização das tabelas</w:t>
      </w:r>
      <w:bookmarkEnd w:id="198"/>
    </w:p>
    <w:p>
      <w:pPr>
        <w:pStyle w:val="TextoNormal-IPCA"/>
        <w:keepNext w:val="true"/>
        <w:rPr/>
      </w:pPr>
      <w:r>
        <w:rPr/>
      </w:r>
    </w:p>
    <w:p>
      <w:pPr>
        <w:pStyle w:val="TextoNormal-IPCA"/>
        <w:rPr/>
      </w:pPr>
      <w:r>
        <w:rPr/>
        <w:t xml:space="preserve">Cada artigo foi lido integralmente, com especial atenção às secções de </w:t>
      </w:r>
      <w:r>
        <w:rPr>
          <w:i/>
          <w:iCs/>
        </w:rPr>
        <w:t>Methods</w:t>
      </w:r>
      <w:r>
        <w:rPr/>
        <w:t xml:space="preserve">, para identificar o instrumento de medição, a mão medida e a posição do participante, e de </w:t>
      </w:r>
      <w:r>
        <w:rPr>
          <w:i/>
          <w:iCs/>
        </w:rPr>
        <w:t>Results</w:t>
      </w:r>
      <w:r>
        <w:rPr/>
        <w:t>, para localizar as tabelas com estatística descritiva. A página exata de cada tabela foi registada no campo sourcepage do CSV.</w:t>
      </w:r>
    </w:p>
    <w:p>
      <w:pPr>
        <w:pStyle w:val="TextoNormal-IPCA"/>
        <w:rPr/>
      </w:pPr>
      <w:r>
        <w:rPr/>
        <w:t>Quando um artigo apresentava medições em mais de uma tabela (por exemplo, comprimentos numa tabela e larguras noutra), cada tabela era processada separadamente.</w:t>
      </w:r>
    </w:p>
    <w:p>
      <w:pPr>
        <w:pStyle w:val="Normal"/>
        <w:rPr/>
      </w:pPr>
      <w:r>
        <w:rPr/>
      </w:r>
    </w:p>
    <w:p>
      <w:pPr>
        <w:pStyle w:val="Heading3"/>
        <w:numPr>
          <w:ilvl w:val="0"/>
          <w:numId w:val="0"/>
        </w:numPr>
        <w:ind w:hanging="0" w:start="0"/>
        <w:rPr/>
      </w:pPr>
      <w:bookmarkStart w:id="199" w:name="_Toc235565033"/>
      <w:r>
        <w:rPr/>
        <w:t>A.4.2 Identificação das unidades e conversão</w:t>
      </w:r>
      <w:bookmarkEnd w:id="199"/>
    </w:p>
    <w:p>
      <w:pPr>
        <w:pStyle w:val="TextoNormal-IPCA"/>
        <w:keepNext w:val="true"/>
        <w:rPr/>
      </w:pPr>
      <w:r>
        <w:rPr/>
      </w:r>
    </w:p>
    <w:p>
      <w:pPr>
        <w:pStyle w:val="TextoNormal-IPCA"/>
        <w:rPr/>
      </w:pPr>
      <w:r>
        <w:rPr/>
        <w:t>Os artigos consultados apresentam medições em milímetros (mm), centímetros (cm) ou, no caso do ANSUR, em polegadas (in). O CSV armazena simultaneamente os três sistemas (valuemm, valuecm, valuein), calculados a partir de uma única unidade-fonte:</w:t>
      </w:r>
    </w:p>
    <w:p>
      <w:pPr>
        <w:pStyle w:val="TextoNormal-IPCA"/>
        <w:rPr/>
      </w:pPr>
      <w:r>
        <w:rPr/>
        <w:t>- Se o artigo reporta em mm: valuecm = valuemm / 10; valuein = valuecm / 2.54</w:t>
      </w:r>
    </w:p>
    <w:p>
      <w:pPr>
        <w:pStyle w:val="TextoNormal-IPCA"/>
        <w:rPr/>
      </w:pPr>
      <w:r>
        <w:rPr/>
        <w:t>- Se o artigo reporta em cm: valuemm = valuecm × 10; valuein = valuecm / 2.54</w:t>
      </w:r>
    </w:p>
    <w:p>
      <w:pPr>
        <w:pStyle w:val="TextoNormal-IPCA"/>
        <w:rPr/>
      </w:pPr>
      <w:r>
        <w:rPr/>
        <w:t>- Se o artigo reporta em in: valuecm = valuein × 2,54; valuemm = valuein × 25,4</w:t>
      </w:r>
    </w:p>
    <w:p>
      <w:pPr>
        <w:pStyle w:val="TextoNormal-IPCA"/>
        <w:rPr/>
      </w:pPr>
      <w:r>
        <w:rPr/>
        <w:t>Esta redundância dispensa a realização de conversões em tempo de execução pelo modelo paramétrico.</w:t>
      </w:r>
    </w:p>
    <w:p>
      <w:pPr>
        <w:pStyle w:val="Normal"/>
        <w:rPr/>
      </w:pPr>
      <w:r>
        <w:rPr/>
      </w:r>
    </w:p>
    <w:p>
      <w:pPr>
        <w:pStyle w:val="Heading3"/>
        <w:numPr>
          <w:ilvl w:val="0"/>
          <w:numId w:val="0"/>
        </w:numPr>
        <w:ind w:hanging="0" w:start="0"/>
        <w:rPr/>
      </w:pPr>
      <w:bookmarkStart w:id="200" w:name="_Toc235565034"/>
      <w:r>
        <w:rPr/>
        <w:t>A.4.3 Decomposição em linhas atómicas</w:t>
      </w:r>
      <w:bookmarkEnd w:id="200"/>
    </w:p>
    <w:p>
      <w:pPr>
        <w:pStyle w:val="TextoNormal-IPCA"/>
        <w:keepNext w:val="true"/>
        <w:rPr/>
      </w:pPr>
      <w:r>
        <w:rPr/>
      </w:r>
    </w:p>
    <w:p>
      <w:pPr>
        <w:pStyle w:val="TextoNormal-IPCA"/>
        <w:rPr/>
      </w:pPr>
      <w:r>
        <w:rPr/>
        <w:t xml:space="preserve">Cada valor estatístico extraído das tabelas originais foi registado numa linha independente do CSV. Para uma mesma dimensão, população e sexo, são assim criadas tantas linhas quantos os indicadores estatísticos disponíveis. Se, por exemplo, um artigo apresenta a média, o desvio-padrão, o P5, o P50 e o P95, estes dados dão origem a cinco linhas distintas: uma com o campo </w:t>
      </w:r>
      <w:r>
        <w:rPr>
          <w:rStyle w:val="SourceText"/>
          <w:rFonts w:eastAsia="Aptos" w:cs="Times New Roman" w:eastAsiaTheme="minorHAnsi"/>
        </w:rPr>
        <w:t>stattype</w:t>
      </w:r>
      <w:r>
        <w:rPr/>
        <w:t xml:space="preserve"> definido como </w:t>
      </w:r>
      <w:r>
        <w:rPr>
          <w:rStyle w:val="SourceText"/>
          <w:rFonts w:eastAsia="Aptos" w:cs="Times New Roman" w:eastAsiaTheme="minorHAnsi"/>
        </w:rPr>
        <w:t>mean</w:t>
      </w:r>
      <w:r>
        <w:rPr/>
        <w:t xml:space="preserve">, outra como </w:t>
      </w:r>
      <w:r>
        <w:rPr>
          <w:rStyle w:val="SourceText"/>
          <w:rFonts w:eastAsia="Aptos" w:cs="Times New Roman" w:eastAsiaTheme="minorHAnsi"/>
        </w:rPr>
        <w:t>stddev</w:t>
      </w:r>
      <w:r>
        <w:rPr/>
        <w:t xml:space="preserve"> e três como </w:t>
      </w:r>
      <w:r>
        <w:rPr>
          <w:rStyle w:val="SourceText"/>
          <w:rFonts w:eastAsia="Aptos" w:cs="Times New Roman" w:eastAsiaTheme="minorHAnsi"/>
        </w:rPr>
        <w:t>percentile</w:t>
      </w:r>
      <w:r>
        <w:rPr/>
        <w:t xml:space="preserve">. Nestas últimas, o campo </w:t>
      </w:r>
      <w:r>
        <w:rPr>
          <w:rStyle w:val="SourceText"/>
          <w:rFonts w:eastAsia="Aptos" w:cs="Times New Roman" w:eastAsiaTheme="minorHAnsi"/>
        </w:rPr>
        <w:t>percentile</w:t>
      </w:r>
      <w:r>
        <w:rPr/>
        <w:t xml:space="preserve"> identifica o percentil correspondente.</w:t>
      </w:r>
    </w:p>
    <w:p>
      <w:pPr>
        <w:pStyle w:val="TextoNormal-IPCA"/>
        <w:rPr/>
      </w:pPr>
      <w:r>
        <w:rPr/>
        <w:t>A organização em formato longo (</w:t>
      </w:r>
      <w:r>
        <w:rPr>
          <w:rStyle w:val="Emphasis"/>
          <w:i w:val="false"/>
          <w:iCs w:val="false"/>
        </w:rPr>
        <w:t>long format</w:t>
      </w:r>
      <w:r>
        <w:rPr/>
        <w:t>) permite filtrar, comparar e agregar os dados segundo diferentes combinações de variáveis, sem reorganização prévia da estrutura do ficheiro.</w:t>
      </w:r>
    </w:p>
    <w:p>
      <w:pPr>
        <w:pStyle w:val="Normal"/>
        <w:rPr/>
      </w:pPr>
      <w:r>
        <w:rPr/>
      </w:r>
    </w:p>
    <w:p>
      <w:pPr>
        <w:pStyle w:val="Normal"/>
        <w:rPr/>
      </w:pPr>
      <w:r>
        <w:rPr/>
      </w:r>
    </w:p>
    <w:p>
      <w:pPr>
        <w:pStyle w:val="Heading3"/>
        <w:numPr>
          <w:ilvl w:val="0"/>
          <w:numId w:val="0"/>
        </w:numPr>
        <w:ind w:hanging="0" w:start="0"/>
        <w:rPr/>
      </w:pPr>
      <w:bookmarkStart w:id="201" w:name="_Toc235565035"/>
      <w:r>
        <w:rPr/>
        <w:t>A.4.4 Registo do contexto da medição</w:t>
      </w:r>
      <w:bookmarkEnd w:id="201"/>
    </w:p>
    <w:p>
      <w:pPr>
        <w:pStyle w:val="TextoNormal-IPCA"/>
        <w:rPr/>
      </w:pPr>
      <w:r>
        <w:rPr/>
      </w:r>
    </w:p>
    <w:p>
      <w:pPr>
        <w:pStyle w:val="TextoNormal-IPCA"/>
        <w:rPr/>
      </w:pPr>
      <w:r>
        <w:rPr/>
        <w:t>Para cada estudo, o campo measurementmethodnote regista informações sobre:</w:t>
      </w:r>
    </w:p>
    <w:p>
      <w:pPr>
        <w:pStyle w:val="TextoNormal-IPCA"/>
        <w:rPr/>
      </w:pPr>
      <w:r>
        <w:rPr/>
        <w:t>- O instrumento utilizado (e.g., "paquímetro digital Vernier 200 mm, resolução 0,01 mm")</w:t>
      </w:r>
    </w:p>
    <w:p>
      <w:pPr>
        <w:pStyle w:val="TextoNormal-IPCA"/>
        <w:rPr/>
      </w:pPr>
      <w:r>
        <w:rPr/>
        <w:t>- A mão medida (direita/esquerda/dominante)</w:t>
      </w:r>
    </w:p>
    <w:p>
      <w:pPr>
        <w:pStyle w:val="TextoNormal-IPCA"/>
        <w:rPr/>
      </w:pPr>
      <w:r>
        <w:rPr/>
        <w:t>- A posição da mão durante a medição (estendida e plana, em posição de repouso, sentado)</w:t>
      </w:r>
    </w:p>
    <w:p>
      <w:pPr>
        <w:pStyle w:val="TextoNormal-IPCA"/>
        <w:rPr/>
      </w:pPr>
      <w:r>
        <w:rPr/>
        <w:t>- O ponto de referência do comprimento (e.g., "da prega palmar proximal à ponta do dedo")</w:t>
      </w:r>
    </w:p>
    <w:p>
      <w:pPr>
        <w:pStyle w:val="TextoNormal-IPCA"/>
        <w:rPr/>
      </w:pPr>
      <w:r>
        <w:rPr/>
        <w:t xml:space="preserve">Esta informação é crítica, pois diferentes estudos podem definir a mesma dimensão segundo protocolos distintos. O “comprimento da mão”, por exemplo, pode ser medido desde a prega do punho até à ponta do dedo médio </w:t>
      </w:r>
      <w:sdt>
        <w:sdtPr>
          <w:tag w:val="MENDELEY_CITATION_v3_eyJjaXRhdGlvbklEIjoiTUVOREVMRVlfQ0lUQVRJT05fNTYzZTNiMDYtY2U3OC00ZDkwLThhNDUtNjgwYjE0YjZlNzc5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
          <w:id w:val="-630389809"/>
          <w:placeholder>
            <w:docPart w:val="DefaultPlaceholder_-1854013440"/>
          </w:placeholder>
        </w:sdtPr>
        <w:sdtContent>
          <w:r>
            <w:rPr/>
          </w:r>
          <w:r>
            <w:rPr>
              <w:rFonts w:eastAsia="Times New Roman"/>
              <w:color w:val="000000"/>
            </w:rPr>
            <w:t>(Rodríguez-Vega &amp; Rodríguez-Vega, 2024)</w:t>
          </w:r>
        </w:sdtContent>
      </w:sdt>
      <w:r>
        <w:rPr/>
        <w:t xml:space="preserve"> ou desde o processo </w:t>
      </w:r>
      <w:r>
        <w:rPr/>
        <w:t xml:space="preserve">estilóide — uma proeminência óssea palpável na região distal do punho, usada como marco anatómico de referência — até à mesma ponta </w:t>
      </w:r>
      <w:sdt>
        <w:sdtPr>
          <w:tag w:val="MENDELEY_CITATION_v3_eyJjaXRhdGlvbklEIjoiTUVOREVMRVlfQ0lUQVRJT05fN2E1YzliZWMtMTIwYy00ZWFlLTlhMjUtNWI1NDU0NmRmMjY3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
          <w:id w:val="1061758079"/>
          <w:placeholder>
            <w:docPart w:val="DefaultPlaceholder_-1854013440"/>
          </w:placeholder>
        </w:sdtPr>
        <w:sdtContent>
          <w:r>
            <w:rPr/>
          </w:r>
          <w:r>
            <w:rPr>
              <w:color w:val="000000"/>
            </w:rPr>
            <w:t>(Anacleto Filho et al., 2023)</w:t>
          </w:r>
        </w:sdtContent>
      </w:sdt>
      <w:r>
        <w:rPr/>
        <w:t>, o que produz valores que não são diretamente comparáveis.</w:t>
      </w:r>
    </w:p>
    <w:p>
      <w:pPr>
        <w:pStyle w:val="Normal"/>
        <w:rPr/>
      </w:pPr>
      <w:r>
        <w:rPr/>
      </w:r>
    </w:p>
    <w:p>
      <w:pPr>
        <w:pStyle w:val="Heading2"/>
        <w:numPr>
          <w:ilvl w:val="0"/>
          <w:numId w:val="0"/>
        </w:numPr>
        <w:ind w:hanging="0" w:start="0"/>
        <w:rPr/>
      </w:pPr>
      <w:bookmarkStart w:id="202" w:name="_Toc235565036"/>
      <w:r>
        <w:rPr/>
        <w:t>A.5 Decisões por Estudo</w:t>
      </w:r>
      <w:bookmarkEnd w:id="202"/>
    </w:p>
    <w:p>
      <w:pPr>
        <w:pStyle w:val="TextoNormal-IPCA"/>
        <w:keepNext w:val="true"/>
        <w:rPr/>
      </w:pPr>
      <w:r>
        <w:rPr/>
      </w:r>
    </w:p>
    <w:p>
      <w:pPr>
        <w:pStyle w:val="Heading3"/>
        <w:numPr>
          <w:ilvl w:val="0"/>
          <w:numId w:val="0"/>
        </w:numPr>
        <w:ind w:hanging="0" w:start="0"/>
        <w:rPr/>
      </w:pPr>
      <w:bookmarkStart w:id="203" w:name="_Toc235565037"/>
      <w:r>
        <w:rPr/>
        <w:t>A.5.1 ANSUR 1988 — EUA, militares (Gordon et al., 1989)</w:t>
      </w:r>
      <w:bookmarkEnd w:id="203"/>
    </w:p>
    <w:p>
      <w:pPr>
        <w:pStyle w:val="TextoNormal-IPCA"/>
        <w:keepNext w:val="true"/>
        <w:rPr/>
      </w:pPr>
      <w:r>
        <w:rPr/>
      </w:r>
    </w:p>
    <w:p>
      <w:pPr>
        <w:pStyle w:val="TextoNormal-IPCA"/>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TextoNormal-IPCA"/>
        <w:rPr/>
      </w:pPr>
      <w:r>
        <w:rPr/>
        <w:t xml:space="preserve">Decisão: inclusão das 47 tabelas legíveis codificadas no </w:t>
      </w:r>
      <w:r>
        <w:rPr>
          <w:i/>
          <w:iCs/>
        </w:rPr>
        <w:t>script</w:t>
      </w:r>
      <w:r>
        <w:rPr/>
        <w:t>. A dimensão amostral, a amplitude dos indicadores estatísticos e a descrição do levantamento fazem desta fonte uma referência central da base de dados, sem que constitua uma norma universal para outras populações.</w:t>
      </w:r>
    </w:p>
    <w:p>
      <w:pPr>
        <w:pStyle w:val="TextoNormal-IPCA"/>
        <w:rPr/>
      </w:pPr>
      <w:r>
        <w:rPr/>
        <w:t>A auditoria ao documento de origem identificou oito células anómalas: seis casos corresponderam a normalizações ou correções e dois valores foram preservados com advertência. Esta contagem substitui a formulação anterior, que referia de forma imprecisa «sete correções».</w:t>
      </w:r>
    </w:p>
    <w:p>
      <w:pPr>
        <w:pStyle w:val="TextoNormal-IPCA"/>
        <w:rPr/>
      </w:pPr>
      <w:r>
        <w:rPr/>
        <w:t>Cinco valores em centímetros foram corrigidos com base na coluna em polegadas ou na sequência estatística da tabela: 74,93 para 71,93 cm; 35,55 para 53,55 cm; 507,19 para 207,19 cm; 1143,33 para 114,33 cm; e 35,31 para 25,31 cm. O sexto caso consistiu na normalização da impressão «59397» para 59,97 in, apenas para efeitos de apresentação, uma vez que o valor correspondente em centímetros já se encontrava correto.</w:t>
      </w:r>
    </w:p>
    <w:p>
      <w:pPr>
        <w:pStyle w:val="TextoNormal-IPCA"/>
        <w:rPr/>
      </w:pPr>
      <w:r>
        <w:rPr/>
        <w:t xml:space="preserve">Foram mantidos dois valores, embora assinalados como incertos: o mínimo feminino de 11,70 cm e o desvio-padrão masculino de 0,52 cm, este último por divergir da conversão sugerida pela coluna em polegadas. A descrição de cada ocorrência no campo </w:t>
      </w:r>
      <w:r>
        <w:rPr>
          <w:rStyle w:val="SourceText"/>
          <w:rFonts w:eastAsia="Aptos" w:cs="Times New Roman" w:eastAsiaTheme="minorHAnsi"/>
        </w:rPr>
        <w:t>dataqualitynote</w:t>
      </w:r>
      <w:r>
        <w:rPr/>
        <w:t xml:space="preserve"> permite distinguir os valores corrigidos, os valores normalizados para apresentação e os valores preservados com advertência.</w:t>
      </w:r>
    </w:p>
    <w:p>
      <w:pPr>
        <w:pStyle w:val="Normal"/>
        <w:rPr/>
      </w:pPr>
      <w:r>
        <w:rPr/>
      </w:r>
    </w:p>
    <w:p>
      <w:pPr>
        <w:pStyle w:val="Heading3"/>
        <w:numPr>
          <w:ilvl w:val="0"/>
          <w:numId w:val="0"/>
        </w:numPr>
        <w:ind w:hanging="0" w:start="0"/>
        <w:rPr/>
      </w:pPr>
      <w:bookmarkStart w:id="204" w:name="_Toc235565038"/>
      <w:r>
        <w:rPr/>
        <w:t xml:space="preserve">A.5.2 Turquia — jovens adultos </w:t>
      </w:r>
      <w:sdt>
        <w:sdtPr>
          <w:tag w:val="MENDELEY_CITATION_v3_eyJjaXRhdGlvbklEIjoiTUVOREVMRVlfQ0lUQVRJT05fZjY4N2E2NDMtNjQzOS00NzVjLTkxMjQtNWNhMjk2NjJkMGI3IiwicHJvcGVydGllcyI6eyJub3RlSW5kZXgiOjB9LCJpc0VkaXRlZCI6ZmFsc2UsIm1hbnVhbE92ZXJyaWRlIjp7ImlzTWFudWFsbHlPdmVycmlkZGVuIjpmYWxzZSwiY2l0ZXByb2NUZXh0IjoiKENoYXR6xLFvZ2xvdSBldCBhbC4sIDIwMjQ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UsInN1cHByZXNzLWF1dGhvciI6ZmFsc2UsImNvbXBvc2l0ZSI6ZmFsc2UsImF1dGhvci1vbmx5IjpmYWxzZX1dfQ=="/>
          <w:id w:val="230740594"/>
          <w:placeholder>
            <w:docPart w:val="DefaultPlaceholder_-1854013440"/>
          </w:placeholder>
        </w:sdtPr>
        <w:sdtContent>
          <w:r>
            <w:rPr/>
          </w:r>
          <w:r>
            <w:rPr>
              <w:rFonts w:cs="Arial"/>
              <w:color w:val="0F4761"/>
            </w:rPr>
            <w:t>(Chatzıoglou et al., 2024)</w:t>
          </w:r>
        </w:sdtContent>
      </w:sdt>
      <w:bookmarkEnd w:id="204"/>
    </w:p>
    <w:p>
      <w:pPr>
        <w:pStyle w:val="TextoNormal-IPCA"/>
        <w:keepNext w:val="true"/>
        <w:rPr/>
      </w:pPr>
      <w:r>
        <w:rPr/>
      </w:r>
    </w:p>
    <w:p>
      <w:pPr>
        <w:pStyle w:val="TextoNormal-IPCA"/>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TextoNormal-IPCA"/>
        <w:rPr/>
      </w:pPr>
      <w:r>
        <w:rPr/>
        <w:t>Decisão: inclusão. Trata-se do primeiro estudo de foto-antropometria da mão na base de dados; o método está rigorosamente documentado e o artigo foi publicado numa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bookmarkStart w:id="205" w:name="_Toc235565039"/>
      <w:r>
        <w:rPr/>
        <w:t xml:space="preserve">A.5.3 México — população geral </w:t>
      </w:r>
      <w:sdt>
        <w:sdtPr>
          <w:tag w:val="MENDELEY_CITATION_v3_eyJjaXRhdGlvbklEIjoiTUVOREVMRVlfQ0lUQVRJT05fOTUyMTI4OTQtM2I0YS00NzA0LTk5NDktNTc2YTQwYzU5Njli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
          <w:id w:val="-1141271683"/>
          <w:placeholder>
            <w:docPart w:val="DefaultPlaceholder_-1854013440"/>
          </w:placeholder>
        </w:sdtPr>
        <w:sdtContent>
          <w:r>
            <w:rPr/>
          </w:r>
          <w:r>
            <w:rPr>
              <w:rFonts w:eastAsia="Times New Roman" w:cs="Arial"/>
              <w:color w:val="0F4761"/>
            </w:rPr>
            <w:t>(Rodríguez-Vega &amp; Rodríguez-Vega, 2024)</w:t>
          </w:r>
        </w:sdtContent>
      </w:sdt>
      <w:bookmarkEnd w:id="205"/>
    </w:p>
    <w:p>
      <w:pPr>
        <w:pStyle w:val="TextoNormal-IPCA"/>
        <w:keepNext w:val="true"/>
        <w:rPr/>
      </w:pPr>
      <w:r>
        <w:rPr/>
      </w:r>
    </w:p>
    <w:p>
      <w:pPr>
        <w:pStyle w:val="TextoNormal-IPCA"/>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TextoNormal-IPCA"/>
        <w:rPr/>
      </w:pPr>
      <w:r>
        <w:rPr/>
        <w:t>Decisão: inclusão, com marcação de qualidade nos subgrupos de pequena dimensão. A desagregação por grupo etário, única na base de dados, é relevante para a modelação por faixa etária. Na Tabela 4, foram detetados dois casos problemáticos: o subgrupo feminino 50-54 tem n=3 (SD = 0,00 reportado para HB, provavelmente por arredondamento) e o subgrupo feminino 45-49 tem n=10. Ambos foram incluídos e marcados no campo dataqualitynote.</w:t>
      </w:r>
    </w:p>
    <w:p>
      <w:pPr>
        <w:pStyle w:val="Normal"/>
        <w:rPr/>
      </w:pPr>
      <w:r>
        <w:rPr/>
      </w:r>
    </w:p>
    <w:p>
      <w:pPr>
        <w:pStyle w:val="Heading3"/>
        <w:numPr>
          <w:ilvl w:val="0"/>
          <w:numId w:val="0"/>
        </w:numPr>
        <w:ind w:hanging="0" w:start="0"/>
        <w:rPr/>
      </w:pPr>
      <w:bookmarkStart w:id="206" w:name="_Toc235565040"/>
      <w:r>
        <w:rPr/>
        <w:t xml:space="preserve">A.5.4 Índia — mulheres trabalhadoras </w:t>
      </w:r>
      <w:sdt>
        <w:sdtPr>
          <w:tag w:val="MENDELEY_CITATION_v3_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"/>
          <w:id w:val="1452513584"/>
          <w:placeholder>
            <w:docPart w:val="DefaultPlaceholder_-1854013440"/>
          </w:placeholder>
        </w:sdtPr>
        <w:sdtContent>
          <w:r>
            <w:rPr/>
          </w:r>
          <w:r>
            <w:rPr>
              <w:rFonts w:cs="Arial"/>
              <w:color w:val="0F4761"/>
            </w:rPr>
            <w:t>(Nag et al., 2003)</w:t>
          </w:r>
        </w:sdtContent>
      </w:sdt>
      <w:bookmarkEnd w:id="206"/>
    </w:p>
    <w:p>
      <w:pPr>
        <w:pStyle w:val="TextoNormal-IPCA"/>
        <w:keepNext w:val="true"/>
        <w:rPr/>
      </w:pPr>
      <w:r>
        <w:rPr/>
      </w:r>
    </w:p>
    <w:p>
      <w:pPr>
        <w:pStyle w:val="TextoNormal-IPCA"/>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TextoNormal-IPCA"/>
        <w:rPr/>
      </w:pPr>
      <w:r>
        <w:rPr/>
        <w:t>Decisão: inclusão total. Este é o estudo com maior detalhe sobre as dimensões da mão na base de dados e o único que apresenta dados de profundidade e circunferência por articulação. A restrição a mulheres e a uma população laboral informal específica encontra-se documentada na coluna population.</w:t>
      </w:r>
    </w:p>
    <w:p>
      <w:pPr>
        <w:pStyle w:val="Normal"/>
        <w:rPr/>
      </w:pPr>
      <w:r>
        <w:rPr/>
      </w:r>
    </w:p>
    <w:p>
      <w:pPr>
        <w:pStyle w:val="Heading3"/>
        <w:numPr>
          <w:ilvl w:val="0"/>
          <w:numId w:val="0"/>
        </w:numPr>
        <w:ind w:hanging="0" w:start="0"/>
        <w:rPr/>
      </w:pPr>
      <w:bookmarkStart w:id="207" w:name="_Toc235565041"/>
      <w:r>
        <w:rPr/>
        <w:t xml:space="preserve">A.5.5 Portugal — trabalhadores industriais </w:t>
      </w:r>
      <w:sdt>
        <w:sdtPr>
          <w:tag w:val="MENDELEY_CITATION_v3_eyJjaXRhdGlvbklEIjoiTUVOREVMRVlfQ0lUQVRJT05fN2M5ZDYwNTEtMWVlYy00Zjg2LWEzNjAtZWFmNTFkZGFmNTQ1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
          <w:id w:val="-836774776"/>
          <w:placeholder>
            <w:docPart w:val="DefaultPlaceholder_-1854013440"/>
          </w:placeholder>
        </w:sdtPr>
        <w:sdtContent>
          <w:r>
            <w:rPr/>
          </w:r>
          <w:r>
            <w:rPr>
              <w:rFonts w:cs="Arial"/>
              <w:color w:val="0F4761"/>
            </w:rPr>
            <w:t>(Anacleto Filho et al., 2023)</w:t>
          </w:r>
        </w:sdtContent>
      </w:sdt>
      <w:bookmarkEnd w:id="207"/>
    </w:p>
    <w:p>
      <w:pPr>
        <w:pStyle w:val="TextoNormal-IPCA"/>
        <w:keepNext w:val="true"/>
        <w:rPr/>
      </w:pPr>
      <w:r>
        <w:rPr/>
      </w:r>
    </w:p>
    <w:p>
      <w:pPr>
        <w:pStyle w:val="TextoNormal-IPCA"/>
        <w:rPr/>
      </w:pPr>
      <w:r>
        <w:rPr/>
        <w:t>Fonte: International Journal of Industrial Ergonomics, 97:103473. n=343 (169M, 174F),</w:t>
      </w:r>
    </w:p>
    <w:p>
      <w:pPr>
        <w:pStyle w:val="TextoNormal-IPCA"/>
        <w:rPr/>
      </w:pPr>
      <w:r>
        <w:rPr/>
        <w:t>Trabalhadores industriais do Norte de Portugal, 2021. Das 27 dimensões corporais, apenas duas dizem respeito à mão: comprimento da mão e largura da mão (metacarpal II–V). Tabela 3, P5, P50, P95 por sexo.</w:t>
      </w:r>
    </w:p>
    <w:p>
      <w:pPr>
        <w:pStyle w:val="TextoNormal-IPCA"/>
        <w:rPr/>
      </w:pPr>
      <w:r>
        <w:rPr/>
        <w:t>Decisão: inclusão. Apesar de disponibilizar apenas duas dimensões da mão, é a única fonte de dados antropométricos da mão para população portuguesa adulta identificada na literatura, o que justifica a sua inclusão na contextualização nacional da investigação.</w:t>
      </w:r>
    </w:p>
    <w:p>
      <w:pPr>
        <w:pStyle w:val="TextoNormal-IPCA"/>
        <w:rPr/>
      </w:pPr>
      <w:r>
        <w:rPr/>
        <w:t>Nota metodológica: O estudo mediu o lado esquerdo devido a limitações das instalações, facto registado em measurementmethodnote.</w:t>
      </w:r>
    </w:p>
    <w:p>
      <w:pPr>
        <w:pStyle w:val="Normal"/>
        <w:rPr/>
      </w:pPr>
      <w:r>
        <w:rPr/>
      </w:r>
    </w:p>
    <w:p>
      <w:pPr>
        <w:pStyle w:val="Heading3"/>
        <w:numPr>
          <w:ilvl w:val="0"/>
          <w:numId w:val="0"/>
        </w:numPr>
        <w:ind w:hanging="0" w:start="0"/>
        <w:rPr/>
      </w:pPr>
      <w:bookmarkStart w:id="208" w:name="_Toc235565042"/>
      <w:r>
        <w:rPr/>
        <w:t xml:space="preserve">A.5.6 Nigéria — atletas universitários </w:t>
      </w:r>
      <w:sdt>
        <w:sdtPr>
          <w:tag w:val="MENDELEY_CITATION_v3_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"/>
          <w:id w:val="-1812400410"/>
          <w:placeholder>
            <w:docPart w:val="DefaultPlaceholder_-1854013440"/>
          </w:placeholder>
        </w:sdtPr>
        <w:sdtContent>
          <w:r>
            <w:rPr/>
          </w:r>
          <w:r>
            <w:rPr>
              <w:rFonts w:cs="Arial"/>
              <w:color w:val="0F4761"/>
            </w:rPr>
            <w:t>(Ibiwari et al., 2025)</w:t>
          </w:r>
        </w:sdtContent>
      </w:sdt>
      <w:bookmarkEnd w:id="208"/>
    </w:p>
    <w:p>
      <w:pPr>
        <w:pStyle w:val="TextoNormal-IPCA"/>
        <w:keepNext w:val="true"/>
        <w:rPr/>
      </w:pPr>
      <w:r>
        <w:rPr/>
      </w:r>
    </w:p>
    <w:p>
      <w:pPr>
        <w:pStyle w:val="TextoNormal-IPCA"/>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TextoNormal-IPCA"/>
        <w:rPr/>
      </w:pPr>
      <w:r>
        <w:rPr/>
        <w:t>Decisão: inclusão com marcação de subgrupo desportivo. Dois subgrupos apresentam um desvio-padrão atipicamente elevado, como sucede com o comprimento da mão no voleibol masculino (SD = 37,49 mm), o que sugere a presença de valores atípicos na amostra original. Estes casos foram assinalados com uma nota de qualidade, mas os valores foram preservados por provirem de tabelas publicadas.</w:t>
      </w:r>
    </w:p>
    <w:p>
      <w:pPr>
        <w:pStyle w:val="TextoNormal-IPCA"/>
        <w:rPr/>
      </w:pPr>
      <w:r>
        <w:rPr/>
        <w:t>Nota: A população de atletas não é representativa da população geral; os valores refletem uma seleção fisicamente ativa, potencialmente com mãos de dimensões superiores à média.</w:t>
      </w:r>
    </w:p>
    <w:p>
      <w:pPr>
        <w:pStyle w:val="Heading3"/>
        <w:numPr>
          <w:ilvl w:val="0"/>
          <w:numId w:val="0"/>
        </w:numPr>
        <w:ind w:hanging="0" w:start="0"/>
        <w:rPr/>
      </w:pPr>
      <w:bookmarkStart w:id="209" w:name="_Toc235565043"/>
      <w:r>
        <w:rPr/>
        <w:t xml:space="preserve">A.5.7 Jordânia — trabalhadores com deficiência </w:t>
      </w:r>
      <w:sdt>
        <w:sdtPr>
          <w:tag w:val="MENDELEY_CITATION_v3_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"/>
          <w:id w:val="1857696661"/>
          <w:placeholder>
            <w:docPart w:val="DefaultPlaceholder_-1854013440"/>
          </w:placeholder>
        </w:sdtPr>
        <w:sdtContent>
          <w:r>
            <w:rPr/>
          </w:r>
          <w:r>
            <w:rPr>
              <w:rFonts w:cs="Arial"/>
              <w:color w:val="0F4761"/>
            </w:rPr>
            <w:t>(Mistarihi, 2020)</w:t>
          </w:r>
        </w:sdtContent>
      </w:sdt>
      <w:bookmarkEnd w:id="209"/>
    </w:p>
    <w:p>
      <w:pPr>
        <w:pStyle w:val="TextoNormal-IPCA"/>
        <w:keepNext w:val="true"/>
        <w:rPr/>
      </w:pPr>
      <w:r>
        <w:rPr/>
      </w:r>
    </w:p>
    <w:p>
      <w:pPr>
        <w:pStyle w:val="TextoNormal-IPCA"/>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TextoNormal-IPCA"/>
        <w:rPr/>
      </w:pPr>
      <w:r>
        <w:rPr/>
        <w:t>Decisão: inclusão parcial. A dimensão amostral reduzida (n=40) e a ausência de desagregação por sexo limitam a utilidade direta dos dados. Contudo, este é o único estudo com dados de uma população do Médio Oriente e de uma população com deficiência, o que justifica a sua inclusão por razões de representatividade demográfica. A largura da mão (apenas média, sem SD, retirada de um diagrama de figura e não de uma tabela) foi incluída com marcação explícita de qualidade.</w:t>
      </w:r>
    </w:p>
    <w:p>
      <w:pPr>
        <w:pStyle w:val="Normal"/>
        <w:rPr/>
      </w:pPr>
      <w:r>
        <w:rPr/>
      </w:r>
    </w:p>
    <w:p>
      <w:pPr>
        <w:pStyle w:val="Heading3"/>
        <w:numPr>
          <w:ilvl w:val="0"/>
          <w:numId w:val="0"/>
        </w:numPr>
        <w:ind w:hanging="0" w:start="0"/>
        <w:rPr/>
      </w:pPr>
      <w:bookmarkStart w:id="210" w:name="_Toc235565044"/>
      <w:r>
        <w:rPr/>
        <w:t>A.5.8 EUA — dedo indicador (Lim et al., 2018)</w:t>
      </w:r>
      <w:bookmarkEnd w:id="210"/>
    </w:p>
    <w:p>
      <w:pPr>
        <w:pStyle w:val="TextoNormal-IPCA"/>
        <w:keepNext w:val="true"/>
        <w:rPr/>
      </w:pPr>
      <w:r>
        <w:rPr/>
      </w:r>
    </w:p>
    <w:p>
      <w:pPr>
        <w:pStyle w:val="TextoNormal-IPCA"/>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TextoNormal-IPCA"/>
        <w:rPr/>
      </w:pPr>
      <w:r>
        <w:rPr/>
        <w:t xml:space="preserve">Decisão: inclusão limitada. A ausência de desvio-padrão e de percentis reduz significativamente a utilidade estatística. O estudo foi incluído por incidir especificamente na personalização de próteses de dedo e apresentar valores de referência para o </w:t>
      </w:r>
      <w:r>
        <w:rPr>
          <w:i/>
          <w:iCs/>
        </w:rPr>
        <w:t>design</w:t>
      </w:r>
      <w:r>
        <w:rPr/>
        <w:t xml:space="preserve"> de um dedo indicador protésico, diretamente relevantes para o objetivo desta investigação. O coeficiente de determinação R² = 0,18 entre o comprimento e a largura do dedo é registado como indicador de correlação fraca.</w:t>
      </w:r>
    </w:p>
    <w:p>
      <w:pPr>
        <w:pStyle w:val="Normal"/>
        <w:rPr/>
      </w:pPr>
      <w:r>
        <w:rPr/>
      </w:r>
    </w:p>
    <w:p>
      <w:pPr>
        <w:pStyle w:val="Heading3"/>
        <w:numPr>
          <w:ilvl w:val="0"/>
          <w:numId w:val="0"/>
        </w:numPr>
        <w:ind w:hanging="0" w:start="0"/>
        <w:rPr/>
      </w:pPr>
      <w:bookmarkStart w:id="211" w:name="_Toc235565045"/>
      <w:r>
        <w:rPr/>
        <w:t xml:space="preserve">A.5.9 Estudo excluído: </w:t>
      </w:r>
      <w:sdt>
        <w:sdtPr>
          <w:tag w:val="MENDELEY_CITATION_v3_eyJjaXRhdGlvbklEIjoiTUVOREVMRVlfQ0lUQVRJT05fNDVlZWJiMjYtNWJjOS00YTE3LWJiMDQtMGQwMmFmYWI3Mjc3IiwicHJvcGVydGllcyI6eyJub3RlSW5kZXgiOjB9LCJpc0VkaXRlZCI6ZmFsc2UsIm1hbnVhbE92ZXJyaWRlIjp7ImlzTWFudWFsbHlPdmVycmlkZGVuIjpmYWxzZSwiY2l0ZXByb2NUZXh0IjoiKE1vcmVvLCAyMDE2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Swic3VwcHJlc3MtYXV0aG9yIjpmYWxzZSwiY29tcG9zaXRlIjpmYWxzZSwiYXV0aG9yLW9ubHkiOmZhbHNlfV19"/>
          <w:id w:val="-1716110565"/>
          <w:placeholder>
            <w:docPart w:val="DefaultPlaceholder_-1854013440"/>
          </w:placeholder>
        </w:sdtPr>
        <w:sdtContent>
          <w:r>
            <w:rPr/>
          </w:r>
          <w:r>
            <w:rPr>
              <w:rFonts w:cs="Arial"/>
              <w:color w:val="0F4761"/>
            </w:rPr>
            <w:t>(Moreo, 2016)</w:t>
          </w:r>
        </w:sdtContent>
      </w:sdt>
      <w:bookmarkEnd w:id="211"/>
    </w:p>
    <w:p>
      <w:pPr>
        <w:pStyle w:val="TextoNormal-IPCA"/>
        <w:keepNext w:val="true"/>
        <w:rPr/>
      </w:pPr>
      <w:r>
        <w:rPr/>
      </w:r>
    </w:p>
    <w:p>
      <w:pPr>
        <w:pStyle w:val="TextoNormal-IPCA"/>
        <w:rPr/>
      </w:pPr>
      <w:r>
        <w:rPr/>
        <w:t xml:space="preserve">O trabalho de Moreo (2016), uma dissertação de mestrado sobre </w:t>
      </w:r>
      <w:r>
        <w:rPr>
          <w:i/>
          <w:iCs/>
        </w:rPr>
        <w:t>o design</w:t>
      </w:r>
      <w:r>
        <w:rPr/>
        <w:t xml:space="preserve"> paramétrico de uma prótese de mão para crianças, foi lido na íntegra (55 páginas). A Tabela 21 apresenta valores percentílicos do comprimento dos dedos por grupo etário, extraídos da base de dados DINED (TU Delft, n=965 crianças neerlandesas), sem recolha primária por parte da autora. A sua inclusão duplicaria uma fonte secundária sem ligação direta ao estudo DINED original. Decisão: excluído.</w:t>
      </w:r>
    </w:p>
    <w:p>
      <w:pPr>
        <w:pStyle w:val="Normal"/>
        <w:rPr/>
      </w:pPr>
      <w:r>
        <w:rPr/>
      </w:r>
    </w:p>
    <w:p>
      <w:pPr>
        <w:pStyle w:val="Heading3"/>
        <w:numPr>
          <w:ilvl w:val="0"/>
          <w:numId w:val="0"/>
        </w:numPr>
        <w:ind w:hanging="0" w:start="0"/>
        <w:rPr/>
      </w:pPr>
      <w:bookmarkStart w:id="212" w:name="_Toc235565046"/>
      <w:r>
        <w:rPr/>
        <w:t>A.5.10 EUA — militares ANSUR II (Gordon et al., 2015)</w:t>
      </w:r>
      <w:bookmarkEnd w:id="212"/>
    </w:p>
    <w:p>
      <w:pPr>
        <w:pStyle w:val="TextoNormal-IPCA"/>
        <w:rPr/>
      </w:pPr>
      <w:r>
        <w:rPr/>
      </w:r>
    </w:p>
    <w:p>
      <w:pPr>
        <w:pStyle w:val="TextoNormal-IPCA"/>
        <w:rPr/>
      </w:pPr>
      <w:r>
        <w:rPr/>
        <w:t>Fonte: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exata pelo mesmo procedimento.</w:t>
      </w:r>
    </w:p>
    <w:p>
      <w:pPr>
        <w:pStyle w:val="TextoNormal-IPCA"/>
        <w:rPr/>
      </w:pPr>
      <w:r>
        <w:rPr/>
        <w:t>Decisão: inclusão total. É o maior conjunto de dados individuais de antropometria da mão disponível publicamente. A disponibilidade de dados brutos individuais, em vez de apenas tabelas sumárias, permitiu calcular os 11 indicadores de cada dimensão (média, SD, mínimo, máximo, P5, P10, P25, P50, P75, P90, P95). Foram codificadas sete medições: comprimento da mão, largura da mão (metacarpal), circunferência da mão, comprimento da palma, circunferência do pulso, comprimento antebraço-ponta do dedo médio e comprimento antebraço-centro de preensão.</w:t>
      </w:r>
    </w:p>
    <w:p>
      <w:pPr>
        <w:pStyle w:val="TextoNormal-IPCA"/>
        <w:rPr/>
      </w:pPr>
      <w:r>
        <w:rPr/>
        <w:t>Nota: A medição wristheight foi excluída — corresponde à distância do chão ao pulso em posição de pé, uma dimensão postural e não uma medição da mão.</w:t>
      </w:r>
    </w:p>
    <w:p>
      <w:pPr>
        <w:pStyle w:val="Normal"/>
        <w:rPr/>
      </w:pPr>
      <w:r>
        <w:rPr/>
      </w:r>
    </w:p>
    <w:p>
      <w:pPr>
        <w:pStyle w:val="Heading3"/>
        <w:numPr>
          <w:ilvl w:val="0"/>
          <w:numId w:val="0"/>
        </w:numPr>
        <w:ind w:hanging="0" w:start="0"/>
        <w:rPr/>
      </w:pPr>
      <w:bookmarkStart w:id="213" w:name="_Toc235565047"/>
      <w:r>
        <w:rPr/>
        <w:t>A.5.11 Países Baixos — DINED (TU Delft, 1993–2004)</w:t>
      </w:r>
      <w:bookmarkEnd w:id="213"/>
    </w:p>
    <w:p>
      <w:pPr>
        <w:pStyle w:val="TextoNormal-IPCA"/>
        <w:keepNext w:val="true"/>
        <w:rPr/>
      </w:pPr>
      <w:r>
        <w:rPr/>
      </w:r>
    </w:p>
    <w:p>
      <w:pPr>
        <w:pStyle w:val="TextoNormal-IPCA"/>
        <w:rPr/>
      </w:pPr>
      <w:r>
        <w:rPr/>
        <w:t>Fonte: Base de dados antropométrica do Delft Institute for Ergonomics and Design, acessível via conta institucional em dined.io.tudelft.nl. Três sub-datasets distintos, com dados de mão disponíveis:</w:t>
      </w:r>
    </w:p>
    <w:p>
      <w:pPr>
        <w:pStyle w:val="TextoNormal-IPCA"/>
        <w:rPr/>
      </w:pPr>
      <w:r>
        <w:rPr/>
        <w:t>- kima1993: crianças neerlandesas, idades 2–12 (grupos por ano), por sexo e combinado; 8 medições da mão por grupo etário.</w:t>
      </w:r>
    </w:p>
    <w:p>
      <w:pPr>
        <w:pStyle w:val="TextoNormal-IPCA"/>
        <w:rPr/>
      </w:pPr>
      <w:r>
        <w:rPr/>
        <w:t>- geron1998: idosos neerlandeses, idades 50–80+ (bandas de 5 anos), por sexo e combinado; 5 medições da mão.</w:t>
      </w:r>
    </w:p>
    <w:p>
      <w:pPr>
        <w:pStyle w:val="TextoNormal-IPCA"/>
        <w:rPr/>
      </w:pPr>
      <w:r>
        <w:rPr/>
        <w:t>- dined2004: adultos neerlandeses, grupos etários 20–30, 31–60, 60+, por sexo e combinado; 6–7 medições da mão.</w:t>
      </w:r>
    </w:p>
    <w:p>
      <w:pPr>
        <w:pStyle w:val="TextoNormal-IPCA"/>
        <w:rPr/>
      </w:pPr>
      <w:r>
        <w:rPr/>
        <w:t xml:space="preserve">Os dados foram extraídos do HTML da interface </w:t>
      </w:r>
      <w:r>
        <w:rPr>
          <w:i/>
          <w:iCs/>
        </w:rPr>
        <w:t>web</w:t>
      </w:r>
      <w:r>
        <w:rPr/>
        <w:t xml:space="preserve"> (padrões id="mean{col}{row}" / id="sd{col}{row}"), através do mapeamento dos índices de coluna para combinações (</w:t>
      </w:r>
      <w:r>
        <w:rPr>
          <w:i/>
          <w:iCs/>
        </w:rPr>
        <w:t>sub-dataset</w:t>
      </w:r>
      <w:r>
        <w:rPr/>
        <w:t>, sexo, grupo etário) e dos índices de linha para nomes de medição.</w:t>
      </w:r>
    </w:p>
    <w:p>
      <w:pPr>
        <w:pStyle w:val="TextoNormal-IPCA"/>
        <w:rPr/>
      </w:pPr>
      <w:r>
        <w:rPr/>
        <w:t xml:space="preserve">Decisão: inclusão total (três </w:t>
      </w:r>
      <w:r>
        <w:rPr>
          <w:i/>
          <w:iCs/>
        </w:rPr>
        <w:t>sub-datasets</w:t>
      </w:r>
      <w:r>
        <w:rPr/>
        <w:t xml:space="preserve">). Estão disponíveis apenas a média e o desvio-padrão; a interface DINED não fornece percentis. O grupo combinado 20–60 do dined2004 foi excluído por ser redundante relativamente aos grupos 20–30 e 31–60. Trata-se do primeiro </w:t>
      </w:r>
      <w:r>
        <w:rPr>
          <w:i/>
          <w:iCs/>
        </w:rPr>
        <w:t>dataset</w:t>
      </w:r>
      <w:r>
        <w:rPr/>
        <w:t xml:space="preserve"> pediátrico e do </w:t>
      </w:r>
      <w:r>
        <w:rPr>
          <w:i/>
          <w:iCs/>
        </w:rPr>
        <w:t>dataset</w:t>
      </w:r>
      <w:r>
        <w:rPr/>
        <w:t xml:space="preserve"> de idosos com maior granularidade da base de dados.</w:t>
      </w:r>
    </w:p>
    <w:p>
      <w:pPr>
        <w:pStyle w:val="Normal"/>
        <w:rPr/>
      </w:pPr>
      <w:r>
        <w:rPr/>
      </w:r>
    </w:p>
    <w:p>
      <w:pPr>
        <w:pStyle w:val="Heading3"/>
        <w:numPr>
          <w:ilvl w:val="0"/>
          <w:numId w:val="0"/>
        </w:numPr>
        <w:ind w:hanging="0" w:start="0"/>
        <w:rPr/>
      </w:pPr>
      <w:bookmarkStart w:id="214" w:name="_Toc235565048"/>
      <w:r>
        <w:rPr/>
        <w:t>A.5.12 China — idosos de Pequim (Hu et al., 2007)</w:t>
      </w:r>
      <w:bookmarkEnd w:id="214"/>
    </w:p>
    <w:p>
      <w:pPr>
        <w:pStyle w:val="TextoNormal-IPCA"/>
        <w:keepNext w:val="true"/>
        <w:rPr/>
      </w:pPr>
      <w:r>
        <w:rPr/>
      </w:r>
    </w:p>
    <w:p>
      <w:pPr>
        <w:pStyle w:val="TextoNormal-IPCA"/>
        <w:rPr/>
      </w:pPr>
      <w:r>
        <w:rPr>
          <w:lang w:val="en-US"/>
        </w:rPr>
        <w:t xml:space="preserve">Fonte: International Journal of Industrial Ergonomics, 37(4):303–311. </w:t>
      </w:r>
      <w:r>
        <w:rPr/>
        <w:t>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TextoNormal-IPCA"/>
        <w:rPr/>
      </w:pPr>
      <w:r>
        <w:rPr/>
        <w:t>Decisão: inclusão parcial de cinco medições de mão/antebraço: largura da mão no metacarpal, largura máxima da mão, comprimento da mão, comprimento do dedo e comprimento antebraço-ponta dos dedos. P5, P50 e P95 foram codificados a partir da Tabela 2. A medição "</w:t>
      </w:r>
      <w:r>
        <w:rPr>
          <w:i/>
          <w:iCs/>
        </w:rPr>
        <w:t>Finger length</w:t>
      </w:r>
      <w:r>
        <w:rPr/>
        <w:t>" usa a designação do padrão GB/T 5703 sem especificar o dígito; assume-se o dedo médio, conforme documentado em dataqualitynote.</w:t>
      </w:r>
    </w:p>
    <w:p>
      <w:pPr>
        <w:pStyle w:val="TextoNormal-IPCA"/>
        <w:rPr/>
      </w:pPr>
      <w:r>
        <w:rPr/>
        <w:t>Nota de cobertura: Primeira fonte de dados de idosos chineses e, simultaneamente, única fonte da Ásia Oriental na base de dados, após se ter verificado que uma referência alternativa inicialmente identificada não era verificável.</w:t>
      </w:r>
    </w:p>
    <w:p>
      <w:pPr>
        <w:pStyle w:val="Heading3"/>
        <w:numPr>
          <w:ilvl w:val="0"/>
          <w:numId w:val="0"/>
        </w:numPr>
        <w:ind w:hanging="0" w:start="0"/>
        <w:rPr/>
      </w:pPr>
      <w:bookmarkStart w:id="215" w:name="_Toc235565049"/>
      <w:r>
        <w:rPr/>
        <w:t>A.5.13 Estudo excluído: reconstrução corporal 3D a partir de fotografias ortogonais</w:t>
      </w:r>
      <w:bookmarkEnd w:id="215"/>
    </w:p>
    <w:p>
      <w:pPr>
        <w:pStyle w:val="TextoNormal-IPCA"/>
        <w:keepNext w:val="true"/>
        <w:rPr/>
      </w:pPr>
      <w:r>
        <w:rPr/>
      </w:r>
    </w:p>
    <w:p>
      <w:pPr>
        <w:pStyle w:val="TextoNormal-IPCA"/>
        <w:rPr/>
      </w:pPr>
      <w:r>
        <w:rPr/>
        <w:t>Fonte: artigo metodológico sobre reconstrução de modelos corporais 3D a partir de fotografias ortogonais, publicado no International Journal of Industrial Ergonomics, usando deformação de forma livre (FFD).</w:t>
      </w:r>
    </w:p>
    <w:p>
      <w:pPr>
        <w:pStyle w:val="TextoNormal-IPCA"/>
        <w:rPr/>
      </w:pPr>
      <w:r>
        <w:rPr/>
        <w:t>Decisão: excluído. O artigo não constitui um estudo de antropometria populacional, uma vez que apresenta um método de modelação validado num único sujeito. A figura de validação compara os valores do modelo com os do participante real em 22 dimensões, não constituindo estatística descritiva de uma amostra. Não apresenta média, desvio-padrão nem percentis de uma população. Seria metodologicamente incorreto incluir o comprimento da mão do sujeito de validação (17 cm, lido do gráfico).</w:t>
      </w:r>
    </w:p>
    <w:p>
      <w:pPr>
        <w:pStyle w:val="TextoNormal-IPCA"/>
        <w:rPr/>
      </w:pPr>
      <w:r>
        <w:rPr/>
      </w:r>
    </w:p>
    <w:p>
      <w:pPr>
        <w:pStyle w:val="Heading2"/>
        <w:numPr>
          <w:ilvl w:val="0"/>
          <w:numId w:val="0"/>
        </w:numPr>
        <w:ind w:hanging="0" w:start="0"/>
        <w:rPr/>
      </w:pPr>
      <w:bookmarkStart w:id="216" w:name="_Toc235565050"/>
      <w:r>
        <w:rPr/>
        <w:t>A.6 Estrutura do CSV e esquema de dados</w:t>
      </w:r>
      <w:bookmarkEnd w:id="216"/>
    </w:p>
    <w:p>
      <w:pPr>
        <w:pStyle w:val="TextoNormal-IPCA"/>
        <w:keepNext w:val="true"/>
        <w:rPr/>
      </w:pPr>
      <w:r>
        <w:rPr/>
      </w:r>
    </w:p>
    <w:p>
      <w:pPr>
        <w:pStyle w:val="Heading3"/>
        <w:numPr>
          <w:ilvl w:val="0"/>
          <w:numId w:val="0"/>
        </w:numPr>
        <w:ind w:hanging="0" w:start="0"/>
        <w:rPr/>
      </w:pPr>
      <w:bookmarkStart w:id="217" w:name="_Toc235565051"/>
      <w:r>
        <w:rPr/>
        <w:t>A.6.1 Campos</w:t>
      </w:r>
      <w:bookmarkEnd w:id="217"/>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sz w:val="20"/>
                <w:szCs w:val="20"/>
                <w:lang w:val="en-US"/>
              </w:rPr>
              <w:t>Região corporal (</w:t>
            </w:r>
            <w:r>
              <w:rPr>
                <w:rFonts w:eastAsia="Calibri"/>
                <w:i/>
                <w:iCs/>
                <w:sz w:val="20"/>
                <w:szCs w:val="20"/>
                <w:lang w:val="en-US"/>
              </w:rPr>
              <w:t>hand, forearm, upperarm, lowerlimb, torso, head</w:t>
            </w:r>
            <w:r>
              <w:rPr>
                <w:rFonts w:eastAsia="Calibri"/>
                <w:sz w:val="20"/>
                <w:szCs w:val="20"/>
                <w:lang w:val="en-US"/>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Descrição da população (e.g., "</w:t>
            </w:r>
            <w:r>
              <w:rPr>
                <w:rFonts w:eastAsia="Calibri"/>
                <w:i/>
                <w:iCs/>
                <w:sz w:val="20"/>
                <w:szCs w:val="20"/>
              </w:rPr>
              <w:t>Young adults (age 18-30)</w:t>
            </w:r>
            <w:r>
              <w:rPr>
                <w:rFonts w:eastAsia="Calibri"/>
                <w:sz w:val="20"/>
                <w:szCs w:val="20"/>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 xml:space="preserve">Tipo de estatística: </w:t>
            </w:r>
            <w:r>
              <w:rPr>
                <w:rFonts w:eastAsia="Calibri"/>
                <w:i/>
                <w:iCs/>
                <w:sz w:val="20"/>
                <w:szCs w:val="20"/>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bookmarkStart w:id="218" w:name="_Toc235565052"/>
      <w:r>
        <w:rPr/>
        <w:t>A.6.2 Formato longo (</w:t>
      </w:r>
      <w:r>
        <w:rPr>
          <w:i/>
          <w:iCs/>
        </w:rPr>
        <w:t>long format</w:t>
      </w:r>
      <w:r>
        <w:rPr/>
        <w:t>)</w:t>
      </w:r>
      <w:bookmarkEnd w:id="218"/>
    </w:p>
    <w:p>
      <w:pPr>
        <w:pStyle w:val="TextoNormal-IPCA"/>
        <w:keepNext w:val="true"/>
        <w:rPr/>
      </w:pPr>
      <w:r>
        <w:rPr/>
      </w:r>
    </w:p>
    <w:p>
      <w:pPr>
        <w:pStyle w:val="TextoNormal-IPCA"/>
        <w:rPr/>
      </w:pPr>
      <w:r>
        <w:rPr/>
        <w:t>A adopção do formato longo — uma linha por estatística, em vez de uma linha por dimensão com colunas mean, sd, p5, etc. — permite:</w:t>
      </w:r>
    </w:p>
    <w:p>
      <w:pPr>
        <w:pStyle w:val="TextoNormal-IPCA"/>
        <w:rPr/>
      </w:pPr>
      <w:r>
        <w:rPr/>
        <w:t>- Filtrar facilmente por tipo de estatística sem tratamento especial de colunas opcionais</w:t>
      </w:r>
    </w:p>
    <w:p>
      <w:pPr>
        <w:pStyle w:val="TextoNormal-IPCA"/>
        <w:rPr/>
      </w:pPr>
      <w:r>
        <w:rPr/>
        <w:t>- Incluir estudos que reportam apenas subconjuntos de estatísticas (e.g., apenas média, sem percentis) sem introduzir células vazias em colunas estruturais</w:t>
      </w:r>
    </w:p>
    <w:p>
      <w:pPr>
        <w:pStyle w:val="TextoNormal-IPCA"/>
        <w:rPr/>
      </w:pPr>
      <w:r>
        <w:rPr/>
        <w:t>- Acrescentar novos tipos de estatística, por exemplo, intervalos de confiança, sem alterar o esquema de dados</w:t>
      </w:r>
    </w:p>
    <w:p>
      <w:pPr>
        <w:pStyle w:val="TextoNormal-IPCA"/>
        <w:rPr/>
      </w:pPr>
      <w:r>
        <w:rPr/>
        <w:t>Este formato implica a repetição dos campos de identificação (país, sexo, dimensão) em cada linha, o que é aceitável dado o volume total de dados.</w:t>
      </w:r>
    </w:p>
    <w:p>
      <w:pPr>
        <w:pStyle w:val="Normal"/>
        <w:rPr/>
      </w:pPr>
      <w:r>
        <w:rPr/>
      </w:r>
    </w:p>
    <w:p>
      <w:pPr>
        <w:pStyle w:val="Heading2"/>
        <w:numPr>
          <w:ilvl w:val="0"/>
          <w:numId w:val="0"/>
        </w:numPr>
        <w:ind w:hanging="0" w:start="0"/>
        <w:rPr/>
      </w:pPr>
      <w:bookmarkStart w:id="219" w:name="_Toc235565053"/>
      <w:r>
        <w:rPr/>
        <w:t>A.7 Controlo de Qualidade dos Dados</w:t>
      </w:r>
      <w:bookmarkEnd w:id="219"/>
    </w:p>
    <w:p>
      <w:pPr>
        <w:pStyle w:val="TextoNormal-IPCA"/>
        <w:keepNext w:val="true"/>
        <w:rPr/>
      </w:pPr>
      <w:r>
        <w:rPr/>
      </w:r>
    </w:p>
    <w:p>
      <w:pPr>
        <w:pStyle w:val="Heading3"/>
        <w:numPr>
          <w:ilvl w:val="0"/>
          <w:numId w:val="0"/>
        </w:numPr>
        <w:ind w:hanging="0" w:start="0"/>
        <w:rPr/>
      </w:pPr>
      <w:bookmarkStart w:id="220" w:name="_Toc235565054"/>
      <w:r>
        <w:rPr/>
        <w:t xml:space="preserve">A.7.1 Marcação </w:t>
      </w:r>
      <w:r>
        <w:rPr>
          <w:i/>
          <w:iCs/>
        </w:rPr>
        <w:t>inline</w:t>
      </w:r>
      <w:r>
        <w:rPr/>
        <w:t xml:space="preserve"> de limitações</w:t>
      </w:r>
      <w:bookmarkEnd w:id="220"/>
    </w:p>
    <w:p>
      <w:pPr>
        <w:pStyle w:val="TextoNormal-IPCA"/>
        <w:keepNext w:val="true"/>
        <w:rPr/>
      </w:pPr>
      <w:r>
        <w:rPr/>
      </w:r>
    </w:p>
    <w:p>
      <w:pPr>
        <w:pStyle w:val="TextoNormal-IPCA"/>
        <w:rPr/>
      </w:pPr>
      <w:r>
        <w:rPr/>
        <w:t>O campo dataqualitynote é preenchido sempre que se verifica uma das seguintes situações:</w:t>
      </w:r>
    </w:p>
    <w:p>
      <w:pPr>
        <w:pStyle w:val="TextoNormal-IPCA"/>
        <w:rPr/>
      </w:pPr>
      <w:r>
        <w:rPr/>
        <w:t>- Valor extraído de uma figura (diagrama ou gráfico) em vez de uma tabela</w:t>
      </w:r>
    </w:p>
    <w:p>
      <w:pPr>
        <w:pStyle w:val="TextoNormal-IPCA"/>
        <w:rPr/>
      </w:pPr>
      <w:r>
        <w:rPr/>
        <w:t>- Subgrupo com n ≤ 10</w:t>
      </w:r>
    </w:p>
    <w:p>
      <w:pPr>
        <w:pStyle w:val="TextoNormal-IPCA"/>
        <w:rPr/>
      </w:pPr>
      <w:r>
        <w:rPr/>
        <w:t>- Desvio-padrão ausente ou atipicamente elevado</w:t>
      </w:r>
    </w:p>
    <w:p>
      <w:pPr>
        <w:pStyle w:val="TextoNormal-IPCA"/>
        <w:rPr/>
      </w:pPr>
      <w:r>
        <w:rPr/>
        <w:t>- Valor estimado a partir de estatísticas adjacentes por ilegibilidade da tabela</w:t>
      </w:r>
    </w:p>
    <w:p>
      <w:pPr>
        <w:pStyle w:val="TextoNormal-IPCA"/>
        <w:rPr/>
      </w:pPr>
      <w:r>
        <w:rPr/>
        <w:t>- Correlação fraca entre variáveis reportada pelo próprio estudo</w:t>
      </w:r>
    </w:p>
    <w:p>
      <w:pPr>
        <w:pStyle w:val="TextoNormal-IPCA"/>
        <w:rPr/>
      </w:pPr>
      <w:r>
        <w:rPr/>
        <w:t>- Inconsistência tipográfica no documento original, corrigida com nota</w:t>
      </w:r>
    </w:p>
    <w:p>
      <w:pPr>
        <w:pStyle w:val="Normal"/>
        <w:rPr/>
      </w:pPr>
      <w:r>
        <w:rPr/>
      </w:r>
    </w:p>
    <w:p>
      <w:pPr>
        <w:pStyle w:val="Heading3"/>
        <w:numPr>
          <w:ilvl w:val="0"/>
          <w:numId w:val="0"/>
        </w:numPr>
        <w:ind w:hanging="0" w:start="0"/>
        <w:rPr/>
      </w:pPr>
      <w:bookmarkStart w:id="221" w:name="_Toc235565055"/>
      <w:r>
        <w:rPr/>
        <w:t>A.7.2 Verificação de unidades</w:t>
      </w:r>
      <w:bookmarkEnd w:id="221"/>
    </w:p>
    <w:p>
      <w:pPr>
        <w:pStyle w:val="TextoNormal-IPCA"/>
        <w:keepNext w:val="true"/>
        <w:rPr/>
      </w:pPr>
      <w:r>
        <w:rPr/>
      </w:r>
    </w:p>
    <w:p>
      <w:pPr>
        <w:pStyle w:val="TextoNormal-IPCA"/>
        <w:rPr/>
      </w:pPr>
      <w:r>
        <w:rPr/>
        <w:t>Todos os valores foram verificados quanto à coerência da ordem de grandeza. Por exemplo, o comprimento de uma mão adulta reportado em centímetros deve situar-se entre 15 e 22 cm; antes da codificação, qualquer valor fora deste intervalo foi confrontado com o artigo original.</w:t>
      </w:r>
    </w:p>
    <w:p>
      <w:pPr>
        <w:pStyle w:val="Heading3"/>
        <w:numPr>
          <w:ilvl w:val="0"/>
          <w:numId w:val="0"/>
        </w:numPr>
        <w:ind w:hanging="0" w:start="0"/>
        <w:rPr/>
      </w:pPr>
      <w:bookmarkStart w:id="222" w:name="_Toc235565056"/>
      <w:r>
        <w:rPr/>
        <w:t>A.7.3 Ligação à fonte</w:t>
      </w:r>
      <w:bookmarkEnd w:id="222"/>
    </w:p>
    <w:p>
      <w:pPr>
        <w:pStyle w:val="TextoNormal-IPCA"/>
        <w:keepNext w:val="true"/>
        <w:rPr/>
      </w:pPr>
      <w:r>
        <w:rPr/>
      </w:r>
    </w:p>
    <w:p>
      <w:pPr>
        <w:pStyle w:val="TextoNormal-IPCA"/>
        <w:rPr/>
      </w:pPr>
      <w:r>
        <w:rPr/>
        <w:t>Cada linha do CSV contém a citação completa (sourcecitation) e o número exacto da página (sourcepage), o que permite verificar directamente qualquer valor na fonte primária, sem recorrer a metadados externos.</w:t>
      </w:r>
    </w:p>
    <w:p>
      <w:pPr>
        <w:pStyle w:val="Heading3"/>
        <w:numPr>
          <w:ilvl w:val="0"/>
          <w:numId w:val="0"/>
        </w:numPr>
        <w:ind w:hanging="0" w:start="0"/>
        <w:rPr/>
      </w:pPr>
      <w:bookmarkStart w:id="223" w:name="_Toc235565057"/>
      <w:r>
        <w:rPr/>
        <w:t>A.8 Escrita do Código de Geração</w:t>
      </w:r>
      <w:bookmarkEnd w:id="223"/>
    </w:p>
    <w:p>
      <w:pPr>
        <w:pStyle w:val="TextoNormal-IPCA"/>
        <w:keepNext w:val="true"/>
        <w:rPr/>
      </w:pPr>
      <w:r>
        <w:rPr/>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mantém cada valor junto da respectiva citação e nota metodológica, permite regenerar o CSV mediante a execução do </w:t>
      </w:r>
      <w:r>
        <w:rPr>
          <w:i/>
          <w:iCs/>
        </w:rPr>
        <w:t>script</w:t>
      </w:r>
      <w:r>
        <w:rPr/>
        <w:t xml:space="preserve"> pelo mesmo procedimento e torna as alterações visíveis no histórico de versões, no contexto da fonte modificada.</w:t>
      </w:r>
    </w:p>
    <w:p>
      <w:pPr>
        <w:pStyle w:val="TextoNormal-IPCA"/>
        <w:rPr/>
      </w:pPr>
      <w:r>
        <w:rPr/>
        <w:t xml:space="preserve">O </w:t>
      </w:r>
      <w:r>
        <w:rPr>
          <w:i/>
          <w:iCs/>
        </w:rPr>
        <w:t>script</w:t>
      </w:r>
      <w:r>
        <w:rPr/>
        <w:t xml:space="preserve"> aplica automaticamente as conversões de unidades, calcula valuein a partir de valuecm e valida que nenhuma linha é emitida sem que pelo menos uma das colunas valuemm ou valuecm esteja preenchida.</w:t>
      </w:r>
    </w:p>
    <w:p>
      <w:pPr>
        <w:pStyle w:val="TextoNormal-IPCA"/>
        <w:rPr/>
      </w:pPr>
      <w:r>
        <w:rPr/>
      </w:r>
    </w:p>
    <w:p>
      <w:pPr>
        <w:pStyle w:val="Heading3"/>
        <w:numPr>
          <w:ilvl w:val="0"/>
          <w:numId w:val="0"/>
        </w:numPr>
        <w:ind w:hanging="0" w:start="0"/>
        <w:rPr/>
      </w:pPr>
      <w:bookmarkStart w:id="224" w:name="_Toc235565058"/>
      <w:r>
        <w:rPr/>
        <w:t>A.8.1 Correspondência entre os CSV e os parâmetros da plataforma</w:t>
      </w:r>
      <w:bookmarkEnd w:id="224"/>
    </w:p>
    <w:p>
      <w:pPr>
        <w:pStyle w:val="TextoNormal-IPCA"/>
        <w:keepNext w:val="true"/>
        <w:rPr/>
      </w:pPr>
      <w:r>
        <w:rPr/>
      </w:r>
    </w:p>
    <w:p>
      <w:pPr>
        <w:pStyle w:val="TextoNormal-IPCA"/>
        <w:rPr/>
      </w:pPr>
      <w:r>
        <w:rPr/>
        <w:t>Os CSV não são enviados directamente para o modelo OpenSCAD nem constituem registos individuais. O importador agrega as linhas estatísticas por população, sexo, grupo etário e tipo de estatística, armazena os perfis normalizados na base local da aplicação e organiza as medidas numa árvore measurements. No estado da plataforma utilizado nos ensaios principais, a correspondência subsequente é executada pelo serviço determinístico de correspondência de perfis. Este serviço é partilhado pela aplicação da configuração de referência e pela construção do contexto antropométrico enviado à IA.</w:t>
      </w:r>
    </w:p>
    <w:p>
      <w:pPr>
        <w:pStyle w:val="TextoNormal-IPCA"/>
        <w:rPr/>
      </w:pPr>
      <w:r>
        <w:rPr/>
        <w:t>O mapeamento canónico associa apenas medidas com correspondência anatómica explícita: palm.width_mm a palm_breadth_mm; palm.length_mm a palm_length_mm; palm.thickness_mm a palm_thickness_mm; os comprimentos totais de digits.index, middle, ring, pinky e thumb aos cinco parâmetros *_finger_length_mm; os comprimentos proximais dos mesmos dedos aos parâmetros *_base_length_mm; e wrist.circumference_mm a wrist_circumference_mm. Um valor só é aplicado se o parâmetro existir no modelo activo, for numérico, pertencer a este mapa e contiver uma medida finita e positiva. O valor é arredondado a uma casa decimal e limitado pelo mínimo e pelo máximo declarados no catálogo de modelos. Os parâmetros em falta permanecem por configurar, e esta operação não altera parâmetros mecânicos, de visualização ou de lateralidade.</w:t>
      </w:r>
    </w:p>
    <w:p>
      <w:pPr>
        <w:pStyle w:val="TextoNormal-IPCA"/>
        <w:rPr/>
      </w:pPr>
      <w:r>
        <w:rPr/>
        <w:t>Quando a entrada consiste numa descrição textual, a referência populacional é seleccionada através de uma pontuação determinística. O algoritmo pondera a correspondência de sexo, a categoria e a proximidade etária, bem como a menção explícita do país e a qualidade do subconjunto, e só aceita resultados acima do limiar codificado. Se o país descrito não constar da base, não é atribuído qualquer ponto de correspondência nacional. O sistema pode seleccionar um grupo com base nos restantes campos, mas essa escolha deve ser apresentada como uma referência populacional aproximada. As médias seleccionadas orientam a configuração inicial e o contexto da IA, sem substituir as medidas directas da pessoa nem demonstrar um ajuste anatómico individual.</w:t>
      </w:r>
    </w:p>
    <w:p>
      <w:pPr>
        <w:pStyle w:val="TextoNormal-IPCA"/>
        <w:rPr/>
      </w:pPr>
      <w:r>
        <w:rPr/>
        <w:t>Este encadeamento distingue quatro unidades que não devem ser confundidas: a linha estatística do CSV, o perfil populacional agregado na base de dados, o conjunto de parâmetros compatíveis com o modelo ativo e a geometria gerada após confirmação humana. O percurso pode, assim, ser reconstruído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bookmarkStart w:id="225" w:name="_Toc235565059"/>
      <w:r>
        <w:rPr/>
        <w:t>A.9 Resultado Final</w:t>
      </w:r>
      <w:bookmarkEnd w:id="225"/>
    </w:p>
    <w:p>
      <w:pPr>
        <w:pStyle w:val="TextoNormal-IPCA"/>
        <w:keepNext w:val="true"/>
        <w:rPr/>
      </w:pPr>
      <w:r>
        <w:rPr/>
      </w:r>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cerca de 85</w:t>
            </w:r>
          </w:p>
        </w:tc>
      </w:tr>
    </w:tbl>
    <w:p>
      <w:pPr>
        <w:pStyle w:val="TextoNormal-IPCA"/>
        <w:rPr/>
      </w:pPr>
      <w:r>
        <w:rPr/>
      </w:r>
    </w:p>
    <w:p>
      <w:pPr>
        <w:pStyle w:val="TextoNormal-IPCA"/>
        <w:rPr/>
      </w:pPr>
      <w:r>
        <w:rPr/>
        <w:t>A regeneração dos três conjuntos de dados confirmou estes totais. A contagem de 12 corresponde a documentos-fonte ou subconjuntos identificados pelo procedimento de geração, não implicando a existência de 12 estudos primários independentes.</w:t>
      </w:r>
    </w:p>
    <w:p>
      <w:pPr>
        <w:pStyle w:val="TextoNormal-IPCA"/>
        <w:rPr/>
      </w:pPr>
      <w:r>
        <w:rPr/>
        <w:t>A base de dados da mão reúne informação proveniente de nove países (EUA, Países Baixos, Turquia, México, Índia, Portugal, Nigéria, Jordânia e China), relativa a ambos os sexos e a grupos combinados, com grupos etários dos 2 aos 80 ou mais anos e populações que incluem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uma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bookmarkStart w:id="226" w:name="_Toc235565060"/>
      <w:r>
        <w:rPr/>
        <w:t>A.10 Cobertura Global da Base de Dados e Lacunas</w:t>
      </w:r>
      <w:bookmarkEnd w:id="226"/>
    </w:p>
    <w:p>
      <w:pPr>
        <w:pStyle w:val="TextoNormal-IPCA"/>
        <w:keepNext w:val="true"/>
        <w:rPr/>
      </w:pPr>
      <w:r>
        <w:rPr/>
      </w:r>
    </w:p>
    <w:p>
      <w:pPr>
        <w:pStyle w:val="Heading3"/>
        <w:numPr>
          <w:ilvl w:val="0"/>
          <w:numId w:val="0"/>
        </w:numPr>
        <w:ind w:hanging="0" w:start="0"/>
        <w:rPr/>
      </w:pPr>
      <w:bookmarkStart w:id="227" w:name="_Toc235565061"/>
      <w:r>
        <w:rPr/>
        <w:t>A.10.1 O que está coberto</w:t>
      </w:r>
      <w:bookmarkEnd w:id="227"/>
    </w:p>
    <w:p>
      <w:pPr>
        <w:pStyle w:val="TextoNormal-IPCA"/>
        <w:keepNext w:val="true"/>
        <w:rPr/>
      </w:pPr>
      <w:r>
        <w:rPr/>
      </w:r>
    </w:p>
    <w:p>
      <w:pPr>
        <w:pStyle w:val="TextoNormal-IPCA"/>
        <w:rPr/>
      </w:pPr>
      <w:r>
        <w:rPr/>
        <w:t>A base de dados da mão foi construída para reunir dados de várias populações e representar a diversidade antropométrica da mão nas dimensões geográfica, demográfica, etária e estatística. A tabela seguinte sintetiza a cobertura atual.</w:t>
      </w:r>
    </w:p>
    <w:p>
      <w:pPr>
        <w:pStyle w:val="Normal"/>
        <w:rPr/>
      </w:pPr>
      <w:r>
        <w:rPr/>
      </w:r>
    </w:p>
    <w:p>
      <w:pPr>
        <w:pStyle w:val="Heading4"/>
        <w:numPr>
          <w:ilvl w:val="0"/>
          <w:numId w:val="0"/>
        </w:numPr>
        <w:ind w:hanging="0" w:start="0"/>
        <w:rPr/>
      </w:pPr>
      <w:r>
        <w:rPr/>
        <w:t>A.10.1.1. Cobertura geográfica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lang w:val="de-DE"/>
              </w:rPr>
              <w:t xml:space="preserve">ANSUR 1988, ANSUR II 2012, Lim et al. </w:t>
            </w:r>
            <w:r>
              <w:rPr>
                <w:rFonts w:eastAsia="Calibri"/>
              </w:rPr>
              <w:t>(2018)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Chatzioglou et al. (2024)</w:t>
            </w:r>
          </w:p>
        </w:tc>
      </w:tr>
    </w:tbl>
    <w:p>
      <w:pPr>
        <w:pStyle w:val="TextoNormal-IPCA"/>
        <w:rPr/>
      </w:pPr>
      <w:r>
        <w:rPr/>
      </w:r>
    </w:p>
    <w:p>
      <w:pPr>
        <w:pStyle w:val="TextoNormal-IPCA"/>
        <w:rPr/>
      </w:pPr>
      <w:r>
        <w:rPr/>
        <w:t xml:space="preserve">Estão representados nove países de sete regiões do mundo. A cobertura é particularmente densa nos EUA (três fontes independentes) e nos Países Baixos (três </w:t>
      </w:r>
      <w:r>
        <w:rPr>
          <w:i/>
          <w:iCs/>
        </w:rPr>
        <w:t>sub-datasets</w:t>
      </w:r>
      <w:r>
        <w:rPr/>
        <w:t xml:space="preserve"> DINED).</w:t>
      </w:r>
    </w:p>
    <w:p>
      <w:pPr>
        <w:pStyle w:val="Normal"/>
        <w:rPr/>
      </w:pPr>
      <w:r>
        <w:rPr/>
      </w:r>
    </w:p>
    <w:p>
      <w:pPr>
        <w:pStyle w:val="Heading4"/>
        <w:numPr>
          <w:ilvl w:val="0"/>
          <w:numId w:val="0"/>
        </w:numPr>
        <w:ind w:hanging="0" w:start="0"/>
        <w:rPr/>
      </w:pPr>
      <w:r>
        <w:rPr/>
        <w:t>A.10.1.2. Cobertura etária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lang w:val="en-US"/>
              </w:rPr>
              <w:t xml:space="preserve">Lim et al. (2018); Chatzioglou et al. </w:t>
            </w:r>
            <w:r>
              <w:rPr>
                <w:rFonts w:eastAsia="Calibri"/>
              </w:rPr>
              <w:t>(2024)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Hu et al. (2007)</w:t>
            </w:r>
          </w:p>
        </w:tc>
      </w:tr>
    </w:tbl>
    <w:p>
      <w:pPr>
        <w:pStyle w:val="TextoNormal-IPCA"/>
        <w:rPr/>
      </w:pPr>
      <w:r>
        <w:rPr/>
      </w:r>
    </w:p>
    <w:p>
      <w:pPr>
        <w:pStyle w:val="TextoNormal-IPCA"/>
        <w:rPr/>
      </w:pPr>
      <w:r>
        <w:rPr/>
        <w:t>A cobertura pediátrica (2–12 anos) existe apenas para os Países Baixos. A adolescência (13–17 anos) não está representada como grupo específico; o subgrupo mexicano 15–19 é o mais próximo, embora abranja uma faixa mais ampla. A idade adulta ativa (20–60) encontra-se bem coberta em vários países. Os idosos estão representados nos Países Baixos (50–80+) e na China (65–85), mas não noutras geografias.</w:t>
      </w:r>
    </w:p>
    <w:p>
      <w:pPr>
        <w:pStyle w:val="Normal"/>
        <w:rPr/>
      </w:pPr>
      <w:r>
        <w:rPr/>
      </w:r>
    </w:p>
    <w:p>
      <w:pPr>
        <w:pStyle w:val="Heading4"/>
        <w:numPr>
          <w:ilvl w:val="0"/>
          <w:numId w:val="0"/>
        </w:numPr>
        <w:ind w:hanging="0" w:start="0"/>
        <w:rPr/>
      </w:pPr>
      <w:r>
        <w:rPr/>
        <w:t>A.10.1.3. Cobertura estatística</w:t>
      </w:r>
    </w:p>
    <w:p>
      <w:pPr>
        <w:pStyle w:val="TextoNormal-IPCA"/>
        <w:keepNext w:val="true"/>
        <w:rPr/>
      </w:pPr>
      <w:r>
        <w:rPr/>
      </w:r>
    </w:p>
    <w:p>
      <w:pPr>
        <w:pStyle w:val="TextoNormal-IPCA"/>
        <w:rPr/>
      </w:pPr>
      <w:r>
        <w:rPr/>
        <w:t>A profundidade estatística varia consideravelmente consoante a fonte:</w:t>
      </w:r>
    </w:p>
    <w:p>
      <w:pPr>
        <w:pStyle w:val="Normal"/>
        <w:rPr/>
      </w:pPr>
      <w:r>
        <w:rPr/>
      </w:r>
    </w:p>
    <w:tbl>
      <w:tblPr>
        <w:tblStyle w:val="TabelacomGrelh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lang w:val="de-DE"/>
              </w:rPr>
              <w:t xml:space="preserve">Chatzioglou et al. (2024), Ibiwari et al. </w:t>
            </w:r>
            <w:r>
              <w:rPr>
                <w:rFonts w:eastAsia="Calibri"/>
                <w:sz w:val="20"/>
                <w:szCs w:val="20"/>
              </w:rPr>
              <w:t>(2025)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Mistarihi (2020) — largura da mão; Lim et al. (2018)</w:t>
            </w:r>
          </w:p>
        </w:tc>
      </w:tr>
    </w:tbl>
    <w:p>
      <w:pPr>
        <w:pStyle w:val="TextoNormal-IPCA"/>
        <w:rPr/>
      </w:pPr>
      <w:r>
        <w:rPr/>
      </w:r>
    </w:p>
    <w:p>
      <w:pPr>
        <w:pStyle w:val="TextoNormal-IPCA"/>
        <w:rPr/>
      </w:pPr>
      <w:r>
        <w:rPr/>
        <w:t xml:space="preserve">A maioria das fontes não-americanas fornece apenas subconjuntos de estatísticas. Os percentis intermédios (P10, P25, P75, P90) estão disponíveis exclusivamente nos </w:t>
      </w:r>
      <w:r>
        <w:rPr>
          <w:i/>
          <w:iCs/>
        </w:rPr>
        <w:t>datasets</w:t>
      </w:r>
      <w:r>
        <w:rPr/>
        <w:t xml:space="preserve"> ANSUR. Esta assimetria constitui uma limitação real: para as populações não-americanas, o modelo paramétrico pode interpolar entre P5 e P95, mas não dispõe de percentis com granularidade fina.</w:t>
      </w:r>
    </w:p>
    <w:p>
      <w:pPr>
        <w:pStyle w:val="Normal"/>
        <w:rPr/>
      </w:pPr>
      <w:r>
        <w:rPr/>
      </w:r>
    </w:p>
    <w:p>
      <w:pPr>
        <w:pStyle w:val="Heading2"/>
        <w:rPr/>
      </w:pPr>
      <w:bookmarkStart w:id="228" w:name="_Toc235565062"/>
      <w:r>
        <w:rPr/>
        <w:t>A.10.2 Onde a cobertura falha</w:t>
      </w:r>
      <w:bookmarkEnd w:id="228"/>
    </w:p>
    <w:p>
      <w:pPr>
        <w:pStyle w:val="TextoNormal-IPCA"/>
        <w:keepNext w:val="true"/>
        <w:rPr/>
      </w:pPr>
      <w:r>
        <w:rPr/>
      </w:r>
    </w:p>
    <w:p>
      <w:pPr>
        <w:pStyle w:val="Heading3"/>
        <w:numPr>
          <w:ilvl w:val="0"/>
          <w:numId w:val="0"/>
        </w:numPr>
        <w:ind w:hanging="0" w:start="720"/>
        <w:rPr/>
      </w:pPr>
      <w:bookmarkStart w:id="229" w:name="_Toc235565063"/>
      <w:r>
        <w:rPr/>
        <w:t>A.10.2.1. Lacunas geográficas</w:t>
      </w:r>
      <w:bookmarkEnd w:id="229"/>
    </w:p>
    <w:p>
      <w:pPr>
        <w:pStyle w:val="TextoNormal-IPCA"/>
        <w:keepNext w:val="true"/>
        <w:rPr/>
      </w:pPr>
      <w:r>
        <w:rPr/>
      </w:r>
    </w:p>
    <w:p>
      <w:pPr>
        <w:pStyle w:val="TextoNormal-IPCA"/>
        <w:rPr/>
      </w:pPr>
      <w:r>
        <w:rPr/>
        <w:t>As regiões mais populosas do mundo estão sub-representadas ou ausentes:</w:t>
      </w:r>
    </w:p>
    <w:p>
      <w:pPr>
        <w:pStyle w:val="TextoNormal-IPCA"/>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TextoNormal-IPCA"/>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TextoNormal-IPCA"/>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TextoNormal-IPCA"/>
        <w:rPr/>
      </w:pPr>
      <w:r>
        <w:rPr/>
        <w:t>- América do Sul — Completamente ausente. Brasil, Colômbia e Argentina têm literatura ergonómica publicada, mas não foram identificadas fontes acessíveis com dados de mão codificáveis.</w:t>
      </w:r>
    </w:p>
    <w:p>
      <w:pPr>
        <w:pStyle w:val="TextoNormal-IPCA"/>
        <w:rPr/>
      </w:pPr>
      <w:r>
        <w:rPr/>
        <w:t>- Europa Central e de Leste — Ausente. Os Países Baixos e Portugal representam a Europa, mas existem diferenças antropométricas documentadas entre populações do norte, sul e leste do continente.</w:t>
      </w:r>
    </w:p>
    <w:p>
      <w:pPr>
        <w:pStyle w:val="Normal"/>
        <w:rPr/>
      </w:pPr>
      <w:r>
        <w:rPr/>
      </w:r>
    </w:p>
    <w:p>
      <w:pPr>
        <w:pStyle w:val="Heading3"/>
        <w:numPr>
          <w:ilvl w:val="0"/>
          <w:numId w:val="0"/>
        </w:numPr>
        <w:ind w:hanging="0" w:start="720"/>
        <w:rPr/>
      </w:pPr>
      <w:bookmarkStart w:id="230" w:name="_Toc235565064"/>
      <w:r>
        <w:rPr/>
        <w:t>A.10.2.2. Lacunas demográficas</w:t>
      </w:r>
      <w:bookmarkEnd w:id="230"/>
    </w:p>
    <w:p>
      <w:pPr>
        <w:pStyle w:val="TextoNormal-IPCA"/>
        <w:keepNext w:val="true"/>
        <w:rPr/>
      </w:pPr>
      <w:r>
        <w:rPr/>
      </w:r>
    </w:p>
    <w:p>
      <w:pPr>
        <w:pStyle w:val="TextoNormal-IPCA"/>
        <w:rPr/>
      </w:pPr>
      <w:r>
        <w:rPr/>
        <w:t>- Adolescentes (13–17 anos) — a transição da mão infantil para a adulta não está coberta por nenhum estudo dedicado. O kima1993 chega aos 12 anos e o ANSUR começa aos 17.</w:t>
      </w:r>
    </w:p>
    <w:p>
      <w:pPr>
        <w:pStyle w:val="TextoNormal-IPCA"/>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TextoNormal-IPCA"/>
        <w:rPr/>
      </w:pPr>
      <w:r>
        <w:rPr/>
        <w:t>- Pessoas com deficiência física — apenas o estudo de Mistarihi (2020) cobre esta população (n=40, sexos combinados, Jordânia). A dimensão amostral é insuficiente para ser estatisticamente representativa.</w:t>
      </w:r>
    </w:p>
    <w:p>
      <w:pPr>
        <w:pStyle w:val="TextoNormal-IPCA"/>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TextoNormal-IPCA"/>
        <w:rPr/>
      </w:pPr>
      <w:r>
        <w:rPr/>
      </w:r>
    </w:p>
    <w:p>
      <w:pPr>
        <w:pStyle w:val="Heading3"/>
        <w:numPr>
          <w:ilvl w:val="0"/>
          <w:numId w:val="0"/>
        </w:numPr>
        <w:ind w:hanging="0" w:start="720"/>
        <w:rPr/>
      </w:pPr>
      <w:bookmarkStart w:id="231" w:name="_Toc235565065"/>
      <w:r>
        <w:rPr/>
        <w:t>A.10.2.3. Limitações qualitativas dos dados existentes</w:t>
      </w:r>
      <w:bookmarkEnd w:id="231"/>
    </w:p>
    <w:p>
      <w:pPr>
        <w:pStyle w:val="TextoNormal-IPCA"/>
        <w:keepNext w:val="true"/>
        <w:rPr/>
      </w:pPr>
      <w:r>
        <w:rPr/>
      </w:r>
    </w:p>
    <w:p>
      <w:pPr>
        <w:pStyle w:val="TextoNormal-IPCA"/>
        <w:rPr/>
      </w:pPr>
      <w:r>
        <w:rPr/>
        <w:t>Além das lacunas decorrentes de ausências, os dados existentes apresentam outras limitações:</w:t>
      </w:r>
    </w:p>
    <w:p>
      <w:pPr>
        <w:pStyle w:val="TextoNormal-IPCA"/>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TextoNormal-IPCA"/>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TextoNormal-IPCA"/>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TextoNormal-IPCA"/>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rPr/>
      </w:pPr>
      <w:r>
        <w:rPr/>
      </w:r>
    </w:p>
    <w:p>
      <w:pPr>
        <w:pStyle w:val="Heading2"/>
        <w:numPr>
          <w:ilvl w:val="0"/>
          <w:numId w:val="0"/>
        </w:numPr>
        <w:ind w:hanging="0" w:start="576"/>
        <w:rPr/>
      </w:pPr>
      <w:bookmarkStart w:id="232" w:name="_Toc235565066"/>
      <w:r>
        <w:rPr/>
        <w:t>A.10.3 PRIORIDADES identificadas para expansão futura</w:t>
      </w:r>
      <w:bookmarkEnd w:id="232"/>
    </w:p>
    <w:p>
      <w:pPr>
        <w:pStyle w:val="TextoNormal-IPCA"/>
        <w:keepNext w:val="true"/>
        <w:rPr/>
      </w:pPr>
      <w:r>
        <w:rPr/>
      </w:r>
    </w:p>
    <w:p>
      <w:pPr>
        <w:pStyle w:val="TextoNormal-IPCA"/>
        <w:rPr/>
      </w:pPr>
      <w:r>
        <w:rPr/>
        <w:t>A expansão futura da base de dados deverá dar prioridade a três eixos: dados pediátricos e de adolescentes fora do contexto europeu; fontes nacionais de antropometria da mão em regiões ainda não representadas; e conjuntos de dados com maior granularidade anatómica dos dedos, das falanges, do punho e do antebraço distal.</w:t>
      </w:r>
    </w:p>
    <w:p>
      <w:pPr>
        <w:pStyle w:val="Normal"/>
        <w:rPr/>
      </w:pPr>
      <w:r>
        <w:rPr/>
      </w:r>
    </w:p>
    <w:p>
      <w:pPr>
        <w:pStyle w:val="Heading3"/>
        <w:numPr>
          <w:ilvl w:val="0"/>
          <w:numId w:val="0"/>
        </w:numPr>
        <w:ind w:hanging="0" w:start="720"/>
        <w:rPr/>
      </w:pPr>
      <w:bookmarkStart w:id="233" w:name="_Toc235565067"/>
      <w:r>
        <w:rPr/>
        <w:t>A.10.3.1. Prioridade alta</w:t>
      </w:r>
      <w:bookmarkEnd w:id="233"/>
    </w:p>
    <w:p>
      <w:pPr>
        <w:pStyle w:val="TextoNormal-IPCA"/>
        <w:keepNext w:val="true"/>
        <w:rPr/>
      </w:pPr>
      <w:r>
        <w:rPr/>
      </w:r>
    </w:p>
    <w:p>
      <w:pPr>
        <w:pStyle w:val="TextoNormal-IPCA"/>
        <w:rPr/>
      </w:pPr>
      <w:r>
        <w:rPr/>
        <w:t>- Dados pediátricos e adolescentes da Ásia Oriental, capazes de preencher a lacuna entre os 13 e os 17 anos e de reduzir a dependência de fontes neerlandesas para perfis infantis.</w:t>
      </w:r>
    </w:p>
    <w:p>
      <w:pPr>
        <w:pStyle w:val="TextoNormal-IPCA"/>
        <w:rPr/>
      </w:pPr>
      <w:r>
        <w:rPr/>
        <w:t>- Dados industriais ou ergonómicos do Médio Oriente com maior dimensão amostral e separação por sexo, de modo a complementar a fonte jordana já incluída.</w:t>
      </w:r>
    </w:p>
    <w:p>
      <w:pPr>
        <w:pStyle w:val="TextoNormal-IPCA"/>
        <w:rPr/>
      </w:pPr>
      <w:r>
        <w:rPr/>
        <w:t>- Bases públicas nacionais com dados de mão para populações asiáticas, quando disponibilizarem metadados claros e condições de reutilização compatíveis com investigação académica.</w:t>
      </w:r>
    </w:p>
    <w:p>
      <w:pPr>
        <w:pStyle w:val="Normal"/>
        <w:rPr/>
      </w:pPr>
      <w:r>
        <w:rPr/>
      </w:r>
    </w:p>
    <w:p>
      <w:pPr>
        <w:pStyle w:val="Heading3"/>
        <w:numPr>
          <w:ilvl w:val="0"/>
          <w:numId w:val="0"/>
        </w:numPr>
        <w:ind w:hanging="0" w:start="720"/>
        <w:rPr/>
      </w:pPr>
      <w:bookmarkStart w:id="234" w:name="_Toc235565068"/>
      <w:r>
        <w:rPr/>
        <w:t>A.10.3.2. Prioridade média</w:t>
      </w:r>
      <w:bookmarkEnd w:id="234"/>
    </w:p>
    <w:p>
      <w:pPr>
        <w:pStyle w:val="TextoNormal-IPCA"/>
        <w:keepNext w:val="true"/>
        <w:rPr/>
      </w:pPr>
      <w:r>
        <w:rPr/>
      </w:r>
    </w:p>
    <w:p>
      <w:pPr>
        <w:pStyle w:val="TextoNormal-IPCA"/>
        <w:rPr/>
      </w:pPr>
      <w:r>
        <w:rPr/>
        <w:t>- Relatórios técnicos com medições granulares da mão, incluindo comprimentos por falange, profundidade articular e ângulos de preensão.</w:t>
      </w:r>
    </w:p>
    <w:p>
      <w:pPr>
        <w:pStyle w:val="TextoNormal-IPCA"/>
        <w:rPr/>
      </w:pPr>
      <w:r>
        <w:rPr/>
        <w:t>- Estudos baseados em digitalização 3D com amostras adultas amplas, desde que disponibilizem estatísticas por dimensão para além de exemplos individuais.</w:t>
      </w:r>
    </w:p>
    <w:p>
      <w:pPr>
        <w:pStyle w:val="Normal"/>
        <w:rPr/>
      </w:pPr>
      <w:r>
        <w:rPr/>
      </w:r>
    </w:p>
    <w:p>
      <w:pPr>
        <w:pStyle w:val="Heading3"/>
        <w:numPr>
          <w:ilvl w:val="0"/>
          <w:numId w:val="0"/>
        </w:numPr>
        <w:ind w:hanging="0" w:start="720"/>
        <w:rPr/>
      </w:pPr>
      <w:bookmarkStart w:id="235" w:name="_Toc235565069"/>
      <w:r>
        <w:rPr/>
        <w:t>A.10.3.3. Pertinência direta para o tema da tese</w:t>
      </w:r>
      <w:bookmarkEnd w:id="235"/>
    </w:p>
    <w:p>
      <w:pPr>
        <w:pStyle w:val="TextoNormal-IPCA"/>
        <w:keepNext w:val="true"/>
        <w:rPr/>
      </w:pPr>
      <w:r>
        <w:rPr/>
      </w:r>
    </w:p>
    <w:p>
      <w:pPr>
        <w:pStyle w:val="TextoNormal-IPCA"/>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r>
        <w:br w:type="page"/>
      </w:r>
    </w:p>
    <w:p>
      <w:pPr>
        <w:pStyle w:val="TtulosPrembulo-IPCA"/>
        <w:spacing w:before="0" w:after="120"/>
        <w:contextualSpacing/>
        <w:rPr/>
      </w:pPr>
      <w:bookmarkStart w:id="236" w:name="_Toc235565070"/>
      <w:r>
        <w:rPr/>
        <w:t>Anexo B — Avaliação do processo paramétrico e da interface da plataforma HandFab</w:t>
      </w:r>
      <w:bookmarkEnd w:id="236"/>
    </w:p>
    <w:p>
      <w:pPr>
        <w:pStyle w:val="TextoNormal-IPCA"/>
        <w:keepNext w:val="true"/>
        <w:rPr/>
      </w:pPr>
      <w:r>
        <w:rPr/>
      </w:r>
    </w:p>
    <w:p>
      <w:pPr>
        <w:pStyle w:val="TtulosPrembulo-IPCA"/>
        <w:rPr/>
      </w:pPr>
      <w:bookmarkStart w:id="237" w:name="_Toc235565071"/>
      <w:r>
        <w:rPr/>
        <w:t>Índice do Anexo B</w:t>
      </w:r>
      <w:bookmarkEnd w:id="237"/>
    </w:p>
    <w:p>
      <w:pPr>
        <w:pStyle w:val="ndicedoAnexo2"/>
        <w:rPr/>
      </w:pPr>
      <w:r>
        <w:rPr/>
        <w:t>B.1 Finalidade</w:t>
        <w:tab/>
        <w:t>160</w:t>
      </w:r>
    </w:p>
    <w:p>
      <w:pPr>
        <w:pStyle w:val="ndicedoAnexo2"/>
        <w:rPr/>
      </w:pPr>
      <w:r>
        <w:rPr/>
        <w:t>B.2 Âmbito e limites</w:t>
        <w:tab/>
        <w:t>161</w:t>
      </w:r>
    </w:p>
    <w:p>
      <w:pPr>
        <w:pStyle w:val="ndicedoAnexo2"/>
        <w:rPr/>
      </w:pPr>
      <w:r>
        <w:rPr/>
        <w:t>B.3 Procedimento</w:t>
        <w:tab/>
        <w:t>161</w:t>
      </w:r>
    </w:p>
    <w:p>
      <w:pPr>
        <w:pStyle w:val="ndicedoAnexo2"/>
        <w:rPr/>
      </w:pPr>
      <w:r>
        <w:rPr/>
        <w:t>B.4 Resultados de consistência da geração</w:t>
        <w:tab/>
        <w:t>161</w:t>
      </w:r>
    </w:p>
    <w:p>
      <w:pPr>
        <w:pStyle w:val="ndicedoAnexo3"/>
        <w:tabs>
          <w:tab w:val="clear" w:pos="708"/>
          <w:tab w:val="right" w:pos="8204" w:leader="dot"/>
        </w:tabs>
        <w:rPr/>
      </w:pPr>
      <w:r>
        <w:rPr/>
        <w:t>B.4.1 Repetição da mesma configuração</w:t>
        <w:tab/>
        <w:t>162</w:t>
      </w:r>
    </w:p>
    <w:p>
      <w:pPr>
        <w:pStyle w:val="ndicedoAnexo3"/>
        <w:tabs>
          <w:tab w:val="clear" w:pos="708"/>
          <w:tab w:val="right" w:pos="8204" w:leader="dot"/>
        </w:tabs>
        <w:rPr/>
      </w:pPr>
      <w:r>
        <w:rPr/>
        <w:t>B.4.2 Comparação entre navegadores</w:t>
        <w:tab/>
        <w:t>162</w:t>
      </w:r>
    </w:p>
    <w:p>
      <w:pPr>
        <w:pStyle w:val="ndicedoAnexo2"/>
        <w:rPr/>
      </w:pPr>
      <w:r>
        <w:rPr/>
        <w:t>B.5 Resultados de recuperação e controlo</w:t>
        <w:tab/>
        <w:t>163</w:t>
      </w:r>
    </w:p>
    <w:p>
      <w:pPr>
        <w:pStyle w:val="ndicedoAnexo2"/>
        <w:rPr/>
      </w:pPr>
      <w:r>
        <w:rPr/>
        <w:t>B.6 Resultados da verificação de acessibilidade digital</w:t>
        <w:tab/>
        <w:t>164</w:t>
      </w:r>
    </w:p>
    <w:p>
      <w:pPr>
        <w:pStyle w:val="ndicedoAnexo3"/>
        <w:tabs>
          <w:tab w:val="clear" w:pos="708"/>
          <w:tab w:val="right" w:pos="8204" w:leader="dot"/>
        </w:tabs>
        <w:rPr/>
      </w:pPr>
      <w:r>
        <w:rPr/>
        <w:t>B.6.1 Percurso local autenticado</w:t>
        <w:tab/>
        <w:t>164</w:t>
      </w:r>
    </w:p>
    <w:p>
      <w:pPr>
        <w:pStyle w:val="ndicedoAnexo3"/>
        <w:tabs>
          <w:tab w:val="clear" w:pos="708"/>
          <w:tab w:val="right" w:pos="8204" w:leader="dot"/>
        </w:tabs>
        <w:rPr/>
      </w:pPr>
      <w:r>
        <w:rPr/>
        <w:t>B.6.2 Superfície pública</w:t>
        <w:tab/>
        <w:t>165</w:t>
      </w:r>
    </w:p>
    <w:p>
      <w:pPr>
        <w:pStyle w:val="ndicedoAnexo3"/>
        <w:tabs>
          <w:tab w:val="clear" w:pos="708"/>
          <w:tab w:val="right" w:pos="8204" w:leader="dot"/>
        </w:tabs>
        <w:rPr/>
      </w:pPr>
      <w:r>
        <w:rPr/>
        <w:t>B.6.3 Verificação manual complementar</w:t>
        <w:tab/>
        <w:t>165</w:t>
      </w:r>
    </w:p>
    <w:p>
      <w:pPr>
        <w:pStyle w:val="ndicedoAnexo2"/>
        <w:rPr/>
      </w:pPr>
      <w:r>
        <w:rPr/>
        <w:t xml:space="preserve">B.7 Aprendizagens para o </w:t>
      </w:r>
      <w:r>
        <w:rPr>
          <w:i/>
          <w:iCs/>
        </w:rPr>
        <w:t>Design</w:t>
      </w:r>
      <w:r>
        <w:rPr/>
        <w:t xml:space="preserve"> Industrial</w:t>
        <w:tab/>
        <w:t>159</w:t>
      </w:r>
    </w:p>
    <w:p>
      <w:pPr>
        <w:pStyle w:val="ndicedoAnexo2"/>
        <w:rPr/>
      </w:pPr>
      <w:r>
        <w:rPr/>
        <w:t>B.8 Conclusão</w:t>
        <w:tab/>
        <w:t>167</w:t>
      </w:r>
    </w:p>
    <w:p>
      <w:pPr>
        <w:pStyle w:val="ndicedoAnexo2"/>
        <w:rPr/>
      </w:pPr>
      <w:r>
        <w:rPr/>
        <w:t>B.9 Referências normativas</w:t>
        <w:tab/>
        <w:t>167</w:t>
      </w:r>
    </w:p>
    <w:p>
      <w:pPr>
        <w:pStyle w:val="ndicedoAnexo2"/>
        <w:rPr/>
      </w:pPr>
      <w:r>
        <w:rPr/>
        <w:t>Tabela B.1 — Resultados da repetição da mesma configuração por modelo</w:t>
        <w:tab/>
        <w:t>162</w:t>
      </w:r>
    </w:p>
    <w:p>
      <w:pPr>
        <w:pStyle w:val="ndicedoAnexo2"/>
        <w:rPr/>
      </w:pPr>
      <w:r>
        <w:rPr/>
        <w:t>Tabela B.2 — Resultados do percurso examinado em três navegadores</w:t>
        <w:tab/>
        <w:t>162</w:t>
      </w:r>
    </w:p>
    <w:p>
      <w:pPr>
        <w:pStyle w:val="ndicedoAnexo2"/>
        <w:rPr/>
      </w:pPr>
      <w:r>
        <w:rPr/>
        <w:t>Tabela B.3 — Comportamento observado perante limites, entradas inválidas e falhas previstas</w:t>
        <w:tab/>
        <w:t>163</w:t>
      </w:r>
    </w:p>
    <w:p>
      <w:pPr>
        <w:pStyle w:val="ndicedoAnexo2"/>
        <w:rPr/>
      </w:pPr>
      <w:r>
        <w:rPr/>
        <w:t>Tabela B.4 — Categorias de problemas de acessibilidade digital detectadas automaticamente</w:t>
        <w:tab/>
        <w:t>165</w:t>
      </w:r>
    </w:p>
    <w:p>
      <w:pPr>
        <w:pStyle w:val="ndicedoAnexo2"/>
        <w:rPr/>
      </w:pPr>
      <w:r>
        <w:rPr/>
        <w:t>Tabela B.5 — Resultados da verificação manual complementar de acessibilidade</w:t>
        <w:tab/>
        <w:t>165</w:t>
      </w:r>
    </w:p>
    <w:p>
      <w:pPr>
        <w:pStyle w:val="TextoNormal-IPCA"/>
        <w:ind w:hanging="0"/>
        <w:rPr>
          <w:b/>
        </w:rPr>
      </w:pPr>
      <w:r>
        <w:rPr>
          <w:b/>
        </w:rPr>
      </w:r>
    </w:p>
    <w:p>
      <w:pPr>
        <w:pStyle w:val="Heading2"/>
        <w:numPr>
          <w:ilvl w:val="0"/>
          <w:numId w:val="0"/>
        </w:numPr>
        <w:ind w:hanging="0" w:start="0"/>
        <w:rPr/>
      </w:pPr>
      <w:bookmarkStart w:id="238" w:name="_Toc235565072"/>
      <w:r>
        <w:rPr/>
        <w:t>B.1 Finalidade</w:t>
      </w:r>
      <w:bookmarkEnd w:id="238"/>
    </w:p>
    <w:p>
      <w:pPr>
        <w:pStyle w:val="TextoNormal-IPCA"/>
        <w:keepNext w:val="true"/>
        <w:rPr/>
      </w:pPr>
      <w:r>
        <w:rPr/>
      </w:r>
    </w:p>
    <w:p>
      <w:pPr>
        <w:pStyle w:val="TextoNormal-IPCA"/>
        <w:rPr/>
      </w:pPr>
      <w:r>
        <w:rPr/>
        <w:t xml:space="preserve">Este anexo documenta uma avaliação complementar da plataforma HandFab centrada em questões relevantes para o </w:t>
      </w:r>
      <w:r>
        <w:rPr>
          <w:i/>
          <w:iCs/>
        </w:rPr>
        <w:t>Design</w:t>
      </w:r>
      <w:r>
        <w:rPr/>
        <w:t xml:space="preserve"> Industrial. Não se pretendeu certificar o programa informático, mas examinar se o processo de configuração é suficientemente previsível para apoiar a atividade de projeto, se preserva o trabalho realizado perante entradas problemáticas ou falhas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bookmarkStart w:id="239" w:name="_Toc235565073"/>
      <w:r>
        <w:rPr/>
        <w:t>B.2 Âmbito e limites</w:t>
      </w:r>
      <w:bookmarkEnd w:id="239"/>
    </w:p>
    <w:p>
      <w:pPr>
        <w:pStyle w:val="TextoNormal-IPCA"/>
        <w:keepNext w:val="true"/>
        <w:rPr/>
      </w:pPr>
      <w:r>
        <w:rPr/>
      </w:r>
    </w:p>
    <w:p>
      <w:pPr>
        <w:pStyle w:val="TextoNormal-IPCA"/>
        <w:rPr/>
      </w:pPr>
      <w:r>
        <w:rPr/>
        <w:t>Os ensaios locais decorreram numa cópia isolada da plataforma e utilizaram exclusivamente perfis de ensaio. Na plataforma pública, examinou-se apenas a página de entrada, sem autenticação nem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bookmarkStart w:id="240" w:name="_Toc235565074"/>
      <w:r>
        <w:rPr/>
        <w:t>B.3 Procedimento</w:t>
      </w:r>
      <w:bookmarkEnd w:id="240"/>
    </w:p>
    <w:p>
      <w:pPr>
        <w:pStyle w:val="TextoNormal-IPCA"/>
        <w:keepNext w:val="true"/>
        <w:rPr/>
      </w:pPr>
      <w:r>
        <w:rPr/>
      </w:r>
    </w:p>
    <w:p>
      <w:pPr>
        <w:pStyle w:val="TextoNormal-IPCA"/>
        <w:rPr/>
      </w:pPr>
      <w:r>
        <w:rPr/>
        <w:t>Foram definidas configurações de referência para o Flexy Beast, o Paraglider Hand e a UnLimbited Phoenix. Estava prevista a geração e exportação de cada configuração dez vezes. Os ficheiros concluídos foram comparados quanto à identidade do conteúdo e às principais características geométricas.</w:t>
      </w:r>
    </w:p>
    <w:p>
      <w:pPr>
        <w:pStyle w:val="TextoNormal-IPCA"/>
        <w:rPr/>
      </w:pPr>
      <w:r>
        <w:rPr/>
        <w:t>Uma configuração da UnLimbited Phoenix foi também executada em três navegadores, para verificar se o percurso produzia a mesma geometria em ambientes de visualização distintos.</w:t>
      </w:r>
    </w:p>
    <w:p>
      <w:pPr>
        <w:pStyle w:val="TextoNormal-IPCA"/>
        <w:rPr/>
      </w:pPr>
      <w:r>
        <w:rPr/>
        <w:t>Os cenários de controlo abrangeram vários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Testaram-se também falhas operacionais, designadamente a indisponibilidade da sugestão de IA, uma resposta inválida, uma falha na geração da geometria e uma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decorreu em 2 de julho de 2026, às 16:02, em Linux e Firefox 152.0.6 (64-bit), tanto na instância local em localhost:3000 como na plataforma pública handfab.pedrocandeias.net. No percurso com leitor de ecrã, utilizou-se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bookmarkStart w:id="241" w:name="_Toc235565075"/>
      <w:r>
        <w:rPr/>
        <w:t>B.4 Resultados de consistência da geração</w:t>
      </w:r>
      <w:bookmarkEnd w:id="241"/>
    </w:p>
    <w:p>
      <w:pPr>
        <w:pStyle w:val="TextoNormal-IPCA"/>
        <w:keepNext w:val="true"/>
        <w:rPr/>
      </w:pPr>
      <w:r>
        <w:rPr/>
      </w:r>
    </w:p>
    <w:p>
      <w:pPr>
        <w:pStyle w:val="Heading3"/>
        <w:numPr>
          <w:ilvl w:val="0"/>
          <w:numId w:val="0"/>
        </w:numPr>
        <w:ind w:hanging="0" w:start="0"/>
        <w:rPr/>
      </w:pPr>
      <w:bookmarkStart w:id="242" w:name="_Toc235565076"/>
      <w:r>
        <w:rPr/>
        <w:t>B.4.1 Repetição da mesma configuração</w:t>
      </w:r>
      <w:bookmarkEnd w:id="242"/>
    </w:p>
    <w:p>
      <w:pPr>
        <w:pStyle w:val="TextoNormal-IPCA"/>
        <w:keepNext w:val="true"/>
        <w:rPr/>
      </w:pPr>
      <w:r>
        <w:rPr/>
      </w:r>
    </w:p>
    <w:p>
      <w:pPr>
        <w:pStyle w:val="Caption"/>
        <w:keepNext w:val="true"/>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Consistente nas conclusões; critério integral não atingido</w:t>
            </w:r>
          </w:p>
        </w:tc>
      </w:tr>
    </w:tbl>
    <w:p>
      <w:pPr>
        <w:pStyle w:val="TextoNormal-IPCA"/>
        <w:rPr/>
      </w:pPr>
      <w:r>
        <w:rPr/>
      </w:r>
    </w:p>
    <w:p>
      <w:pPr>
        <w:pStyle w:val="TextoNormal-IPCA"/>
        <w:rPr/>
      </w:pPr>
      <w:r>
        <w:rPr/>
        <w:t>Em cada modelo, todas as execuções concluídas produziram um único ficheiro distinto: o conteúdo binário, as dimensões, o número de faces e as restantes métricas registadas mantiveram-se iguais. Algumas execuções foram interrompidas por bloqueios e tempos-limite no ambiente de ensaio. Como não se obtiveram as dez conclusões previstas por modelo, o resultado global é classificado como parcial, não constituindo uma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uma superfície aberta; e a UnLimbited Phoenix apresentou faces degeneradas, arestas não conformes e uma superfície aberta. A repetição confirmou a produção da mesma geometria, incluindo os seus limites.</w:t>
      </w:r>
    </w:p>
    <w:p>
      <w:pPr>
        <w:pStyle w:val="TextoNormal-IPCA"/>
        <w:rPr/>
      </w:pPr>
      <w:r>
        <w:rPr/>
      </w:r>
    </w:p>
    <w:p>
      <w:pPr>
        <w:pStyle w:val="Heading3"/>
        <w:numPr>
          <w:ilvl w:val="0"/>
          <w:numId w:val="0"/>
        </w:numPr>
        <w:ind w:hanging="0" w:start="0"/>
        <w:rPr/>
      </w:pPr>
      <w:bookmarkStart w:id="243" w:name="_Toc235565077"/>
      <w:r>
        <w:rPr/>
        <w:t>B.4.2 Comparação entre navegadores</w:t>
      </w:r>
      <w:bookmarkEnd w:id="243"/>
    </w:p>
    <w:p>
      <w:pPr>
        <w:pStyle w:val="TextoNormal-IPCA"/>
        <w:keepNext w:val="true"/>
        <w:rPr/>
      </w:pPr>
      <w:r>
        <w:rPr/>
      </w:r>
    </w:p>
    <w:p>
      <w:pPr>
        <w:pStyle w:val="Caption"/>
        <w:keepNext w:val="true"/>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Percurso interrompido na autenticação; resultado inconclusivo</w:t>
            </w:r>
          </w:p>
        </w:tc>
      </w:tr>
    </w:tbl>
    <w:p>
      <w:pPr>
        <w:pStyle w:val="TextoNormal-IPCA"/>
        <w:rPr/>
      </w:pPr>
      <w:r>
        <w:rPr/>
      </w:r>
    </w:p>
    <w:p>
      <w:pPr>
        <w:pStyle w:val="TextoNormal-IPCA"/>
        <w:rPr/>
      </w:pPr>
      <w:r>
        <w:rPr/>
        <w:t>A primeira tentativa com WebKit foi anulada porque o próprio instrumento de ensaio aplicou ao navegador uma opção destinada ao Chromium. Após a correção, o WebKit iniciou, mas o formulário de autenticação permaneceu oculto e o percurso não chegou à geometria. Assim, não se demonstrou nem uma incompatibilidade da plataforma nem a sua compatibilidade com WebKit.</w:t>
      </w:r>
    </w:p>
    <w:p>
      <w:pPr>
        <w:pStyle w:val="TextoNormal-IPCA"/>
        <w:rPr/>
      </w:pPr>
      <w:r>
        <w:rPr/>
      </w:r>
    </w:p>
    <w:p>
      <w:pPr>
        <w:pStyle w:val="Heading2"/>
        <w:numPr>
          <w:ilvl w:val="0"/>
          <w:numId w:val="0"/>
        </w:numPr>
        <w:ind w:hanging="0" w:start="0"/>
        <w:rPr/>
      </w:pPr>
      <w:bookmarkStart w:id="244" w:name="_Toc235565078"/>
      <w:r>
        <w:rPr/>
        <w:t>B.5 Resultados de recuperação e controlo</w:t>
      </w:r>
      <w:bookmarkEnd w:id="244"/>
    </w:p>
    <w:p>
      <w:pPr>
        <w:pStyle w:val="TextoNormal-IPCA"/>
        <w:keepNext w:val="true"/>
        <w:rPr/>
      </w:pPr>
      <w:r>
        <w:rPr/>
      </w:r>
    </w:p>
    <w:p>
      <w:pPr>
        <w:pStyle w:val="Caption"/>
        <w:keepNext w:val="true"/>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 xml:space="preserve">Leitura para o processo de </w:t>
            </w:r>
            <w:r>
              <w:rPr>
                <w:b/>
                <w:bCs/>
                <w:i/>
                <w:iCs/>
                <w:sz w:val="20"/>
                <w:szCs w:val="20"/>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Rejeitados no pedido direto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limite do modelo atuou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País sem cobertura direta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Selecionado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 ausência de correspondência nacional não foi apresentada como correspondência direta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sz w:val="20"/>
                <w:szCs w:val="20"/>
              </w:rPr>
            </w:pPr>
            <w:r>
              <w:rPr>
                <w:sz w:val="20"/>
                <w:szCs w:val="20"/>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Rejeitado pela interface, mas aceite pelo pedido direto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sz w:val="20"/>
                <w:szCs w:val="20"/>
              </w:rPr>
            </w:pPr>
            <w:r>
              <w:rPr>
                <w:sz w:val="20"/>
                <w:szCs w:val="20"/>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Detetada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sz w:val="20"/>
                <w:szCs w:val="20"/>
              </w:rPr>
            </w:pPr>
            <w:r>
              <w:rPr>
                <w:sz w:val="20"/>
                <w:szCs w:val="20"/>
              </w:rPr>
              <w:t>A deteção não impediu a aplicação e exige correção</w:t>
            </w:r>
          </w:p>
        </w:tc>
      </w:tr>
    </w:tbl>
    <w:p>
      <w:pPr>
        <w:pStyle w:val="TextoNormal-IPCA"/>
        <w:rPr/>
      </w:pPr>
      <w:r>
        <w:rPr/>
      </w:r>
    </w:p>
    <w:p>
      <w:pPr>
        <w:pStyle w:val="TextoNormal-IPCA"/>
        <w:rPr/>
      </w:pPr>
      <w:r>
        <w:rPr/>
        <w:t>Os resultados mostram que, na maioria das situações previstas, o estado válido foi preservado ou pôde ser recuperado. Contudo, as duas últimas situações constituem fragilidades relevantes: uma salvaguarda visual é insuficiente se o mesmo valor puder ser introduzido noutra etapa, e a mera deteção de um limite não protege a geometria caso a sugestão continue a ser aplicada. A decisão de projeto daí resultante consiste em concentrar a verificação antes de qualquer valor ser guardado ou enviado ao modelo paramétrico.</w:t>
      </w:r>
    </w:p>
    <w:p>
      <w:pPr>
        <w:pStyle w:val="TextoNormal-IPCA"/>
        <w:rPr/>
      </w:pPr>
      <w:r>
        <w:rPr/>
        <w:t>Os ensaios relativos à IA recorreram a respostas simuladas e controladas. Estes ensaios confirmam o comportamento da interface perante as respostas previstas, mas não medem a estabilidade, a dispersão ou a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bookmarkStart w:id="245" w:name="_Toc235565079"/>
      <w:r>
        <w:rPr/>
        <w:t>B.6 Resultados da verificação de acessibilidade digital</w:t>
      </w:r>
      <w:bookmarkEnd w:id="245"/>
    </w:p>
    <w:p>
      <w:pPr>
        <w:pStyle w:val="TextoNormal-IPCA"/>
        <w:keepNext w:val="true"/>
        <w:rPr/>
      </w:pPr>
      <w:r>
        <w:rPr/>
      </w:r>
    </w:p>
    <w:p>
      <w:pPr>
        <w:pStyle w:val="Heading3"/>
        <w:numPr>
          <w:ilvl w:val="0"/>
          <w:numId w:val="0"/>
        </w:numPr>
        <w:ind w:hanging="0" w:start="0"/>
        <w:rPr/>
      </w:pPr>
      <w:bookmarkStart w:id="246" w:name="_Toc235565080"/>
      <w:r>
        <w:rPr/>
        <w:t>B.6.1 Percurso local autenticado</w:t>
      </w:r>
      <w:bookmarkEnd w:id="246"/>
    </w:p>
    <w:p>
      <w:pPr>
        <w:pStyle w:val="TextoNormal-IPCA"/>
        <w:keepNext w:val="true"/>
        <w:rPr/>
      </w:pPr>
      <w:r>
        <w:rPr/>
      </w:r>
    </w:p>
    <w:p>
      <w:pPr>
        <w:pStyle w:val="TextoNormal-IPCA"/>
        <w:rPr/>
      </w:pPr>
      <w:r>
        <w:rPr/>
        <w:t>Foram examinados oito estados da interface. O total de treze ocorrências resulta da soma das regras assinaladas em cada estado, não correspondendo a treze tipos distintos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rPr/>
      </w:pPr>
      <w:r>
        <w:rPr/>
        <w:t>Tabela B.4 — Categorias de problemas de acessibilidade digital detetadas automaticamente</w:t>
      </w:r>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62"/>
        <w:gridCol w:w="2238"/>
        <w:gridCol w:w="1449"/>
        <w:gridCol w:w="3051"/>
      </w:tblGrid>
      <w:tr>
        <w:trPr>
          <w:tblHeader w:val="true"/>
          <w:cantSplit/>
        </w:trPr>
        <w:tc>
          <w:tcPr>
            <w:tcW w:w="22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Categoria</w:t>
            </w:r>
          </w:p>
        </w:tc>
        <w:tc>
          <w:tcPr>
            <w:tcW w:w="22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Gravidade indicada pelo instrumento</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Estados afetados</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 xml:space="preserve">Consequência de </w:t>
            </w:r>
            <w:r>
              <w:rPr>
                <w:b/>
                <w:bCs/>
                <w:i/>
                <w:iCs/>
                <w:sz w:val="20"/>
                <w:szCs w:val="20"/>
              </w:rPr>
              <w:t>design</w:t>
            </w:r>
          </w:p>
        </w:tc>
      </w:tr>
      <w:tr>
        <w:trPr>
          <w:cantSplit/>
        </w:trPr>
        <w:tc>
          <w:tcPr>
            <w:tcW w:w="22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Contraste de cor insuficiente</w:t>
            </w:r>
          </w:p>
        </w:tc>
        <w:tc>
          <w:tcPr>
            <w:tcW w:w="22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Grave</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8</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Texto e controlos podem perder legibilidade para pessoas com baixa visão ou em condições visuais desfavoráveis</w:t>
            </w:r>
          </w:p>
        </w:tc>
      </w:tr>
      <w:tr>
        <w:trPr>
          <w:cantSplit/>
        </w:trPr>
        <w:tc>
          <w:tcPr>
            <w:tcW w:w="22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Rótulo não associado ao controlo</w:t>
            </w:r>
          </w:p>
        </w:tc>
        <w:tc>
          <w:tcPr>
            <w:tcW w:w="22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Crítica</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3</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significado de campos e cursores pode não ser comunicado por tecnologias de apoio</w:t>
            </w:r>
          </w:p>
        </w:tc>
      </w:tr>
      <w:tr>
        <w:trPr>
          <w:cantSplit/>
        </w:trPr>
        <w:tc>
          <w:tcPr>
            <w:tcW w:w="22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Elementos interativos aninhados</w:t>
            </w:r>
          </w:p>
        </w:tc>
        <w:tc>
          <w:tcPr>
            <w:tcW w:w="22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Grave</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Pode originar foco e ativação ambíguos</w:t>
            </w:r>
          </w:p>
        </w:tc>
      </w:tr>
      <w:tr>
        <w:trPr>
          <w:cantSplit/>
        </w:trPr>
        <w:tc>
          <w:tcPr>
            <w:tcW w:w="22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Elemento de seleção sem nome acessível</w:t>
            </w:r>
          </w:p>
        </w:tc>
        <w:tc>
          <w:tcPr>
            <w:tcW w:w="22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Crítica</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 função do controlo pode não ser identificável fora da apresentação visual</w:t>
            </w:r>
          </w:p>
        </w:tc>
      </w:tr>
    </w:tbl>
    <w:p>
      <w:pPr>
        <w:pStyle w:val="TextoNormal-IPCA"/>
        <w:rPr/>
      </w:pPr>
      <w:r>
        <w:rPr/>
      </w:r>
    </w:p>
    <w:p>
      <w:pPr>
        <w:pStyle w:val="TextoNormal-IPCA"/>
        <w:rPr/>
      </w:pPr>
      <w:r>
        <w:rPr/>
        <w:t>As ocorrências abrangeram 47 elementos relativos ao contraste, 21 à associação de rótulos, quatro elementos interativos aninhados e um elemento de seleção sem nome. Alguns elementos surgem em mais do que um estado, pelo que estas contagens não representam necessariamente componentes únicos.</w:t>
      </w:r>
    </w:p>
    <w:p>
      <w:pPr>
        <w:pStyle w:val="TextoNormal-IPCA"/>
        <w:rPr/>
      </w:pPr>
      <w:r>
        <w:rPr/>
      </w:r>
    </w:p>
    <w:p>
      <w:pPr>
        <w:pStyle w:val="Heading3"/>
        <w:numPr>
          <w:ilvl w:val="0"/>
          <w:numId w:val="0"/>
        </w:numPr>
        <w:ind w:hanging="0" w:start="0"/>
        <w:rPr/>
      </w:pPr>
      <w:bookmarkStart w:id="247" w:name="_Toc235565081"/>
      <w:r>
        <w:rPr/>
        <w:t>B.6.2 Superfície pública</w:t>
      </w:r>
      <w:bookmarkEnd w:id="247"/>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restringe-se à página de entrada e não pode ser generalizado ao painel autenticado nem ao percurso de configuração.</w:t>
      </w:r>
    </w:p>
    <w:p>
      <w:pPr>
        <w:pStyle w:val="TextoNormal-IPCA"/>
        <w:rPr/>
      </w:pPr>
      <w:r>
        <w:rPr/>
      </w:r>
    </w:p>
    <w:p>
      <w:pPr>
        <w:pStyle w:val="Heading3"/>
        <w:numPr>
          <w:ilvl w:val="0"/>
          <w:numId w:val="0"/>
        </w:numPr>
        <w:ind w:hanging="0" w:start="0"/>
        <w:rPr/>
      </w:pPr>
      <w:bookmarkStart w:id="248" w:name="_Toc235565082"/>
      <w:r>
        <w:rPr/>
        <w:t>B.6.3 Verificação manual complementar</w:t>
      </w:r>
      <w:bookmarkEnd w:id="248"/>
    </w:p>
    <w:p>
      <w:pPr>
        <w:pStyle w:val="TextoNormal-IPCA"/>
        <w:keepNext w:val="true"/>
        <w:rPr/>
      </w:pPr>
      <w:r>
        <w:rPr/>
      </w:r>
    </w:p>
    <w:p>
      <w:pPr>
        <w:pStyle w:val="TextoNormal-IPCA"/>
        <w:rPr/>
      </w:pPr>
      <w:r>
        <w:rPr/>
        <w:t xml:space="preserve">A grelha manual incluiu doze verificações, das quais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 o Orca, a ordenação dos campos não foi sempre suficientemente clara para orientar a sequência de interação.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Uma vez que a versão, o ramo e o identificador da revisão da sessão manual não foram registados, os dois resultados são apresentados lado a lado, mantendo-se o contraste como prioridade de correção. A avaliação manual complementa a verificação automática, mas não permite emitir uma declaração global de conformidade com as WCAG 2.2, nem substitui uma avaliação com participantes.</w:t>
      </w:r>
    </w:p>
    <w:p>
      <w:pPr>
        <w:pStyle w:val="TextoNormal-IPCA"/>
        <w:rPr/>
      </w:pPr>
      <w:r>
        <w:rPr/>
      </w:r>
    </w:p>
    <w:p>
      <w:pPr>
        <w:pStyle w:val="Heading2"/>
        <w:numPr>
          <w:ilvl w:val="0"/>
          <w:numId w:val="0"/>
        </w:numPr>
        <w:ind w:hanging="0" w:start="0"/>
        <w:rPr/>
      </w:pPr>
      <w:bookmarkStart w:id="249" w:name="_Toc235565083"/>
      <w:r>
        <w:rPr/>
        <w:t xml:space="preserve">B.7 Aprendizagens para o </w:t>
      </w:r>
      <w:r>
        <w:rPr>
          <w:i/>
          <w:iCs/>
        </w:rPr>
        <w:t>Design</w:t>
      </w:r>
      <w:r>
        <w:rPr/>
        <w:t xml:space="preserve"> Industrial</w:t>
      </w:r>
      <w:bookmarkEnd w:id="249"/>
    </w:p>
    <w:p>
      <w:pPr>
        <w:pStyle w:val="TextoNormal-IPCA"/>
        <w:keepNext w:val="true"/>
        <w:rPr/>
      </w:pPr>
      <w:r>
        <w:rPr/>
      </w:r>
    </w:p>
    <w:p>
      <w:pPr>
        <w:pStyle w:val="TextoNormal-IPCA"/>
        <w:rPr/>
      </w:pPr>
      <w:r>
        <w:rPr/>
        <w:t>A consistência deve ser demonstrada ao longo de toda a cadeia de geração. A coincidência entre ficheiros gerados constitui um indicador útil, mas deve ser interpretada em conjunto com a taxa de conclusão do processo e a qualidade geométrica dos modelos produzidos.</w:t>
      </w:r>
    </w:p>
    <w:p>
      <w:pPr>
        <w:pStyle w:val="TextoNormal-IPCA"/>
        <w:rPr/>
      </w:pPr>
      <w:r>
        <w:rPr/>
        <w:t>Os limites paramétricos devem ser visíveis e atuar em todas as etapas do sistema. Restringir um controlo da interface é insuficiente se o mesmo valor puder ser aceite, guardado ou aplicado por outro percurso.</w:t>
      </w:r>
    </w:p>
    <w:p>
      <w:pPr>
        <w:pStyle w:val="TextoNormal-IPCA"/>
        <w:rPr/>
      </w:pPr>
      <w:r>
        <w:rPr/>
        <w:t>A recuperação de falhas protege a continuidade do trabalho de projeto. Preservar a última configuração válida, explicar a falha e permitir uma nova tentativa reduz a perda de trabalho durante a exploração de alternativas.</w:t>
      </w:r>
    </w:p>
    <w:p>
      <w:pPr>
        <w:pStyle w:val="TextoNormal-IPCA"/>
        <w:rPr/>
      </w:pPr>
      <w:r>
        <w:rPr/>
        <w:t>A acessibilidade deve constituir um requisito verificável da interface. O contraste, as etiquetas textuais, o foco, os nomes acessíveis e as alternativas à visualização tridimensional devem integrar os critérios de avaliação do sistema.</w:t>
      </w:r>
    </w:p>
    <w:p>
      <w:pPr>
        <w:pStyle w:val="TextoNormal-IPCA"/>
        <w:rPr/>
      </w:pPr>
      <w:r>
        <w:rPr/>
        <w:t>A compatibilidade técnica não deve ser presumida. A conclusão do percurso em dois navegadores demonstra que este funciona nesses ambientes, mas não permite generalizar o resultado a todos os contextos de utilização. O percurso incompleto em WebKit deve, por isso, continuar identificado como questão em aberto.</w:t>
      </w:r>
    </w:p>
    <w:p>
      <w:pPr>
        <w:pStyle w:val="TextoNormal-IPCA"/>
        <w:rPr/>
      </w:pPr>
      <w:r>
        <w:rPr/>
        <w:t>A IA deve ser limitada antes de os valores serem aplicados ao modelo. Embora as sugestões possam apoiar a exploração inicial, a geometria só deve receber valores previamente verificados pelas regras determinísticas do sistema.</w:t>
      </w:r>
    </w:p>
    <w:p>
      <w:pPr>
        <w:pStyle w:val="BodyText"/>
        <w:suppressAutoHyphens w:val="true"/>
        <w:spacing w:lineRule="auto" w:line="360" w:before="0" w:after="0"/>
        <w:rPr/>
      </w:pPr>
      <w:r>
        <w:rPr/>
      </w:r>
    </w:p>
    <w:p>
      <w:pPr>
        <w:pStyle w:val="Heading2"/>
        <w:numPr>
          <w:ilvl w:val="0"/>
          <w:numId w:val="0"/>
        </w:numPr>
        <w:ind w:hanging="0" w:start="0"/>
        <w:rPr/>
      </w:pPr>
      <w:bookmarkStart w:id="250" w:name="_Toc235565084"/>
      <w:r>
        <w:rPr/>
        <w:t>B.8 Conclusão</w:t>
      </w:r>
      <w:bookmarkEnd w:id="250"/>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recuperá-lo. Revelam também fragilidades concretas na aplicação uniforme dos limites, na aceitação de tipos de dados e na acessibilidade da interface. Na verificação manual, sete dos doze critérios foram classificados como conformes e cinco como não conformes. Foram ainda identificados problemas na ordem e descrição dos campos, na reformulação em ampliação elevada e na ausência de uma alternativa textual ao visualizador tridimensional.</w:t>
      </w:r>
    </w:p>
    <w:p>
      <w:pPr>
        <w:pStyle w:val="TextoNormal-IPCA"/>
        <w:rPr/>
      </w:pPr>
      <w:r>
        <w:rPr/>
        <w:t>O resultado não permite afirmar, em termos gerais, que a plataforma é robusta, acessível ou compatível com todos os navegadores. Permite apenas uma formulação mais delimitada: nos casos examinados, o processo apresentou consistência nas geometrias concluídas, recuperou de várias falhas previstas e permitiu identificar prioridades objetivas para a revisão da interface e das salvaguardas paramétricas.</w:t>
      </w:r>
    </w:p>
    <w:p>
      <w:pPr>
        <w:pStyle w:val="TextoNormal-IPCA"/>
        <w:rPr/>
      </w:pPr>
      <w:r>
        <w:rPr/>
      </w:r>
    </w:p>
    <w:p>
      <w:pPr>
        <w:pStyle w:val="Heading2"/>
        <w:numPr>
          <w:ilvl w:val="0"/>
          <w:numId w:val="0"/>
        </w:numPr>
        <w:ind w:hanging="0" w:start="0"/>
        <w:rPr>
          <w:lang w:val="en-US"/>
        </w:rPr>
      </w:pPr>
      <w:bookmarkStart w:id="251" w:name="_Toc235565085"/>
      <w:r>
        <w:rPr>
          <w:lang w:val="en-US"/>
        </w:rPr>
        <w:t>B.9 Referências normativas</w:t>
      </w:r>
      <w:bookmarkEnd w:id="251"/>
    </w:p>
    <w:p>
      <w:pPr>
        <w:pStyle w:val="TextoNormal-IPCA"/>
        <w:keepNext w:val="true"/>
        <w:rPr>
          <w:lang w:val="en-US"/>
        </w:rPr>
      </w:pPr>
      <w:r>
        <w:rPr>
          <w:lang w:val="en-US"/>
        </w:rPr>
      </w:r>
    </w:p>
    <w:p>
      <w:pPr>
        <w:pStyle w:val="TextoNormal-IPCA"/>
        <w:rPr>
          <w:lang w:val="en-US"/>
        </w:rPr>
      </w:pPr>
      <w:r>
        <w:rPr>
          <w:lang w:val="en-US"/>
        </w:rPr>
        <w:t xml:space="preserve">- World Wide </w:t>
      </w:r>
      <w:r>
        <w:rPr>
          <w:i/>
          <w:iCs/>
          <w:lang w:val="en-US"/>
        </w:rPr>
        <w:t>Web</w:t>
      </w:r>
      <w:r>
        <w:rPr>
          <w:lang w:val="en-US"/>
        </w:rPr>
        <w:t xml:space="preserve"> Consortium. (2024). </w:t>
      </w:r>
      <w:r>
        <w:rPr>
          <w:i/>
          <w:lang w:val="en-US"/>
        </w:rPr>
        <w:t>Web Content Accessibility Guidelines (WCAG) 2.2</w:t>
      </w:r>
      <w:r>
        <w:rPr>
          <w:lang w:val="en-US"/>
        </w:rPr>
        <w:t>. https://www.w3.org/TR/WCAG22/</w:t>
      </w:r>
    </w:p>
    <w:p>
      <w:pPr>
        <w:pStyle w:val="TextoNormal-IPCA"/>
        <w:rPr>
          <w:lang w:val="en-US"/>
        </w:rPr>
      </w:pPr>
      <w:r>
        <w:rPr>
          <w:lang w:val="en-US"/>
        </w:rPr>
        <w:t xml:space="preserve">- World Wide </w:t>
      </w:r>
      <w:r>
        <w:rPr>
          <w:i/>
          <w:iCs/>
          <w:lang w:val="en-US"/>
        </w:rPr>
        <w:t>Web</w:t>
      </w:r>
      <w:r>
        <w:rPr>
          <w:lang w:val="en-US"/>
        </w:rPr>
        <w:t xml:space="preserve"> Consortium. (2014). </w:t>
      </w:r>
      <w:r>
        <w:rPr>
          <w:i/>
          <w:lang w:val="en-US"/>
        </w:rPr>
        <w:t>Website Accessibility Conformance Evaluation Methodology (WCAG-EM) 1.0</w:t>
      </w:r>
      <w:r>
        <w:rPr>
          <w:lang w:val="en-US"/>
        </w:rPr>
        <w:t>. https://www.w3.org/TR/WCAG-EM/</w:t>
      </w:r>
      <w:r>
        <w:br w:type="page"/>
      </w:r>
    </w:p>
    <w:p>
      <w:pPr>
        <w:pStyle w:val="TtulosPrembulo-IPCA"/>
        <w:spacing w:before="0" w:after="120"/>
        <w:contextualSpacing/>
        <w:rPr/>
      </w:pPr>
      <w:bookmarkStart w:id="252" w:name="_Toc235565086"/>
      <w:r>
        <w:rPr/>
        <w:t>Anexo C — Adaptação paramétrica dos modelos de mão protésica</w:t>
      </w:r>
      <w:bookmarkEnd w:id="252"/>
    </w:p>
    <w:p>
      <w:pPr>
        <w:pStyle w:val="TextoNormal-IPCA"/>
        <w:keepNext w:val="true"/>
        <w:rPr/>
      </w:pPr>
      <w:r>
        <w:rPr/>
      </w:r>
    </w:p>
    <w:p>
      <w:pPr>
        <w:pStyle w:val="TtulosPrembulo-IPCA"/>
        <w:rPr/>
      </w:pPr>
      <w:bookmarkStart w:id="253" w:name="_Toc235565087"/>
      <w:r>
        <w:rPr/>
        <w:t>Índice do Anexo C</w:t>
      </w:r>
      <w:bookmarkEnd w:id="253"/>
    </w:p>
    <w:p>
      <w:pPr>
        <w:pStyle w:val="ndicedoAnexo2"/>
        <w:rPr/>
      </w:pPr>
      <w:r>
        <w:rPr/>
        <w:t>C.1 Objectivo e âmbito</w:t>
        <w:tab/>
        <w:t>171</w:t>
      </w:r>
    </w:p>
    <w:p>
      <w:pPr>
        <w:pStyle w:val="ndicedoAnexo2"/>
        <w:rPr/>
      </w:pPr>
      <w:r>
        <w:rPr/>
        <w:t>C.2 Princípio comum de adaptação</w:t>
        <w:tab/>
        <w:t>171</w:t>
      </w:r>
    </w:p>
    <w:p>
      <w:pPr>
        <w:pStyle w:val="ndicedoAnexo3"/>
        <w:tabs>
          <w:tab w:val="clear" w:pos="708"/>
          <w:tab w:val="right" w:pos="8204" w:leader="dot"/>
        </w:tabs>
        <w:rPr/>
      </w:pPr>
      <w:r>
        <w:rPr/>
        <w:t>C.2.1 Campos antropométricos comuns</w:t>
        <w:tab/>
        <w:t>172</w:t>
      </w:r>
    </w:p>
    <w:p>
      <w:pPr>
        <w:pStyle w:val="ndicedoAnexo3"/>
        <w:tabs>
          <w:tab w:val="clear" w:pos="708"/>
          <w:tab w:val="right" w:pos="8204" w:leader="dot"/>
        </w:tabs>
        <w:rPr/>
      </w:pPr>
      <w:r>
        <w:rPr/>
        <w:t>C.2.2 Tipos de parâmetros</w:t>
        <w:tab/>
        <w:t>173</w:t>
      </w:r>
    </w:p>
    <w:p>
      <w:pPr>
        <w:pStyle w:val="ndicedoAnexo3"/>
        <w:tabs>
          <w:tab w:val="clear" w:pos="708"/>
          <w:tab w:val="right" w:pos="8204" w:leader="dot"/>
        </w:tabs>
        <w:rPr/>
      </w:pPr>
      <w:r>
        <w:rPr/>
        <w:t>C.2.3 Coerência dos controlos no estado final examinado</w:t>
        <w:tab/>
        <w:t>174</w:t>
      </w:r>
    </w:p>
    <w:p>
      <w:pPr>
        <w:pStyle w:val="ndicedoAnexo2"/>
        <w:rPr/>
      </w:pPr>
      <w:r>
        <w:rPr/>
        <w:t>C.3 Flexy Beast</w:t>
        <w:tab/>
        <w:t>174</w:t>
      </w:r>
    </w:p>
    <w:p>
      <w:pPr>
        <w:pStyle w:val="ndicedoAnexo3"/>
        <w:tabs>
          <w:tab w:val="clear" w:pos="708"/>
          <w:tab w:val="right" w:pos="8204" w:leader="dot"/>
        </w:tabs>
        <w:rPr/>
      </w:pPr>
      <w:r>
        <w:rPr/>
        <w:t>C.3.1 Origem e estratégia de adaptação</w:t>
        <w:tab/>
        <w:t>174</w:t>
      </w:r>
    </w:p>
    <w:p>
      <w:pPr>
        <w:pStyle w:val="ndicedoAnexo3"/>
        <w:tabs>
          <w:tab w:val="clear" w:pos="708"/>
          <w:tab w:val="right" w:pos="8204" w:leader="dot"/>
        </w:tabs>
        <w:rPr/>
      </w:pPr>
      <w:r>
        <w:rPr/>
        <w:t>C.3.2 Entradas, limites e relações</w:t>
        <w:tab/>
        <w:t>174</w:t>
      </w:r>
    </w:p>
    <w:p>
      <w:pPr>
        <w:pStyle w:val="ndicedoAnexo3"/>
        <w:tabs>
          <w:tab w:val="clear" w:pos="708"/>
          <w:tab w:val="right" w:pos="8204" w:leader="dot"/>
        </w:tabs>
        <w:rPr/>
      </w:pPr>
      <w:r>
        <w:rPr/>
        <w:t>C.3.3 Braçadeira e interfaces confirmáveis</w:t>
        <w:tab/>
        <w:t>176</w:t>
      </w:r>
    </w:p>
    <w:p>
      <w:pPr>
        <w:pStyle w:val="ndicedoAnexo3"/>
        <w:tabs>
          <w:tab w:val="clear" w:pos="708"/>
          <w:tab w:val="right" w:pos="8204" w:leader="dot"/>
        </w:tabs>
        <w:rPr/>
      </w:pPr>
      <w:r>
        <w:rPr/>
        <w:t>C.3.4 PROpagação paramétrica documentada no perfil de ensaio</w:t>
        <w:tab/>
        <w:t>176</w:t>
      </w:r>
    </w:p>
    <w:p>
      <w:pPr>
        <w:pStyle w:val="ndicedoAnexo3"/>
        <w:tabs>
          <w:tab w:val="clear" w:pos="708"/>
          <w:tab w:val="right" w:pos="8204" w:leader="dot"/>
        </w:tabs>
        <w:rPr/>
      </w:pPr>
      <w:r>
        <w:rPr/>
        <w:t>C.3.5 Limitações específicas</w:t>
        <w:tab/>
        <w:t>177</w:t>
      </w:r>
    </w:p>
    <w:p>
      <w:pPr>
        <w:pStyle w:val="ndicedoAnexo2"/>
        <w:rPr/>
      </w:pPr>
      <w:r>
        <w:rPr/>
        <w:t>C.4 Cyborg Beast</w:t>
        <w:tab/>
        <w:t>177</w:t>
      </w:r>
    </w:p>
    <w:p>
      <w:pPr>
        <w:pStyle w:val="ndicedoAnexo3"/>
        <w:tabs>
          <w:tab w:val="clear" w:pos="708"/>
          <w:tab w:val="right" w:pos="8204" w:leader="dot"/>
        </w:tabs>
        <w:rPr/>
      </w:pPr>
      <w:r>
        <w:rPr/>
        <w:t>C.4.1 Origem e estratégia de adaptação</w:t>
        <w:tab/>
        <w:t>177</w:t>
      </w:r>
    </w:p>
    <w:p>
      <w:pPr>
        <w:pStyle w:val="ndicedoAnexo3"/>
        <w:tabs>
          <w:tab w:val="clear" w:pos="708"/>
          <w:tab w:val="right" w:pos="8204" w:leader="dot"/>
        </w:tabs>
        <w:rPr/>
      </w:pPr>
      <w:r>
        <w:rPr/>
        <w:t>C.4.2 Entradas e escala da mão</w:t>
        <w:tab/>
        <w:t>177</w:t>
      </w:r>
    </w:p>
    <w:p>
      <w:pPr>
        <w:pStyle w:val="ndicedoAnexo3"/>
        <w:tabs>
          <w:tab w:val="clear" w:pos="708"/>
          <w:tab w:val="right" w:pos="8204" w:leader="dot"/>
        </w:tabs>
        <w:rPr/>
      </w:pPr>
      <w:r>
        <w:rPr/>
        <w:t>C.4.3 Divisão proximal–distal</w:t>
        <w:tab/>
        <w:t>177</w:t>
      </w:r>
    </w:p>
    <w:p>
      <w:pPr>
        <w:pStyle w:val="ndicedoAnexo3"/>
        <w:tabs>
          <w:tab w:val="clear" w:pos="708"/>
          <w:tab w:val="right" w:pos="8204" w:leader="dot"/>
        </w:tabs>
        <w:rPr/>
      </w:pPr>
      <w:r>
        <w:rPr/>
        <w:t>C.4.4 Braçadeira, folgas e parâmetros fixos</w:t>
        <w:tab/>
        <w:t>178</w:t>
      </w:r>
    </w:p>
    <w:p>
      <w:pPr>
        <w:pStyle w:val="ndicedoAnexo3"/>
        <w:tabs>
          <w:tab w:val="clear" w:pos="708"/>
          <w:tab w:val="right" w:pos="8204" w:leader="dot"/>
        </w:tabs>
        <w:rPr/>
      </w:pPr>
      <w:r>
        <w:rPr/>
        <w:t>C.4.5 Exemplo de propagação</w:t>
        <w:tab/>
        <w:t>179</w:t>
      </w:r>
    </w:p>
    <w:p>
      <w:pPr>
        <w:pStyle w:val="ndicedoAnexo3"/>
        <w:tabs>
          <w:tab w:val="clear" w:pos="708"/>
          <w:tab w:val="right" w:pos="8204" w:leader="dot"/>
        </w:tabs>
        <w:rPr/>
      </w:pPr>
      <w:r>
        <w:rPr/>
        <w:t>C.4.6 Limitações específicas</w:t>
        <w:tab/>
        <w:t>179</w:t>
      </w:r>
    </w:p>
    <w:p>
      <w:pPr>
        <w:pStyle w:val="ndicedoAnexo2"/>
        <w:rPr/>
      </w:pPr>
      <w:r>
        <w:rPr/>
        <w:t>C.5 Paraglider Hand</w:t>
        <w:tab/>
        <w:t>179</w:t>
      </w:r>
    </w:p>
    <w:p>
      <w:pPr>
        <w:pStyle w:val="ndicedoAnexo3"/>
        <w:tabs>
          <w:tab w:val="clear" w:pos="708"/>
          <w:tab w:val="right" w:pos="8204" w:leader="dot"/>
        </w:tabs>
        <w:rPr/>
      </w:pPr>
      <w:r>
        <w:rPr/>
        <w:t>C.5.1 Origem e estratégia de adaptação</w:t>
        <w:tab/>
        <w:t>179</w:t>
      </w:r>
    </w:p>
    <w:p>
      <w:pPr>
        <w:pStyle w:val="ndicedoAnexo3"/>
        <w:tabs>
          <w:tab w:val="clear" w:pos="708"/>
          <w:tab w:val="right" w:pos="8204" w:leader="dot"/>
        </w:tabs>
        <w:rPr/>
      </w:pPr>
      <w:r>
        <w:rPr/>
        <w:t>C.5.2 Relações implementadas</w:t>
        <w:tab/>
        <w:t>180</w:t>
      </w:r>
    </w:p>
    <w:p>
      <w:pPr>
        <w:pStyle w:val="ndicedoAnexo3"/>
        <w:tabs>
          <w:tab w:val="clear" w:pos="708"/>
          <w:tab w:val="right" w:pos="8204" w:leader="dot"/>
        </w:tabs>
        <w:rPr/>
      </w:pPr>
      <w:r>
        <w:rPr/>
        <w:t xml:space="preserve">C.5.3 </w:t>
      </w:r>
      <w:r>
        <w:rPr>
          <w:i/>
          <w:iCs/>
        </w:rPr>
        <w:t>Hardware</w:t>
      </w:r>
      <w:r>
        <w:rPr/>
        <w:t xml:space="preserve"> e limites confirmáveis</w:t>
        <w:tab/>
        <w:t>173</w:t>
      </w:r>
    </w:p>
    <w:p>
      <w:pPr>
        <w:pStyle w:val="ndicedoAnexo3"/>
        <w:tabs>
          <w:tab w:val="clear" w:pos="708"/>
          <w:tab w:val="right" w:pos="8204" w:leader="dot"/>
        </w:tabs>
        <w:rPr/>
      </w:pPr>
      <w:r>
        <w:rPr/>
        <w:t>C.5.4 Exemplo de propagação</w:t>
        <w:tab/>
        <w:t>181</w:t>
      </w:r>
    </w:p>
    <w:p>
      <w:pPr>
        <w:pStyle w:val="ndicedoAnexo3"/>
        <w:tabs>
          <w:tab w:val="clear" w:pos="708"/>
          <w:tab w:val="right" w:pos="8204" w:leader="dot"/>
        </w:tabs>
        <w:rPr/>
      </w:pPr>
      <w:r>
        <w:rPr/>
        <w:t>C.5.5 Limitações específicas</w:t>
        <w:tab/>
        <w:t>182</w:t>
      </w:r>
    </w:p>
    <w:p>
      <w:pPr>
        <w:pStyle w:val="ndicedoAnexo2"/>
        <w:rPr/>
      </w:pPr>
      <w:r>
        <w:rPr/>
        <w:t>C.6 UnLimbited Phoenix Hand</w:t>
        <w:tab/>
        <w:t>182</w:t>
      </w:r>
    </w:p>
    <w:p>
      <w:pPr>
        <w:pStyle w:val="ndicedoAnexo3"/>
        <w:tabs>
          <w:tab w:val="clear" w:pos="708"/>
          <w:tab w:val="right" w:pos="8204" w:leader="dot"/>
        </w:tabs>
        <w:rPr/>
      </w:pPr>
      <w:r>
        <w:rPr/>
        <w:t>C.6.1 Origem e estratégia de adaptação</w:t>
        <w:tab/>
        <w:t>182</w:t>
      </w:r>
    </w:p>
    <w:p>
      <w:pPr>
        <w:pStyle w:val="ndicedoAnexo3"/>
        <w:tabs>
          <w:tab w:val="clear" w:pos="708"/>
          <w:tab w:val="right" w:pos="8204" w:leader="dot"/>
        </w:tabs>
        <w:rPr/>
      </w:pPr>
      <w:r>
        <w:rPr/>
        <w:t>C.6.2 Escala global e limite dimensional mínimo</w:t>
        <w:tab/>
        <w:t>182</w:t>
      </w:r>
    </w:p>
    <w:p>
      <w:pPr>
        <w:pStyle w:val="ndicedoAnexo3"/>
        <w:tabs>
          <w:tab w:val="clear" w:pos="708"/>
          <w:tab w:val="right" w:pos="8204" w:leader="dot"/>
        </w:tabs>
        <w:rPr/>
      </w:pPr>
      <w:r>
        <w:rPr/>
        <w:t>C.6.3 Comprimentos digitais e preservação dos furos</w:t>
        <w:tab/>
        <w:t>183</w:t>
      </w:r>
    </w:p>
    <w:p>
      <w:pPr>
        <w:pStyle w:val="ndicedoAnexo3"/>
        <w:tabs>
          <w:tab w:val="clear" w:pos="708"/>
          <w:tab w:val="right" w:pos="8204" w:leader="dot"/>
        </w:tabs>
        <w:rPr/>
      </w:pPr>
      <w:r>
        <w:rPr/>
        <w:t>C.6.4 Dependência entre comprimento digital e escala global</w:t>
        <w:tab/>
        <w:t>183</w:t>
      </w:r>
    </w:p>
    <w:p>
      <w:pPr>
        <w:pStyle w:val="ndicedoAnexo3"/>
        <w:tabs>
          <w:tab w:val="clear" w:pos="708"/>
          <w:tab w:val="right" w:pos="8204" w:leader="dot"/>
        </w:tabs>
        <w:rPr/>
      </w:pPr>
      <w:r>
        <w:rPr/>
        <w:t>C.6.5 Exemplo de propagação</w:t>
        <w:tab/>
        <w:t>184</w:t>
      </w:r>
    </w:p>
    <w:p>
      <w:pPr>
        <w:pStyle w:val="ndicedoAnexo3"/>
        <w:tabs>
          <w:tab w:val="clear" w:pos="708"/>
          <w:tab w:val="right" w:pos="8204" w:leader="dot"/>
        </w:tabs>
        <w:rPr/>
      </w:pPr>
      <w:r>
        <w:rPr/>
        <w:t>C.6.6 Componentes fixos e tolerâncias confirmáveis</w:t>
        <w:tab/>
        <w:t>184</w:t>
      </w:r>
    </w:p>
    <w:p>
      <w:pPr>
        <w:pStyle w:val="ndicedoAnexo3"/>
        <w:tabs>
          <w:tab w:val="clear" w:pos="708"/>
          <w:tab w:val="right" w:pos="8204" w:leader="dot"/>
        </w:tabs>
        <w:rPr/>
      </w:pPr>
      <w:r>
        <w:rPr/>
        <w:t>C.6.7 Limitações específicas</w:t>
        <w:tab/>
        <w:t>185</w:t>
      </w:r>
    </w:p>
    <w:p>
      <w:pPr>
        <w:pStyle w:val="ndicedoAnexo2"/>
        <w:rPr/>
      </w:pPr>
      <w:r>
        <w:rPr/>
        <w:t>C.7 Síntese comparativa das estratégias</w:t>
        <w:tab/>
        <w:t>185</w:t>
      </w:r>
    </w:p>
    <w:p>
      <w:pPr>
        <w:pStyle w:val="ndicedoAnexo2"/>
        <w:rPr/>
      </w:pPr>
      <w:r>
        <w:rPr/>
        <w:t>C.8 Critérios de aceitação, limitação e rejeição</w:t>
        <w:tab/>
        <w:t>186</w:t>
      </w:r>
    </w:p>
    <w:p>
      <w:pPr>
        <w:pStyle w:val="ndicedoAnexo2"/>
        <w:rPr/>
      </w:pPr>
      <w:r>
        <w:rPr/>
        <w:t>C.9 Relação com o Suplemento 3</w:t>
        <w:tab/>
        <w:t>186</w:t>
      </w:r>
    </w:p>
    <w:p>
      <w:pPr>
        <w:pStyle w:val="ndicedoAnexo2"/>
        <w:rPr/>
      </w:pPr>
      <w:r>
        <w:rPr/>
        <w:t>C.10 Limite de interpretação</w:t>
        <w:tab/>
        <w:t>187</w:t>
      </w:r>
    </w:p>
    <w:p>
      <w:pPr>
        <w:pStyle w:val="ndicedoAnexo2"/>
        <w:rPr/>
      </w:pPr>
      <w:r>
        <w:rPr/>
        <w:t>C.11 Fontes técnicas consultadas</w:t>
        <w:tab/>
        <w:t>187</w:t>
      </w:r>
    </w:p>
    <w:p>
      <w:pPr>
        <w:pStyle w:val="ndicedoAnexo2"/>
        <w:rPr/>
      </w:pPr>
      <w:r>
        <w:rPr/>
        <w:t>C.12 Verificações executadas</w:t>
        <w:tab/>
        <w:t>187</w:t>
      </w:r>
    </w:p>
    <w:p>
      <w:pPr>
        <w:pStyle w:val="ndicedoAnexo2"/>
        <w:rPr/>
      </w:pPr>
      <w:r>
        <w:rPr/>
        <w:t>Tabela C.1 — Correspondência entre medidas normalizadas e parâmetros dos modelos</w:t>
        <w:tab/>
        <w:t>172</w:t>
      </w:r>
    </w:p>
    <w:p>
      <w:pPr>
        <w:pStyle w:val="ndicedoAnexo2"/>
        <w:rPr/>
      </w:pPr>
      <w:r>
        <w:rPr/>
        <w:t>Tabela C.2 — Parâmetros numéricos do Flexy Beast com efeito dimensional</w:t>
        <w:tab/>
        <w:t>174</w:t>
      </w:r>
    </w:p>
    <w:p>
      <w:pPr>
        <w:pStyle w:val="ndicedoAnexo2"/>
        <w:rPr/>
      </w:pPr>
      <w:r>
        <w:rPr/>
        <w:t>Tabela C.3 — Relações dimensionais do Paraglider Hand</w:t>
        <w:tab/>
        <w:t>180</w:t>
      </w:r>
    </w:p>
    <w:p>
      <w:pPr>
        <w:pStyle w:val="ndicedoAnexo2"/>
        <w:rPr/>
      </w:pPr>
      <w:r>
        <w:rPr/>
        <w:t>Tabela C.4 — Comparação das adaptações e excepções de escala</w:t>
        <w:tab/>
        <w:t>185</w:t>
      </w:r>
      <w:r>
        <w:br w:type="page"/>
      </w:r>
    </w:p>
    <w:p>
      <w:pPr>
        <w:pStyle w:val="Heading2"/>
        <w:numPr>
          <w:ilvl w:val="0"/>
          <w:numId w:val="0"/>
        </w:numPr>
        <w:spacing w:before="0" w:after="120"/>
        <w:ind w:hanging="0" w:start="0"/>
        <w:contextualSpacing/>
        <w:rPr/>
      </w:pPr>
      <w:bookmarkStart w:id="254" w:name="_Toc235565088"/>
      <w:r>
        <w:rPr/>
        <w:t>C.1 Objectivo e âmbito</w:t>
      </w:r>
      <w:bookmarkEnd w:id="254"/>
    </w:p>
    <w:p>
      <w:pPr>
        <w:pStyle w:val="TextoNormal-IPCA"/>
        <w:keepNext w:val="true"/>
        <w:rPr/>
      </w:pPr>
      <w:r>
        <w:rPr/>
      </w:r>
    </w:p>
    <w:p>
      <w:pPr>
        <w:pStyle w:val="TextoNormal-IPCA"/>
        <w:rPr/>
      </w:pPr>
      <w:r>
        <w:rPr/>
        <w:t>Este anexo documenta a adaptação de quatro modelos de mão protésica de origem aberta à estrutura paramétrica da plataforma HandFab: Flexy Beast, Cyborg Beast, Paraglider Hand e UnLimbited Phoenix Hand. O objectivo é explicitar a passagem das medidas antropométricas para os parâmetros configuráveis, as relações geométricas e as malhas destinadas à preparação para fabrico.</w:t>
      </w:r>
    </w:p>
    <w:p>
      <w:pPr>
        <w:pStyle w:val="TextoNormal-IPCA"/>
        <w:rPr/>
      </w:pPr>
      <w:r>
        <w:rPr/>
        <w:t>O anexo descreve o que está efetivamente implementado nos ficheiros de configuração e nos modelos OpenSCAD, sem apresentar essas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bookmarkStart w:id="255" w:name="_Toc235565089"/>
      <w:r>
        <w:rPr/>
        <w:t>C.2 Princípio comum de adaptação</w:t>
      </w:r>
      <w:bookmarkEnd w:id="255"/>
    </w:p>
    <w:p>
      <w:pPr>
        <w:pStyle w:val="TextoNormal-IPCA"/>
        <w:keepNext w:val="true"/>
        <w:rPr/>
      </w:pPr>
      <w:r>
        <w:rPr/>
      </w:r>
    </w:p>
    <w:p>
      <w:pPr>
        <w:pStyle w:val="TextoNormal-IPCA"/>
        <w:rPr/>
      </w:pPr>
      <w:r>
        <w:rPr/>
        <w:t>Os modelos herdados não partilhavam nomes de parâmetros nem mecanismos de escala ou formas equivalentes de preservar interfaces mecânicas. A adaptação não consistiu, portanto, na aplicação de uma única fórmula a todas as mãos, mas na criação de uma gramática comum de entrada e na manutenção de uma transformação específica para cada arquitetura.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52"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luxo de adaptação paramétrica dos modelos" descr="Fluxo de adaptação paramétrica dos modelos"/>
                    <pic:cNvPicPr>
                      <a:picLocks noChangeAspect="1" noChangeArrowheads="1"/>
                    </pic:cNvPicPr>
                  </pic:nvPicPr>
                  <pic:blipFill>
                    <a:blip r:embed="rId211"/>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bookmarkStart w:id="256" w:name="_Toc235565090"/>
      <w:r>
        <w:rPr/>
        <w:t>C.2.1 Campos antropométricos comuns</w:t>
      </w:r>
      <w:bookmarkEnd w:id="256"/>
    </w:p>
    <w:p>
      <w:pPr>
        <w:pStyle w:val="TextoNormal-IPCA"/>
        <w:keepNext w:val="true"/>
        <w:rPr/>
      </w:pPr>
      <w:r>
        <w:rPr/>
      </w:r>
    </w:p>
    <w:p>
      <w:pPr>
        <w:pStyle w:val="TextoNormal-IPCA"/>
        <w:rPr/>
      </w:pPr>
      <w:r>
        <w:rPr/>
        <w:t xml:space="preserve">O serviço </w:t>
      </w:r>
      <w:r>
        <w:rPr>
          <w:rFonts w:ascii="Consolas" w:hAnsi="Consolas"/>
          <w:i/>
          <w:iCs/>
        </w:rPr>
        <w:t>profileMapping.js</w:t>
      </w:r>
      <w:r>
        <w:rPr/>
        <w:t xml:space="preserve"> estabelece as correspondências apresentadas na Tabela C.1. A origem é a árvore normalizada </w:t>
      </w:r>
      <w:r>
        <w:rPr>
          <w:rFonts w:ascii="Consolas" w:hAnsi="Consolas"/>
          <w:i/>
          <w:iCs/>
        </w:rPr>
        <w:t>profile.measurements</w:t>
      </w:r>
      <w:r>
        <w:rPr/>
        <w:t xml:space="preserve">. O vector </w:t>
      </w:r>
      <w:r>
        <w:rPr>
          <w:rFonts w:ascii="Consolas" w:hAnsi="Consolas"/>
          <w:i/>
          <w:iCs/>
        </w:rPr>
        <w:t>geometry_parameters</w:t>
      </w:r>
      <w:r>
        <w:rPr/>
        <w:t xml:space="preserve"> produzido pelo importador não é utilizado nesta passagem, porque foi concebido para outra organização geométrica e não partilha os nomes dos modelos ativos.</w:t>
      </w:r>
    </w:p>
    <w:p>
      <w:pPr>
        <w:pStyle w:val="TextoNormal-IPCA"/>
        <w:keepNext w:val="true"/>
        <w:rPr/>
      </w:pPr>
      <w:r>
        <w:rPr/>
      </w:r>
    </w:p>
    <w:p>
      <w:pPr>
        <w:pStyle w:val="Caption"/>
        <w:keepNext w:val="true"/>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conservando o valor corrente, ou fica disponível para introdução manual. Os valores válidos são arredondados a uma casa decimal. Durante o mapeamento, são limitados ao mínimo e ao máximo declarados no catálogo de modelos, ficando registadas as limitações aplicadas. Os parâmetros mecânicos, as cores, a visibilidade e a lateralidade não são preenchidos a partir das medidas corporais.</w:t>
      </w:r>
    </w:p>
    <w:p>
      <w:pPr>
        <w:pStyle w:val="TextoNormal-IPCA"/>
        <w:rPr/>
      </w:pPr>
      <w:r>
        <w:rPr/>
        <w:t>Perante uma descrição livre, a plataforma pode selecionar uma referência populacional segundo uma pontuação baseada no sexo, na categoria etária, na proximidade da idade, no país e na qualidade descritiva do grupo. O perfil só é selecionado quando a pontuação atinge três. Esta regra permite escolher um ponto de partida, mas não mede a proximidade anatómica entre populações nem substitui uma medida individual.</w:t>
      </w:r>
    </w:p>
    <w:p>
      <w:pPr>
        <w:pStyle w:val="TextoNormal-IPCA"/>
        <w:rPr/>
      </w:pPr>
      <w:r>
        <w:rPr/>
      </w:r>
    </w:p>
    <w:p>
      <w:pPr>
        <w:pStyle w:val="Heading3"/>
        <w:numPr>
          <w:ilvl w:val="0"/>
          <w:numId w:val="0"/>
        </w:numPr>
        <w:ind w:hanging="0" w:start="0"/>
        <w:rPr/>
      </w:pPr>
      <w:bookmarkStart w:id="257" w:name="_Toc235565091"/>
      <w:r>
        <w:rPr/>
        <w:t>C.2.2 Tipos de parâmetros</w:t>
      </w:r>
      <w:bookmarkEnd w:id="257"/>
    </w:p>
    <w:p>
      <w:pPr>
        <w:pStyle w:val="TextoNormal-IPCA"/>
        <w:keepNext w:val="true"/>
        <w:rPr/>
      </w:pPr>
      <w:r>
        <w:rPr/>
      </w:r>
    </w:p>
    <w:p>
      <w:pPr>
        <w:pStyle w:val="TextoNormal-IPCA"/>
        <w:rPr/>
      </w:pPr>
      <w:r>
        <w:rPr/>
        <w:t>Para efeitos de projeto, os parâmetros foram distribuídos por quatro classes:</w:t>
      </w:r>
    </w:p>
    <w:p>
      <w:pPr>
        <w:pStyle w:val="TextoNormal-IPCA"/>
        <w:rPr/>
      </w:pPr>
      <w:r>
        <w:rPr/>
        <w:t xml:space="preserve">- </w:t>
      </w:r>
      <w:r>
        <w:rPr>
          <w:b/>
        </w:rPr>
        <w:t>Diretos: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ativa no modelo em causa.</w:t>
      </w:r>
    </w:p>
    <w:p>
      <w:pPr>
        <w:pStyle w:val="TextoNormal-IPCA"/>
        <w:rPr/>
      </w:pPr>
      <w:r>
        <w:rPr/>
        <w:t>Esta distinção é necessária, pois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bookmarkStart w:id="258" w:name="_Toc235565092"/>
      <w:r>
        <w:rPr/>
        <w:t>C.2.3 Coerência dos controlos no estado final examinado</w:t>
      </w:r>
      <w:bookmarkEnd w:id="258"/>
    </w:p>
    <w:p>
      <w:pPr>
        <w:pStyle w:val="TextoNormal-IPCA"/>
        <w:keepNext w:val="true"/>
        <w:rPr/>
      </w:pPr>
      <w:r>
        <w:rPr/>
      </w:r>
    </w:p>
    <w:p>
      <w:pPr>
        <w:pStyle w:val="TextoNormal-IPCA"/>
        <w:rPr/>
      </w:pPr>
      <w:r>
        <w:rPr/>
        <w:t>No estado final examinado, aplicou-se aos quatro modelos a mesma sequência de grupos, quando existentes: componente, antropometria, divisão de segmentos, componentes mecânicos, braçadeira, opções, visibilidade, cores e braço. Esta organização não acrescenta parâmetros nem demonstra uma melhoria da utilização; reduz as diferenças de apresentação entre modelos e torna mais previsível a localização de decisões equivalentes.</w:t>
      </w:r>
    </w:p>
    <w:p>
      <w:pPr>
        <w:pStyle w:val="TextoNormal-IPCA"/>
        <w:rPr/>
      </w:pPr>
      <w:r>
        <w:rPr/>
        <w:t>Foram também uniformizados dois nomes. No Phoenix, LeftRight foi substituído pelo campo booleano mirrored, já usado nos restantes modelos. No Paraglider, show_assembled passou a print_layout, com inversão da formulação para coincidir com o controlo usado no Cyborg Beast e no Phoenix: true corresponde à disposição plana destinada à exportação. Estas alterações incidem na correspondência entre os campos da configuração e os controlos da interface, sem alterar a escala da palma, os comprimentos digitais ou as interfaces mecânicas.</w:t>
      </w:r>
    </w:p>
    <w:p>
      <w:pPr>
        <w:pStyle w:val="TextoNormal-IPCA"/>
        <w:rPr/>
      </w:pPr>
      <w:r>
        <w:rPr/>
      </w:r>
    </w:p>
    <w:p>
      <w:pPr>
        <w:pStyle w:val="Heading2"/>
        <w:numPr>
          <w:ilvl w:val="0"/>
          <w:numId w:val="0"/>
        </w:numPr>
        <w:ind w:hanging="0" w:start="0"/>
        <w:rPr/>
      </w:pPr>
      <w:bookmarkStart w:id="259" w:name="_Toc235565093"/>
      <w:r>
        <w:rPr/>
        <w:t>C.3 Flexy Beast</w:t>
      </w:r>
      <w:bookmarkEnd w:id="259"/>
    </w:p>
    <w:p>
      <w:pPr>
        <w:pStyle w:val="TextoNormal-IPCA"/>
        <w:keepNext w:val="true"/>
        <w:rPr/>
      </w:pPr>
      <w:r>
        <w:rPr/>
      </w:r>
    </w:p>
    <w:p>
      <w:pPr>
        <w:pStyle w:val="Heading3"/>
        <w:numPr>
          <w:ilvl w:val="0"/>
          <w:numId w:val="0"/>
        </w:numPr>
        <w:ind w:hanging="0" w:start="0"/>
        <w:rPr/>
      </w:pPr>
      <w:bookmarkStart w:id="260" w:name="_Toc235565094"/>
      <w:r>
        <w:rPr/>
        <w:t>C.3.1 Origem e estratégia de adaptação</w:t>
      </w:r>
      <w:bookmarkEnd w:id="260"/>
    </w:p>
    <w:p>
      <w:pPr>
        <w:pStyle w:val="TextoNormal-IPCA"/>
        <w:keepNext w:val="true"/>
        <w:rPr/>
      </w:pPr>
      <w:r>
        <w:rPr/>
      </w:r>
    </w:p>
    <w:p>
      <w:pPr>
        <w:pStyle w:val="TextoNormal-IPCA"/>
        <w:rPr/>
      </w:pPr>
      <w:r>
        <w:rPr/>
        <w:t xml:space="preserve">O Flexy Beast deriva do trabalho de </w:t>
      </w:r>
      <w:r>
        <w:rPr>
          <w:rFonts w:ascii="Consolas" w:hAnsi="Consolas"/>
        </w:rPr>
        <w:t>daprice</w:t>
      </w:r>
      <w:r>
        <w:rPr/>
        <w:t>, que combina o Parametric Cyborg Beast com o Flexy Hand. O ficheiro-fonte local indica a licença CC BY-SA 4.0. O modelo utiliza uma palma da linhagem Cyborg Beast e segmentos digitais ligados por conectores flexíveis. A adaptação procurou separar a escala da mão, os comprimentos relativos dos dedos e a braçadeira do antebraço.</w:t>
      </w:r>
    </w:p>
    <w:p>
      <w:pPr>
        <w:pStyle w:val="TextoNormal-IPCA"/>
        <w:rPr/>
      </w:pPr>
      <w:r>
        <w:rPr/>
      </w:r>
    </w:p>
    <w:p>
      <w:pPr>
        <w:pStyle w:val="Heading3"/>
        <w:numPr>
          <w:ilvl w:val="0"/>
          <w:numId w:val="0"/>
        </w:numPr>
        <w:ind w:hanging="0" w:start="0"/>
        <w:rPr/>
      </w:pPr>
      <w:bookmarkStart w:id="261" w:name="_Toc235565095"/>
      <w:r>
        <w:rPr/>
        <w:t>C.3.2 Entradas, limites e relações</w:t>
      </w:r>
      <w:bookmarkEnd w:id="261"/>
    </w:p>
    <w:p>
      <w:pPr>
        <w:pStyle w:val="TextoNormal-IPCA"/>
        <w:keepNext w:val="true"/>
        <w:rPr/>
      </w:pPr>
      <w:r>
        <w:rPr/>
      </w:r>
    </w:p>
    <w:p>
      <w:pPr>
        <w:pStyle w:val="Caption"/>
        <w:keepNext w:val="true"/>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palm_breadth_mm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xScaleFactor = (palm_breadth_mm + 5) / 55;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middle_finger_length_mm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joint_dia; joint_thick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wrist_circumference_mm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gauntlet_tilt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gauntlet_length_scale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gauntlet_rim_hole_d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wrist_pin_dia; wrist_pin_clearance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furo da braçadeira = diâmetro do pino + 2 × folga</w:t>
            </w:r>
          </w:p>
        </w:tc>
      </w:tr>
    </w:tbl>
    <w:p>
      <w:pPr>
        <w:pStyle w:val="TextoNormal-IPCA"/>
        <w:rPr/>
      </w:pPr>
      <w:r>
        <w:rPr/>
      </w:r>
    </w:p>
    <w:p>
      <w:pPr>
        <w:pStyle w:val="TextoNormal-IPCA"/>
        <w:rPr/>
      </w:pPr>
      <w:r>
        <w:rPr/>
        <w:t>À escala unitária, o alcance de referência dos segmentos digitais é 37 mm, resultante dos valores nativos de 20 mm para a base e 17 mm para a ponta. O comprimento do dedo médio define o multiplicador mestre, enquanto os restantes dedos recebem uma proporção relativa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rPr>
        <w:t>joint_dia / 2 + 1,2</w:t>
      </w:r>
      <w:r>
        <w:rPr/>
        <w:t xml:space="preserve">; a espessura da ponte corresponde a </w:t>
      </w:r>
      <w:r>
        <w:rPr>
          <w:rFonts w:ascii="Consolas" w:hAnsi="Consolas"/>
        </w:rPr>
        <w:t>joint_thick</w:t>
      </w:r>
      <w:r>
        <w:rPr/>
        <w:t xml:space="preserve">; o comprimento ao longo do pino é </w:t>
      </w:r>
      <w:r>
        <w:rPr>
          <w:rFonts w:ascii="Consolas" w:hAnsi="Consolas"/>
        </w:rPr>
        <w:t>9,5 × xScaleFactor</w:t>
      </w:r>
      <w:r>
        <w:rPr/>
        <w:t xml:space="preserve">; e a distância entre os centros dos lóbulos é </w:t>
      </w:r>
      <w:r>
        <w:rPr>
          <w:rFonts w:ascii="Consolas" w:hAnsi="Consolas"/>
        </w:rPr>
        <w:t>8 × xScaleFactor</w:t>
      </w:r>
      <w:r>
        <w:rPr/>
        <w:t>. Estes valores descrevem a geometria codificada e não resultam de um ensaio material realizado nesta investigação. As juntas flexíveis não foram produzidas nos protótipos físicos.</w:t>
      </w:r>
    </w:p>
    <w:p>
      <w:pPr>
        <w:pStyle w:val="TextoNormal-IPCA"/>
        <w:rPr/>
      </w:pPr>
      <w:r>
        <w:rPr/>
      </w:r>
    </w:p>
    <w:p>
      <w:pPr>
        <w:pStyle w:val="Heading3"/>
        <w:numPr>
          <w:ilvl w:val="0"/>
          <w:numId w:val="0"/>
        </w:numPr>
        <w:ind w:hanging="0" w:start="0"/>
        <w:rPr/>
      </w:pPr>
      <w:bookmarkStart w:id="262" w:name="_Toc235565096"/>
      <w:r>
        <w:rPr/>
        <w:t>C.3.3 Braçadeira e interfaces confirmáveis</w:t>
      </w:r>
      <w:bookmarkEnd w:id="262"/>
    </w:p>
    <w:p>
      <w:pPr>
        <w:pStyle w:val="TextoNormal-IPCA"/>
        <w:keepNext w:val="true"/>
        <w:rPr/>
      </w:pPr>
      <w:r>
        <w:rPr/>
      </w:r>
    </w:p>
    <w:p>
      <w:pPr>
        <w:pStyle w:val="TextoNormal-IPCA"/>
        <w:rPr/>
      </w:pPr>
      <w:r>
        <w:rPr/>
        <w:t>O estado final reutiliza um componente de fixação ao punho, reconstruído a partir da geometria de referência da versão com tensionador. A forma orgânica principal está incorporada como malha poligonal reduzida, sendo os furos mecânicos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rPr/>
      </w:pPr>
      <w:r>
        <w:rPr/>
      </w:r>
    </w:p>
    <w:tbl>
      <w:tblPr>
        <w:tblW w:w="5000" w:type="pct"/>
        <w:jc w:val="start"/>
        <w:tblInd w:w="0" w:type="dxa"/>
        <w:tblLayout w:type="fixed"/>
        <w:tblCellMar>
          <w:top w:w="55" w:type="dxa"/>
          <w:start w:w="55" w:type="dxa"/>
          <w:bottom w:w="55" w:type="dxa"/>
          <w:end w:w="55" w:type="dxa"/>
        </w:tblCellMar>
        <w:tblLook w:noHBand="0" w:noVBand="1" w:firstColumn="1" w:lastRow="0" w:lastColumn="0" w:firstRow="1" w:val="04a0"/>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sz w:val="24"/>
              </w:rPr>
            </w:pPr>
            <w:r>
              <w:rPr>
                <w:rFonts w:ascii="Liberation Serif" w:hAnsi="Liberation Serif"/>
                <w:sz w:val="24"/>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sz w:val="24"/>
              </w:rPr>
            </w:pPr>
            <w:r>
              <w:rPr>
                <w:rFonts w:ascii="Liberation Serif" w:hAnsi="Liberation Serif"/>
                <w:sz w:val="24"/>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sz w:val="24"/>
              </w:rPr>
            </w:pPr>
            <w:r>
              <w:rPr>
                <w:rFonts w:ascii="Liberation Serif" w:hAnsi="Liberation Serif"/>
                <w:sz w:val="24"/>
              </w:rPr>
            </w:r>
          </w:p>
        </w:tc>
      </w:tr>
    </w:tbl>
    <w:p>
      <w:pPr>
        <w:pStyle w:val="TextoNormal-IPCA"/>
        <w:ind w:hanging="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rPr>
        <w:t>g_depth</w:t>
      </w:r>
      <w:r>
        <w:rPr/>
        <w:t xml:space="preserve"> inclui a divisão por </w:t>
      </w:r>
      <w:r>
        <w:rPr>
          <w:rFonts w:ascii="Consolas" w:hAnsi="Consolas"/>
          <w:i/>
          <w:iCs/>
        </w:rPr>
        <w:t>xScaleFactor</w:t>
      </w:r>
      <w:r>
        <w:rPr/>
        <w:t xml:space="preserve">, dado que a braçadeira volta a ser envolvida pela escala da mão durante a montagem. Assim, procura-se que a profundidade impressa permaneça dependente da circunferência do punho, e não da largura da palma. A posição é recalculada para fazer coincidir os furos das abas com o eixo do pino da palma, identificado no código por </w:t>
      </w:r>
      <w:r>
        <w:rPr>
          <w:rFonts w:ascii="Consolas" w:hAnsi="Consolas"/>
        </w:rPr>
        <w:t>Y = −27</w:t>
      </w:r>
      <w:r>
        <w:rPr/>
        <w:t xml:space="preserve"> e </w:t>
      </w:r>
      <w:r>
        <w:rPr>
          <w:rFonts w:ascii="Consolas" w:hAnsi="Consolas"/>
        </w:rPr>
        <w:t>Z = 5,5</w:t>
      </w:r>
      <w:r>
        <w:rPr/>
        <w:t xml:space="preserve"> mm.</w:t>
      </w:r>
    </w:p>
    <w:p>
      <w:pPr>
        <w:pStyle w:val="TextoNormal-IPCA"/>
        <w:rPr/>
      </w:pPr>
      <w:r>
        <w:rPr/>
        <w:t>O código confirma espessuras locais de 3,2 mm na zona dos furos médios e de 5 mm nas zonas dos furos do pino e do rebordo. Não confirma uma espessura uniforme da casca orgânica nem uma tolerância de fabrico validada para toda a braçadeira. A folga de 0,35 mm é um valor configurável de projeto e não foi estabelecida por ensaio sistemático de montagem.</w:t>
      </w:r>
    </w:p>
    <w:p>
      <w:pPr>
        <w:pStyle w:val="TextoNormal-IPCA"/>
        <w:rPr/>
      </w:pPr>
      <w:r>
        <w:rPr/>
      </w:r>
    </w:p>
    <w:p>
      <w:pPr>
        <w:pStyle w:val="Heading3"/>
        <w:numPr>
          <w:ilvl w:val="0"/>
          <w:numId w:val="0"/>
        </w:numPr>
        <w:ind w:hanging="0" w:start="0"/>
        <w:rPr/>
      </w:pPr>
      <w:bookmarkStart w:id="263" w:name="_Toc235565097"/>
      <w:r>
        <w:rPr/>
        <w:t>C.3.4 PROpagação paramétrica documentada no perfil de ensaio</w:t>
      </w:r>
      <w:bookmarkEnd w:id="263"/>
    </w:p>
    <w:p>
      <w:pPr>
        <w:pStyle w:val="TextoNormal-IPCA"/>
        <w:keepNext w:val="true"/>
        <w:rPr/>
      </w:pPr>
      <w:r>
        <w:rPr/>
      </w:r>
    </w:p>
    <w:p>
      <w:pPr>
        <w:pStyle w:val="TextoNormal-IPCA"/>
        <w:rPr/>
      </w:pPr>
      <w:r>
        <w:rPr/>
        <w:t>O percurso numérico do perfil de ensaio de oito anos — valores aplicados, fatores derivados e métricas de três malhas — está preservado no Suplemento 3 — Parametrização e percurso numérico. Para evitar duplicação, este anexo não repete a Tabela 16 nem os 42 registos do dicionário histórico. Inclui apenas a alteração posterior do componente de fixação ao punho e os casos que evidenciam dependências ainda não descritas nesse suplemento.</w:t>
      </w:r>
    </w:p>
    <w:p>
      <w:pPr>
        <w:pStyle w:val="TextoNormal-IPCA"/>
        <w:rPr/>
      </w:pPr>
      <w:r>
        <w:rPr/>
        <w:t xml:space="preserve">O resultado central desse percurso mantém-se relevante: </w:t>
      </w:r>
      <w:r>
        <w:rPr>
          <w:rStyle w:val="SourceText"/>
          <w:i/>
          <w:iCs/>
        </w:rPr>
        <w:t>palm_breadth_mm</w:t>
      </w:r>
      <w:r>
        <w:rPr>
          <w:i/>
          <w:iCs/>
        </w:rPr>
        <w:t xml:space="preserve"> </w:t>
      </w:r>
      <w:r>
        <w:rPr/>
        <w:t>alimenta uma fórmula herdada, mas não define diretamente a extensão transversal da malha. O caso documenta a propagação do valor no modelo paramétrico, sem demonstrar uma correspondência anatómica direta.</w:t>
      </w:r>
    </w:p>
    <w:p>
      <w:pPr>
        <w:pStyle w:val="Heading3"/>
        <w:numPr>
          <w:ilvl w:val="0"/>
          <w:numId w:val="0"/>
        </w:numPr>
        <w:ind w:hanging="0" w:start="0"/>
        <w:rPr/>
      </w:pPr>
      <w:bookmarkStart w:id="264" w:name="_Toc235565098"/>
      <w:r>
        <w:rPr/>
        <w:t>C.3.5 Limitações específicas</w:t>
      </w:r>
      <w:bookmarkEnd w:id="264"/>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bookmarkStart w:id="265" w:name="_Toc235565099"/>
      <w:r>
        <w:rPr/>
        <w:t>C.4 Cyborg Beast</w:t>
      </w:r>
      <w:bookmarkEnd w:id="265"/>
    </w:p>
    <w:p>
      <w:pPr>
        <w:pStyle w:val="TextoNormal-IPCA"/>
        <w:keepNext w:val="true"/>
        <w:rPr/>
      </w:pPr>
      <w:r>
        <w:rPr/>
      </w:r>
    </w:p>
    <w:p>
      <w:pPr>
        <w:pStyle w:val="Heading3"/>
        <w:numPr>
          <w:ilvl w:val="0"/>
          <w:numId w:val="0"/>
        </w:numPr>
        <w:ind w:hanging="0" w:start="0"/>
        <w:rPr/>
      </w:pPr>
      <w:bookmarkStart w:id="266" w:name="_Toc235565100"/>
      <w:r>
        <w:rPr/>
        <w:t>C.4.1 Origem e estratégia de adaptação</w:t>
      </w:r>
      <w:bookmarkEnd w:id="266"/>
    </w:p>
    <w:p>
      <w:pPr>
        <w:pStyle w:val="TextoNormal-IPCA"/>
        <w:keepNext w:val="true"/>
        <w:rPr/>
      </w:pPr>
      <w:r>
        <w:rPr/>
      </w:r>
    </w:p>
    <w:p>
      <w:pPr>
        <w:pStyle w:val="TextoNormal-IPCA"/>
        <w:rPr/>
      </w:pPr>
      <w:r>
        <w:rPr/>
        <w:t xml:space="preserve">O Cyborg Beast local preserva a palma e os segmentos digitais da linhagem MakerBlock/e-NABLE, aos quais acrescenta uma camada antropométrica, uma divisão proximal–distal, uma braçadeira dimensionada pelo punho, um revestimento termoformável e a disposição das peças para impressão. </w:t>
      </w:r>
    </w:p>
    <w:p>
      <w:pPr>
        <w:pStyle w:val="TextoNormal-IPCA"/>
        <w:rPr/>
      </w:pPr>
      <w:r>
        <w:rPr/>
      </w:r>
    </w:p>
    <w:p>
      <w:pPr>
        <w:pStyle w:val="Heading3"/>
        <w:numPr>
          <w:ilvl w:val="0"/>
          <w:numId w:val="0"/>
        </w:numPr>
        <w:ind w:hanging="0" w:start="0"/>
        <w:rPr/>
      </w:pPr>
      <w:bookmarkStart w:id="267" w:name="_Toc235565101"/>
      <w:r>
        <w:rPr/>
        <w:t>C.4.2 Entradas e escala da mão</w:t>
      </w:r>
      <w:bookmarkEnd w:id="267"/>
    </w:p>
    <w:p>
      <w:pPr>
        <w:pStyle w:val="TextoNormal-IPCA"/>
        <w:keepNext w:val="true"/>
        <w:rPr/>
      </w:pPr>
      <w:r>
        <w:rPr/>
      </w:r>
    </w:p>
    <w:p>
      <w:pPr>
        <w:pStyle w:val="TextoNormal-IPCA"/>
        <w:rPr/>
      </w:pPr>
      <w:r>
        <w:rPr/>
        <w:t>Os seis parâmetros principais da palma e dos dedos mantêm os valores iniciais e os intervalos do Flexy Beast. A escala global é a seguinte:</w:t>
      </w:r>
    </w:p>
    <w:p>
      <w:pPr>
        <w:pStyle w:val="TextoNormal-IPCA"/>
        <w:rPr/>
      </w:pPr>
      <w:r>
        <w:rPr/>
      </w:r>
    </w:p>
    <w:p>
      <w:pPr>
        <w:pStyle w:val="TextoNormal-IPCA"/>
        <w:rPr/>
      </w:pPr>
      <w:r>
        <w:rPr/>
        <w:t>overallscale = (palmbreadthmm + 5) / 55</w:t>
      </w:r>
    </w:p>
    <w:p>
      <w:pPr>
        <w:pStyle w:val="TextoNormal-IPCA"/>
        <w:rPr/>
      </w:pPr>
      <w:r>
        <w:rPr/>
      </w:r>
    </w:p>
    <w:p>
      <w:pPr>
        <w:pStyle w:val="TextoNormal-IPCA"/>
        <w:rPr/>
      </w:pPr>
      <w:r>
        <w:rPr/>
        <w:t>Ao contrário do Flexy Beast, o comprimento de cada dedo é obtido pela inversão de curvas de alcance calibradas sobre a geometria original. A curva total adopta 60,85 mm como alcance de referência local e duas inclinações: 1,584 para valores positivos da alavanca len e 1,328 para valores negativos. A alavanca é limitada ao intervalo interno de −22 a 50, para evitar extensões que o modelo classifica como inseguras para a geometria.</w:t>
      </w:r>
    </w:p>
    <w:p>
      <w:pPr>
        <w:pStyle w:val="TextoNormal-IPCA"/>
        <w:rPr/>
      </w:pPr>
      <w:r>
        <w:rPr/>
        <w:t>A divisão entre os segmentos proximais e distais é calculada segundo relações distintas para os quatro dedos longos e para o polegar. Nos dedos indicador, médio, anelar e mindinho, os valores iniciais dos segmentos proximais são, respetivamente, 22, 24, 22 e 16 mm. Os intervalos admissíveis são 12–60 mm nos três primeiros dedos e 10–55 mm no mindinho. No polegar, o valor inicial é 27 mm e o intervalo 12–45 mm.</w:t>
      </w:r>
    </w:p>
    <w:p>
      <w:pPr>
        <w:pStyle w:val="TextoNormal-IPCA"/>
        <w:rPr/>
      </w:pPr>
      <w:r>
        <w:rPr/>
        <w:t xml:space="preserve">Nos quatro dedos longos, o cálculo baseia-se numa relação linear entre a alavanca proximal </w:t>
      </w:r>
      <w:r>
        <w:rPr>
          <w:rStyle w:val="SourceText"/>
          <w:rFonts w:eastAsia="Aptos" w:cs="Times New Roman" w:eastAsiaTheme="minorHAnsi"/>
        </w:rPr>
        <w:t>lp</w:t>
      </w:r>
      <w:r>
        <w:rPr/>
        <w:t xml:space="preserve"> e o alcance proximal local:</w:t>
      </w:r>
    </w:p>
    <w:p>
      <w:pPr>
        <w:pStyle w:val="TextoNormal-IPCA"/>
        <w:rPr/>
      </w:pPr>
      <w:r>
        <w:rPr>
          <w:rStyle w:val="SourceText"/>
          <w:rFonts w:eastAsia="Aptos" w:cs="Times New Roman" w:eastAsiaTheme="minorHAnsi"/>
        </w:rPr>
        <w:t>alcance_proximal_local(lp) = 23 + (2/3) × lp</w:t>
      </w:r>
    </w:p>
    <w:p>
      <w:pPr>
        <w:pStyle w:val="TextoNormal-IPCA"/>
        <w:rPr/>
      </w:pPr>
      <w:r>
        <w:rPr/>
        <w:t>O valor de lp é obtido, a partir do comprimento proximal pretendido, pela inversão dessa relação, considerando a escala global da mão:</w:t>
      </w:r>
    </w:p>
    <w:p>
      <w:pPr>
        <w:pStyle w:val="TextoNormal-IPCA"/>
        <w:rPr/>
      </w:pPr>
      <w:r>
        <w:rPr>
          <w:rStyle w:val="SourceText"/>
          <w:rFonts w:eastAsia="Aptos" w:cs="Times New Roman" w:eastAsiaTheme="minorHAnsi"/>
        </w:rPr>
        <w:t>lp = limitar ((((base_mm / overallscale) − 23) / (2/3)), −22, 50)</w:t>
      </w:r>
    </w:p>
    <w:p>
      <w:pPr>
        <w:pStyle w:val="TextoNormal-IPCA"/>
        <w:rPr/>
      </w:pPr>
      <w:r>
        <w:rPr/>
        <w:t>O alcance distal de referência corresponde à diferença entre o alcance total local e o alcance proximal de base:</w:t>
      </w:r>
    </w:p>
    <w:p>
      <w:pPr>
        <w:pStyle w:val="TextoNormal-IPCA"/>
        <w:rPr/>
      </w:pPr>
      <w:r>
        <w:rPr>
          <w:rStyle w:val="SourceText"/>
          <w:rFonts w:eastAsia="Aptos" w:cs="Times New Roman" w:eastAsiaTheme="minorHAnsi"/>
        </w:rPr>
        <w:t>alcance_distal_de_referência = 60,85 − 23 = 37,85</w:t>
      </w:r>
    </w:p>
    <w:p>
      <w:pPr>
        <w:pStyle w:val="TextoNormal-IPCA"/>
        <w:rPr/>
      </w:pPr>
      <w:r>
        <w:rPr/>
        <w:t>Após esta divisão, o segmento distal é calculado de modo a preencher a diferença entre o comprimento total pretendido e o comprimento proximal já atribuído. A operação recorre à inversão da curva distal correspondente, cuja inclinação depende do sinal da alavanca. O posicionamento da ponta é igualmente ajustado para manter a coincidência do eixo PIP.</w:t>
      </w:r>
    </w:p>
    <w:p>
      <w:pPr>
        <w:pStyle w:val="TextoNormal-IPCA"/>
        <w:rPr/>
      </w:pPr>
      <w:r>
        <w:rPr/>
        <w:t xml:space="preserve">No polegar, a relação não segue a decomposição linear aplicada aos restantes dedos. A calibração foi obtida por renderização sobre uma grelha de valores, da qual resultou uma relação geométrica específica entre o alcance local e as alavancas </w:t>
      </w:r>
      <w:r>
        <w:rPr>
          <w:rStyle w:val="SourceText"/>
          <w:rFonts w:eastAsia="Aptos" w:cs="Times New Roman" w:eastAsiaTheme="minorHAnsi"/>
        </w:rPr>
        <w:t>lp</w:t>
      </w:r>
      <w:r>
        <w:rPr/>
        <w:t xml:space="preserve"> e </w:t>
      </w:r>
      <w:r>
        <w:rPr>
          <w:rStyle w:val="SourceText"/>
          <w:rFonts w:eastAsia="Aptos" w:cs="Times New Roman" w:eastAsiaTheme="minorHAnsi"/>
        </w:rPr>
        <w:t>ld</w:t>
      </w:r>
      <w:r>
        <w:rPr/>
        <w:t>:</w:t>
      </w:r>
    </w:p>
    <w:p>
      <w:pPr>
        <w:pStyle w:val="TextoNormal-IPCA"/>
        <w:rPr/>
      </w:pPr>
      <w:r>
        <w:rPr>
          <w:rStyle w:val="SourceText"/>
          <w:rFonts w:eastAsia="Aptos" w:cs="Times New Roman" w:eastAsiaTheme="minorHAnsi"/>
        </w:rPr>
        <w:t>alcance_local = 55,84 + 0,6185 × lp + 0,77 × ld</w:t>
      </w:r>
    </w:p>
    <w:p>
      <w:pPr>
        <w:pStyle w:val="TextoNormal-IPCA"/>
        <w:rPr/>
      </w:pPr>
      <w:r>
        <w:rPr/>
        <w:t>O deslocamento da junção é calculado mediante uma segunda relação:</w:t>
      </w:r>
    </w:p>
    <w:p>
      <w:pPr>
        <w:pStyle w:val="TextoNormal-IPCA"/>
        <w:rPr/>
      </w:pPr>
      <w:r>
        <w:rPr>
          <w:rStyle w:val="SourceText"/>
          <w:rFonts w:eastAsia="Aptos" w:cs="Times New Roman" w:eastAsiaTheme="minorHAnsi"/>
        </w:rPr>
        <w:t>deslocamento_da_junção = −(23,667 + lp/3 + ld/3)</w:t>
      </w:r>
    </w:p>
    <w:p>
      <w:pPr>
        <w:pStyle w:val="TextoNormal-IPCA"/>
        <w:rPr/>
      </w:pPr>
      <w:r>
        <w:rPr/>
        <w:t>O código declara um resíduo máximo de 0,74 mm para este ajuste. Estas expressões devem, por isso, ser entendidas como uma calibração geométrica da implementação, e não como um modelo anatómico do polegar.</w:t>
      </w:r>
    </w:p>
    <w:p>
      <w:pPr>
        <w:pStyle w:val="Normal"/>
        <w:rPr/>
      </w:pPr>
      <w:r>
        <w:rPr/>
      </w:r>
    </w:p>
    <w:p>
      <w:pPr>
        <w:pStyle w:val="Heading3"/>
        <w:numPr>
          <w:ilvl w:val="0"/>
          <w:numId w:val="0"/>
        </w:numPr>
        <w:ind w:hanging="0" w:start="720"/>
        <w:rPr/>
      </w:pPr>
      <w:bookmarkStart w:id="268" w:name="_Toc235565102"/>
      <w:r>
        <w:rPr/>
        <w:t>C.4.4 Componente de fixação ao punho, folgas e parâmetros fixos</w:t>
      </w:r>
      <w:bookmarkEnd w:id="268"/>
    </w:p>
    <w:p>
      <w:pPr>
        <w:pStyle w:val="TextoNormal-IPCA"/>
        <w:keepNext w:val="true"/>
        <w:rPr/>
      </w:pPr>
      <w:r>
        <w:rPr/>
      </w:r>
    </w:p>
    <w:p>
      <w:pPr>
        <w:pStyle w:val="TextoNormal-IPCA"/>
        <w:rPr/>
      </w:pPr>
      <w:r>
        <w:rPr/>
        <w:t>O componente de fixação ao punho adopta a lógica descrita para o Flexy Beast. É definido por um conjunto de parâmetros editáveis: circunferência do punho (</w:t>
      </w:r>
      <w:r>
        <w:rPr>
          <w:rStyle w:val="SourceText"/>
          <w:rFonts w:eastAsia="Aptos" w:cs="Times New Roman" w:eastAsiaTheme="minorHAnsi"/>
        </w:rPr>
        <w:t>wrist_circumference_mm</w:t>
      </w:r>
      <w:r>
        <w:rPr/>
        <w:t>) entre 110 e 260 mm; inclinação entre −10° e 40°; multiplicador de comprimento entre 0,7 e 1,5; diâmetro do pino entre 4 e 10 mm; folga entre 0,10 e 0,80 mm; e diâmetro dos furos de correia entre 1,5 e 6 mm.</w:t>
      </w:r>
    </w:p>
    <w:p>
      <w:pPr>
        <w:pStyle w:val="TextoNormal-IPCA"/>
        <w:rPr/>
      </w:pPr>
      <w:r>
        <w:rPr/>
        <w:t>O diâmetro final do furo do pino é calculado com base no diâmetro nominal e na folga definida:</w:t>
      </w:r>
    </w:p>
    <w:p>
      <w:pPr>
        <w:pStyle w:val="TextoNormal-IPCA"/>
        <w:rPr>
          <w:lang w:val="en-US"/>
        </w:rPr>
      </w:pPr>
      <w:r>
        <w:rPr>
          <w:rStyle w:val="SourceText"/>
          <w:rFonts w:eastAsia="Aptos" w:cs="Times New Roman" w:eastAsiaTheme="minorHAnsi"/>
          <w:lang w:val="en-US"/>
        </w:rPr>
        <w:t>furo_resultante = wrist_pin_dia + 2 × wrist_pin_clearance</w:t>
      </w:r>
    </w:p>
    <w:p>
      <w:pPr>
        <w:pStyle w:val="TextoNormal-IPCA"/>
        <w:rPr/>
      </w:pPr>
      <w:r>
        <w:rPr/>
        <w:t>A folga é aplicada em ambos os lados do pino, o que permite ajustar a relação entre o encaixe, a montagem e a tolerância de fabrico.</w:t>
      </w:r>
    </w:p>
    <w:p>
      <w:pPr>
        <w:pStyle w:val="TextoNormal-IPCA"/>
        <w:rPr/>
      </w:pPr>
      <w:r>
        <w:rPr/>
        <w:t xml:space="preserve">Além destes parâmetros editáveis, o modelo mantém constantes internas de referência associadas à palma: o raio de nó de 4,85 mm, a altura do punho de 10 mm, a altura da palma de 20 mm, a largura-base de 64 unidades e a espessura </w:t>
      </w:r>
      <w:r>
        <w:rPr>
          <w:rStyle w:val="SourceText"/>
          <w:rFonts w:eastAsia="Aptos" w:cs="Times New Roman" w:eastAsiaTheme="minorHAnsi"/>
        </w:rPr>
        <w:t>th = 3</w:t>
      </w:r>
      <w:r>
        <w:rPr/>
        <w:t>. Estes valores são herdados ou calibrados no modelo original e não devem ser interpretados como medidas antropométricas introduzidas pelo utilizador.</w:t>
      </w:r>
    </w:p>
    <w:p>
      <w:pPr>
        <w:pStyle w:val="Heading3"/>
        <w:numPr>
          <w:ilvl w:val="0"/>
          <w:numId w:val="0"/>
        </w:numPr>
        <w:ind w:hanging="0" w:start="720"/>
        <w:rPr/>
      </w:pPr>
      <w:bookmarkStart w:id="269" w:name="_Toc235565103"/>
      <w:r>
        <w:rPr/>
        <w:t>C.4.5 Exemplo de propagação paramétrica</w:t>
      </w:r>
      <w:bookmarkEnd w:id="269"/>
    </w:p>
    <w:p>
      <w:pPr>
        <w:pStyle w:val="TextoNormal-IPCA"/>
        <w:keepNext w:val="true"/>
        <w:rPr/>
      </w:pPr>
      <w:r>
        <w:rPr/>
      </w:r>
    </w:p>
    <w:p>
      <w:pPr>
        <w:pStyle w:val="TextoNormal-IPCA"/>
        <w:rPr/>
      </w:pPr>
      <w:r>
        <w:rPr/>
        <w:t>O exemplo seguinte apresenta a propagação dos valores no cálculo do comprimento do dedo médio. Considera-se uma configuração com uma largura da palma de 83 mm, um comprimento total do dedo médio de 72 mm e um segmento proximal de 24 mm.</w:t>
      </w:r>
    </w:p>
    <w:p>
      <w:pPr>
        <w:pStyle w:val="TextoNormal-IPCA"/>
        <w:rPr/>
      </w:pPr>
      <w:r>
        <w:rPr/>
        <w:t>A escala global da mão é calculada com base na largura da palma:</w:t>
      </w:r>
    </w:p>
    <w:p>
      <w:pPr>
        <w:pStyle w:val="TextoNormal-IPCA"/>
        <w:rPr/>
      </w:pPr>
      <w:r>
        <w:rPr>
          <w:rStyle w:val="SourceText"/>
          <w:rFonts w:eastAsia="Aptos" w:cs="Times New Roman" w:eastAsiaTheme="minorHAnsi"/>
        </w:rPr>
        <w:t>overallscale = (83 + 5) / 55 = 1,6</w:t>
      </w:r>
    </w:p>
    <w:p>
      <w:pPr>
        <w:pStyle w:val="TextoNormal-IPCA"/>
        <w:rPr/>
      </w:pPr>
      <w:r>
        <w:rPr/>
        <w:t xml:space="preserve">O valor da alavanca proximal </w:t>
      </w:r>
      <w:r>
        <w:rPr>
          <w:rStyle w:val="SourceText"/>
          <w:rFonts w:eastAsia="Aptos" w:cs="Times New Roman" w:eastAsiaTheme="minorHAnsi"/>
        </w:rPr>
        <w:t>lp</w:t>
      </w:r>
      <w:r>
        <w:rPr/>
        <w:t xml:space="preserve"> é obtido pela inversão da relação proximal:</w:t>
      </w:r>
    </w:p>
    <w:p>
      <w:pPr>
        <w:pStyle w:val="TextoNormal-IPCA"/>
        <w:rPr/>
      </w:pPr>
      <w:r>
        <w:rPr>
          <w:rStyle w:val="SourceText"/>
          <w:rFonts w:eastAsia="Aptos" w:cs="Times New Roman" w:eastAsiaTheme="minorHAnsi"/>
        </w:rPr>
        <w:t>lp = ((24 / 1,6) − 23) / (2/3) = −12</w:t>
      </w:r>
    </w:p>
    <w:p>
      <w:pPr>
        <w:pStyle w:val="TextoNormal-IPCA"/>
        <w:rPr/>
      </w:pPr>
      <w:r>
        <w:rPr/>
        <w:t>A aplicação deste valor ao cálculo do alcance proximal resulta em:</w:t>
      </w:r>
    </w:p>
    <w:p>
      <w:pPr>
        <w:pStyle w:val="TextoNormal-IPCA"/>
        <w:rPr/>
      </w:pPr>
      <w:r>
        <w:rPr>
          <w:rStyle w:val="SourceText"/>
          <w:rFonts w:eastAsia="Aptos" w:cs="Times New Roman" w:eastAsiaTheme="minorHAnsi"/>
        </w:rPr>
        <w:t>alcance_proximal_impresso = 1,6 × [23 + (2/3) × (−12)] = 24 mm</w:t>
      </w:r>
    </w:p>
    <w:p>
      <w:pPr>
        <w:pStyle w:val="TextoNormal-IPCA"/>
        <w:rPr/>
      </w:pPr>
      <w:r>
        <w:rPr/>
        <w:t>Dado que o comprimento total pretendido é de 72 mm, o segmento distal deve preencher os 48 mm restantes. A inversão da curva distal produz:</w:t>
      </w:r>
    </w:p>
    <w:p>
      <w:pPr>
        <w:pStyle w:val="TextoNormal-IPCA"/>
        <w:rPr/>
      </w:pPr>
      <w:r>
        <w:rPr>
          <w:rStyle w:val="SourceText"/>
          <w:rFonts w:eastAsia="Aptos" w:cs="Times New Roman" w:eastAsiaTheme="minorHAnsi"/>
        </w:rPr>
        <w:t>ld ≈ −11,86996</w:t>
      </w:r>
    </w:p>
    <w:p>
      <w:pPr>
        <w:pStyle w:val="TextoNormal-IPCA"/>
        <w:rPr/>
      </w:pPr>
      <w:r>
        <w:rPr/>
        <w:t>O alcance distal impresso é de 48 mm, perfazendo o comprimento total pretendido:</w:t>
      </w:r>
    </w:p>
    <w:p>
      <w:pPr>
        <w:pStyle w:val="TextoNormal-IPCA"/>
        <w:rPr/>
      </w:pPr>
      <w:r>
        <w:rPr>
          <w:rStyle w:val="SourceText"/>
          <w:rFonts w:eastAsia="Aptos" w:cs="Times New Roman" w:eastAsiaTheme="minorHAnsi"/>
        </w:rPr>
        <w:t>comprimento_total_calculado = 24 + 48 = 72 mm</w:t>
      </w:r>
    </w:p>
    <w:p>
      <w:pPr>
        <w:pStyle w:val="TextoNormal-IPCA"/>
        <w:rPr/>
      </w:pPr>
      <w:r>
        <w:rPr/>
        <w:t>Este exemplo confirma a coerência interna das equações na configuração analisada. A correspondência entre o alcance calculado pelo modelo e uma medição corporal real exigiria, contudo, um protocolo dimensional próprio que relacionasse os pontos geométricos da malha com referências anatómicas verificáveis.</w:t>
      </w:r>
    </w:p>
    <w:p>
      <w:pPr>
        <w:pStyle w:val="Heading3"/>
        <w:numPr>
          <w:ilvl w:val="0"/>
          <w:numId w:val="0"/>
        </w:numPr>
        <w:ind w:hanging="0" w:start="0"/>
        <w:rPr/>
      </w:pPr>
      <w:bookmarkStart w:id="270" w:name="_Toc235565104"/>
      <w:r>
        <w:rPr/>
        <w:t>C.4.6 Limitações específicas</w:t>
      </w:r>
      <w:bookmarkEnd w:id="270"/>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projetos de preparação ou as séries físicas descritas no estudo principal.</w:t>
      </w:r>
    </w:p>
    <w:p>
      <w:pPr>
        <w:pStyle w:val="TextoNormal-IPCA"/>
        <w:rPr/>
      </w:pPr>
      <w:r>
        <w:rPr/>
      </w:r>
    </w:p>
    <w:p>
      <w:pPr>
        <w:pStyle w:val="Heading2"/>
        <w:numPr>
          <w:ilvl w:val="0"/>
          <w:numId w:val="0"/>
        </w:numPr>
        <w:ind w:hanging="0" w:start="0"/>
        <w:rPr/>
      </w:pPr>
      <w:bookmarkStart w:id="271" w:name="_Toc235565105"/>
      <w:r>
        <w:rPr/>
        <w:t>C.5 Paraglider Hand</w:t>
      </w:r>
      <w:bookmarkEnd w:id="271"/>
    </w:p>
    <w:p>
      <w:pPr>
        <w:pStyle w:val="TextoNormal-IPCA"/>
        <w:keepNext w:val="true"/>
        <w:rPr/>
      </w:pPr>
      <w:r>
        <w:rPr/>
      </w:r>
    </w:p>
    <w:p>
      <w:pPr>
        <w:pStyle w:val="Heading3"/>
        <w:numPr>
          <w:ilvl w:val="0"/>
          <w:numId w:val="0"/>
        </w:numPr>
        <w:ind w:hanging="0" w:start="0"/>
        <w:rPr/>
      </w:pPr>
      <w:bookmarkStart w:id="272" w:name="_Toc235565106"/>
      <w:r>
        <w:rPr/>
        <w:t>C.5.1 Origem e estratégia de adaptação</w:t>
      </w:r>
      <w:bookmarkEnd w:id="272"/>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inclui ainda dependências das linhagens Reborn Hand e UnLimbited Arm, com licenças próprias. A adaptação teve de permitir a variação digital de cada dedo, mantendo simultaneamente a palma sob escala uniforme para não deformar os furos dos pinos.</w:t>
      </w:r>
    </w:p>
    <w:p>
      <w:pPr>
        <w:pStyle w:val="TextoNormal-IPCA"/>
        <w:rPr/>
      </w:pPr>
      <w:r>
        <w:rPr/>
      </w:r>
    </w:p>
    <w:p>
      <w:pPr>
        <w:pStyle w:val="Heading3"/>
        <w:numPr>
          <w:ilvl w:val="0"/>
          <w:numId w:val="0"/>
        </w:numPr>
        <w:ind w:hanging="0" w:start="0"/>
        <w:rPr/>
      </w:pPr>
      <w:bookmarkStart w:id="273" w:name="_Toc235565107"/>
      <w:r>
        <w:rPr/>
        <w:t>C.5.2 Relações implementadas</w:t>
      </w:r>
      <w:bookmarkEnd w:id="273"/>
    </w:p>
    <w:p>
      <w:pPr>
        <w:pStyle w:val="TextoNormal-IPCA"/>
        <w:keepNext w:val="true"/>
        <w:rPr/>
      </w:pPr>
      <w:r>
        <w:rPr/>
      </w:r>
    </w:p>
    <w:p>
      <w:pPr>
        <w:pStyle w:val="Caption"/>
        <w:keepNext w:val="true"/>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lang w:val="en-US"/>
              </w:rPr>
            </w:pPr>
            <w:r>
              <w:rPr>
                <w:sz w:val="20"/>
                <w:szCs w:val="20"/>
                <w:lang w:val="en-US"/>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campo disponível, mas o polegar usa atualmente 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razão aplicada ao canal de retorno</w:t>
            </w:r>
          </w:p>
        </w:tc>
      </w:tr>
    </w:tbl>
    <w:p>
      <w:pPr>
        <w:pStyle w:val="TextoNormal-IPCA"/>
        <w:rPr/>
      </w:pPr>
      <w:r>
        <w:rPr/>
      </w:r>
    </w:p>
    <w:p>
      <w:pPr>
        <w:pStyle w:val="TextoNormal-IPCA"/>
        <w:rPr/>
      </w:pPr>
      <w:r>
        <w:rPr/>
        <w:t xml:space="preserve">A palma Reborn continha internamente o valor </w:t>
      </w:r>
      <w:r>
        <w:rPr>
          <w:rStyle w:val="SourceText"/>
          <w:rFonts w:eastAsia="Aptos" w:cs="Times New Roman" w:eastAsiaTheme="minorHAnsi"/>
        </w:rPr>
        <w:t>overall_scale = 1,25</w:t>
      </w:r>
      <w:r>
        <w:rPr/>
        <w:t xml:space="preserve">. Como o módulo é carregado através de </w:t>
      </w:r>
      <w:r>
        <w:rPr>
          <w:rStyle w:val="SourceText"/>
          <w:rFonts w:eastAsia="Aptos" w:cs="Times New Roman" w:eastAsiaTheme="minorHAnsi"/>
        </w:rPr>
        <w:t>use</w:t>
      </w:r>
      <w:r>
        <w:rPr/>
        <w:t>, este valor permanecia definido no âmbito do ficheiro de origem, sem ser substituído pela escala calculada no modelo principal. Para compensar este comportamento, a correção foi aplicada no ponto de chamada do módulo:</w:t>
      </w:r>
    </w:p>
    <w:p>
      <w:pPr>
        <w:pStyle w:val="TextoNormal-IPCA"/>
        <w:rPr/>
      </w:pPr>
      <w:r>
        <w:rPr>
          <w:rStyle w:val="SourceText"/>
          <w:rFonts w:eastAsia="Aptos" w:cs="Times New Roman" w:eastAsiaTheme="minorHAnsi"/>
        </w:rPr>
        <w:t>scale (overallscale / 1,25) × scaledpalm ()</w:t>
      </w:r>
    </w:p>
    <w:p>
      <w:pPr>
        <w:pStyle w:val="TextoNormal-IPCA"/>
        <w:rPr/>
      </w:pPr>
      <w:r>
        <w:rPr/>
        <w:t xml:space="preserve">O módulo continua, assim, a aplicar internamente o factor 1,25, mas o efeito final passa a corresponder à escala pretendida para a largura da palma. A transformação resultante equivale, na prática, a uma relação aproximada entre </w:t>
      </w:r>
      <w:r>
        <w:rPr>
          <w:rStyle w:val="SourceText"/>
          <w:rFonts w:eastAsia="Aptos" w:cs="Times New Roman" w:eastAsiaTheme="minorHAnsi"/>
        </w:rPr>
        <w:t>palm_breadth_mm</w:t>
      </w:r>
      <w:r>
        <w:rPr/>
        <w:t xml:space="preserve"> e o valor de referência 66,4 mm. A variante UnLimbited V3 não exigiu a mesma correção, pois é carregada por </w:t>
      </w:r>
      <w:r>
        <w:rPr>
          <w:rStyle w:val="SourceText"/>
          <w:rFonts w:eastAsia="Aptos" w:cs="Times New Roman" w:eastAsiaTheme="minorHAnsi"/>
        </w:rPr>
        <w:t>include</w:t>
      </w:r>
      <w:r>
        <w:rPr/>
        <w:t xml:space="preserve"> e recebe a escala definida no ficheiro principal.</w:t>
      </w:r>
    </w:p>
    <w:p>
      <w:pPr>
        <w:pStyle w:val="TextoNormal-IPCA"/>
        <w:rPr/>
      </w:pPr>
      <w:r>
        <w:rPr/>
        <w:t xml:space="preserve">Nos dedos indicador, anelar e mindinho, a escala é ajustada segundo uma razão própria em relação a </w:t>
      </w:r>
      <w:r>
        <w:rPr>
          <w:rStyle w:val="SourceText"/>
          <w:rFonts w:eastAsia="Aptos" w:cs="Times New Roman" w:eastAsiaTheme="minorHAnsi"/>
        </w:rPr>
        <w:t>global_scale</w:t>
      </w:r>
      <w:r>
        <w:rPr/>
        <w:t xml:space="preserve">. O dedo médio serve de referência de escala para os módulos. No estado examinado, o polegar ainda utiliza esta escala-base: embora </w:t>
      </w:r>
      <w:r>
        <w:rPr>
          <w:rStyle w:val="SourceText"/>
          <w:rFonts w:eastAsia="Aptos" w:cs="Times New Roman" w:eastAsiaTheme="minorHAnsi"/>
        </w:rPr>
        <w:t>thumb_length_mm</w:t>
      </w:r>
      <w:r>
        <w:rPr/>
        <w:t xml:space="preserve"> seja apresentado na interface e possa ser preenchido pelo perfil, o parâmetro não controla autonomamente a geometria do polegar. Esta discrepância deverá ser corrigida no modelo ou explicitada na especificação dos parâmetros, para evitar que um campo visível sugira um grau de controlo geométrico ainda inexistente na implementação.</w:t>
      </w:r>
    </w:p>
    <w:p>
      <w:pPr>
        <w:pStyle w:val="TextoNormal-IPCA"/>
        <w:rPr/>
      </w:pPr>
      <w:r>
        <w:rPr/>
      </w:r>
    </w:p>
    <w:p>
      <w:pPr>
        <w:pStyle w:val="Heading3"/>
        <w:numPr>
          <w:ilvl w:val="0"/>
          <w:numId w:val="0"/>
        </w:numPr>
        <w:ind w:hanging="0" w:start="0"/>
        <w:rPr/>
      </w:pPr>
      <w:bookmarkStart w:id="274" w:name="_Toc235565108"/>
      <w:r>
        <w:rPr/>
        <w:t xml:space="preserve">C.5.3 </w:t>
      </w:r>
      <w:r>
        <w:rPr>
          <w:i/>
          <w:iCs/>
        </w:rPr>
        <w:t>Hardware</w:t>
      </w:r>
      <w:r>
        <w:rPr/>
        <w:t xml:space="preserve"> e limites confirmáveis</w:t>
      </w:r>
      <w:bookmarkEnd w:id="274"/>
    </w:p>
    <w:p>
      <w:pPr>
        <w:pStyle w:val="TextoNormal-IPCA"/>
        <w:keepNext w:val="true"/>
        <w:rPr/>
      </w:pPr>
      <w:r>
        <w:rPr/>
      </w:r>
    </w:p>
    <w:p>
      <w:pPr>
        <w:pStyle w:val="TextoNormal-IPCA"/>
        <w:rPr/>
      </w:pPr>
      <w:r>
        <w:rPr/>
        <w:t xml:space="preserve">O seletor </w:t>
      </w:r>
      <w:r>
        <w:rPr>
          <w:rStyle w:val="SourceText"/>
        </w:rPr>
        <w:t>pin_index</w:t>
      </w:r>
      <w:r>
        <w:rPr/>
        <w:t xml:space="preserve"> permite escolher entre quatro famílias de pino. Os diâmetros nominais utilizados no código são 3,1 mm para parafuso de 3 mm, 1,5875 mm para pino de 1/16", aproximadamente 2,413 mm para prego de calibre 13 e 1,5875 mm para pino de 1/16" sem rolamento. O código estabelece também uma folga nominal de 0,5 mm para a aba, uma profundidade de 0,4 mm para o alojamento do rolamento e acréscimos locais de 0,25 ou 0,3 mm em algumas interfaces.</w:t>
      </w:r>
    </w:p>
    <w:p>
      <w:pPr>
        <w:pStyle w:val="TextoNormal-IPCA"/>
        <w:rPr/>
      </w:pPr>
      <w:r>
        <w:rPr/>
        <w:t xml:space="preserve">Estes valores são constantes ou opções de </w:t>
      </w:r>
      <w:r>
        <w:rPr>
          <w:i/>
          <w:iCs/>
        </w:rPr>
        <w:t>hardware</w:t>
      </w:r>
      <w:r>
        <w:rPr/>
        <w:t xml:space="preserve"> e não foram comparados com medições sistemáticas das peças impressas. A ativação dos canais de cordão e de elástico acrescenta operações geométricas demoradas, pelo que a pré-visualização os mantém desligados por omissão. Uma malha gerada sem esses canais não representa, portanto, uma peça funcionalmente completa.</w:t>
      </w:r>
    </w:p>
    <w:p>
      <w:pPr>
        <w:pStyle w:val="TextoNormal-IPCA"/>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Não participaram na comparação da mão isolada e não devem ser apresentados como dados testados nos ensaios principais.</w:t>
      </w:r>
    </w:p>
    <w:p>
      <w:pPr>
        <w:pStyle w:val="TextoNormal-IPCA"/>
        <w:rPr/>
      </w:pPr>
      <w:r>
        <w:rPr>
          <w:rStyle w:val="Strong"/>
        </w:rPr>
        <w:t>C.5.4 Exemplo de propagação paramétrica</w:t>
      </w:r>
    </w:p>
    <w:p>
      <w:pPr>
        <w:pStyle w:val="TextoNormal-IPCA"/>
        <w:rPr/>
      </w:pPr>
      <w:r>
        <w:rPr/>
        <w:t>O exemplo seguinte acompanha a propagação dos valores numa configuração com largura da palma de 64 mm, comprimento do dedo médio de 60 mm, indicador e anelar de 57 mm, mindinho de 46 mm e polegar declarado com 50 mm. A sua leitura requer a distinção entre a correção da escala da palma Reborn, a escala aplicada aos dedos longos e a limitação ainda existente no controlo do polegar.</w:t>
      </w:r>
    </w:p>
    <w:p>
      <w:pPr>
        <w:pStyle w:val="TextoNormal-IPCA"/>
        <w:rPr/>
      </w:pPr>
      <w:r>
        <w:rPr/>
        <w:t>A largura da palma começa por definir a escala global pretendida:</w:t>
      </w:r>
    </w:p>
    <w:p>
      <w:pPr>
        <w:pStyle w:val="TextoNormal-IPCA"/>
        <w:rPr/>
      </w:pPr>
      <w:r>
        <w:rPr>
          <w:rStyle w:val="SourceText"/>
        </w:rPr>
        <w:t>overallscale = 64 / 66,4 = 0,963855</w:t>
      </w:r>
    </w:p>
    <w:p>
      <w:pPr>
        <w:pStyle w:val="TextoNormal-IPCA"/>
        <w:rPr/>
      </w:pPr>
      <w:r>
        <w:rPr/>
        <w:t xml:space="preserve">Como a palma Reborn conserva internamente o factor </w:t>
      </w:r>
      <w:r>
        <w:rPr>
          <w:rStyle w:val="SourceText"/>
        </w:rPr>
        <w:t>1,25</w:t>
      </w:r>
      <w:r>
        <w:rPr/>
        <w:t>, a chamada ao módulo aplica-lhe uma correção inversa:</w:t>
      </w:r>
    </w:p>
    <w:p>
      <w:pPr>
        <w:pStyle w:val="TextoNormal-IPCA"/>
        <w:rPr/>
      </w:pPr>
      <w:r>
        <w:rPr>
          <w:rStyle w:val="SourceText"/>
        </w:rPr>
        <w:t>correcção_no_ponto_de_chamada = 0,963855 / 1,25 = 0,771084</w:t>
      </w:r>
    </w:p>
    <w:p>
      <w:pPr>
        <w:pStyle w:val="TextoNormal-IPCA"/>
        <w:rPr/>
      </w:pPr>
      <w:r>
        <w:rPr/>
        <w:t>O efeito líquido da escala da palma regressa, assim, ao valor pretendido:</w:t>
      </w:r>
    </w:p>
    <w:p>
      <w:pPr>
        <w:pStyle w:val="TextoNormal-IPCA"/>
        <w:rPr/>
      </w:pPr>
      <w:r>
        <w:rPr>
          <w:rStyle w:val="SourceText"/>
        </w:rPr>
        <w:t>efeito_líquido_da_palma = 1,25 × 0,771084 = 0,963855</w:t>
      </w:r>
    </w:p>
    <w:p>
      <w:pPr>
        <w:pStyle w:val="TextoNormal-IPCA"/>
        <w:rPr/>
      </w:pPr>
      <w:r>
        <w:rPr/>
        <w:t xml:space="preserve">Os dedos longos são depois escalados a partir do valor de referência de 57,6 mm. O dedo médio define a escala-base dos módulos </w:t>
      </w:r>
      <w:r>
        <w:rPr>
          <w:rStyle w:val="SourceText"/>
        </w:rPr>
        <w:t>fingerator</w:t>
      </w:r>
      <w:r>
        <w:rPr/>
        <w:t>:</w:t>
      </w:r>
    </w:p>
    <w:p>
      <w:pPr>
        <w:pStyle w:val="TextoNormal-IPCA"/>
        <w:rPr/>
      </w:pPr>
      <w:r>
        <w:rPr>
          <w:rStyle w:val="SourceText"/>
        </w:rPr>
        <w:t>global_scale_do_médio = 60 / 57,6 = 1,041667</w:t>
      </w:r>
    </w:p>
    <w:p>
      <w:pPr>
        <w:pStyle w:val="TextoNormal-IPCA"/>
        <w:rPr/>
      </w:pPr>
      <w:r>
        <w:rPr/>
        <w:t>Os restantes dedos recebem escalas próprias, calculadas em relação ao mesmo valor de referência:</w:t>
      </w:r>
    </w:p>
    <w:p>
      <w:pPr>
        <w:pStyle w:val="TextoNormal-IPCA"/>
        <w:rPr/>
      </w:pPr>
      <w:r>
        <w:rPr>
          <w:rStyle w:val="SourceText"/>
        </w:rPr>
        <w:t>escala_do_indicador = 57 / 57,6 = 0,989583</w:t>
      </w:r>
    </w:p>
    <w:p>
      <w:pPr>
        <w:pStyle w:val="TextoNormal-IPCA"/>
        <w:rPr/>
      </w:pPr>
      <w:r>
        <w:rPr>
          <w:rStyle w:val="SourceText"/>
        </w:rPr>
        <w:t>escala_do_anelar = 57 / 57,6 = 0,989583</w:t>
      </w:r>
    </w:p>
    <w:p>
      <w:pPr>
        <w:pStyle w:val="TextoNormal-IPCA"/>
        <w:rPr/>
      </w:pPr>
      <w:r>
        <w:rPr>
          <w:rStyle w:val="SourceText"/>
        </w:rPr>
        <w:t>escala_do_mindinho = 46 / 57,6 = 0,798611</w:t>
      </w:r>
    </w:p>
    <w:p>
      <w:pPr>
        <w:pStyle w:val="TextoNormal-IPCA"/>
        <w:rPr/>
      </w:pPr>
      <w:r>
        <w:rPr/>
        <w:t xml:space="preserve">No estado examinado, o polegar ainda não possui uma escala autónoma derivada de </w:t>
      </w:r>
      <w:r>
        <w:rPr>
          <w:rStyle w:val="SourceText"/>
        </w:rPr>
        <w:t>thumb_length_mm</w:t>
      </w:r>
      <w:r>
        <w:rPr/>
        <w:t>. Embora o perfil declare 50 mm para o polegar, a escala aplicada continua a ser a escala-base do dedo médio:</w:t>
      </w:r>
    </w:p>
    <w:p>
      <w:pPr>
        <w:pStyle w:val="TextoNormal-IPCA"/>
        <w:rPr/>
      </w:pPr>
      <w:r>
        <w:rPr>
          <w:rStyle w:val="SourceText"/>
        </w:rPr>
        <w:t>escala_actualmente_aplicada_ao_polegar = 1,041667</w:t>
      </w:r>
    </w:p>
    <w:p>
      <w:pPr>
        <w:pStyle w:val="TextoNormal-IPCA"/>
        <w:rPr/>
      </w:pPr>
      <w:r>
        <w:rPr/>
        <w:t>Este último valor evidencia que o comprimento declarado para o polegar não é propagado como parâmetro independente. O exemplo deve, por isso, ser interpretado como diagnóstico de uma limitação do modelo, não como demonstração de correspondência anatómica individual.</w:t>
      </w:r>
    </w:p>
    <w:p>
      <w:pPr>
        <w:pStyle w:val="Normal"/>
        <w:rPr/>
      </w:pPr>
      <w:r>
        <w:rPr/>
      </w:r>
    </w:p>
    <w:p>
      <w:pPr>
        <w:pStyle w:val="Heading3"/>
        <w:numPr>
          <w:ilvl w:val="0"/>
          <w:numId w:val="0"/>
        </w:numPr>
        <w:ind w:hanging="0" w:start="0"/>
        <w:rPr/>
      </w:pPr>
      <w:bookmarkStart w:id="275" w:name="_Toc235565109"/>
      <w:r>
        <w:rPr/>
        <w:t>C.5.5 Limitações específicas</w:t>
      </w:r>
      <w:bookmarkEnd w:id="275"/>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bookmarkStart w:id="276" w:name="_Toc235565110"/>
      <w:r>
        <w:rPr/>
        <w:t>C.6 UnLimbited Phoenix Hand</w:t>
      </w:r>
      <w:bookmarkEnd w:id="276"/>
    </w:p>
    <w:p>
      <w:pPr>
        <w:pStyle w:val="TextoNormal-IPCA"/>
        <w:keepNext w:val="true"/>
        <w:rPr/>
      </w:pPr>
      <w:r>
        <w:rPr/>
      </w:r>
    </w:p>
    <w:p>
      <w:pPr>
        <w:pStyle w:val="Heading3"/>
        <w:numPr>
          <w:ilvl w:val="0"/>
          <w:numId w:val="0"/>
        </w:numPr>
        <w:ind w:hanging="0" w:start="0"/>
        <w:rPr/>
      </w:pPr>
      <w:bookmarkStart w:id="277" w:name="_Toc235565111"/>
      <w:r>
        <w:rPr/>
        <w:t>C.6.1 Origem e estratégia de adaptação</w:t>
      </w:r>
      <w:bookmarkEnd w:id="277"/>
    </w:p>
    <w:p>
      <w:pPr>
        <w:pStyle w:val="TextoNormal-IPCA"/>
        <w:keepNext w:val="true"/>
        <w:rPr/>
      </w:pPr>
      <w:r>
        <w:rPr/>
      </w:r>
    </w:p>
    <w:p>
      <w:pPr>
        <w:pStyle w:val="TextoNormal-IPCA"/>
        <w:rPr/>
      </w:pPr>
      <w:r>
        <w:rPr/>
        <w:t>O UnLimbited Phoenix Hand local deriva do trabalho da equipa UnLimbited/e-NABLE, e o ficheiro-fonte indica a licença CC BY-NC-SA 4.0. A geometria herdada é constituída sobretudo por malhas e poliedros de dimensão fixa. A adaptação preservou essas zonas e introduziu uma escala uniforme para o conjunto e um alongamento localizado dos segmentos digitais em faixas sem furos.</w:t>
      </w:r>
    </w:p>
    <w:p>
      <w:pPr>
        <w:pStyle w:val="TextoNormal-IPCA"/>
        <w:rPr/>
      </w:pPr>
      <w:r>
        <w:rPr/>
      </w:r>
    </w:p>
    <w:p>
      <w:pPr>
        <w:pStyle w:val="Heading3"/>
        <w:numPr>
          <w:ilvl w:val="0"/>
          <w:numId w:val="0"/>
        </w:numPr>
        <w:ind w:hanging="0" w:start="0"/>
        <w:rPr/>
      </w:pPr>
      <w:bookmarkStart w:id="278" w:name="_Toc235565112"/>
      <w:r>
        <w:rPr/>
        <w:t>C.6.2 Escala global e limite dimensional mínimo</w:t>
      </w:r>
      <w:bookmarkEnd w:id="278"/>
    </w:p>
    <w:p>
      <w:pPr>
        <w:pStyle w:val="TextoNormal-IPCA"/>
        <w:keepNext w:val="true"/>
        <w:rPr/>
      </w:pPr>
      <w:r>
        <w:rPr/>
      </w:r>
    </w:p>
    <w:p>
      <w:pPr>
        <w:pStyle w:val="TextoNormal-IPCA"/>
        <w:rPr/>
      </w:pPr>
      <w:r>
        <w:rPr/>
        <w:t xml:space="preserve">O modelo Phoenix define a escala global da mão com base numa largura de referência da palma de 82 mm. A percentagem de escala pode ser determinada de duas formas. Se o parâmetro manual </w:t>
      </w:r>
      <w:r>
        <w:rPr>
          <w:rStyle w:val="SourceText"/>
        </w:rPr>
        <w:t>HandPerc_override</w:t>
      </w:r>
      <w:r>
        <w:rPr/>
        <w:t xml:space="preserve"> for superior a zero, o sistema utiliza esse valor como percentagem de escala, limitada ao intervalo entre 100% e 160%:</w:t>
      </w:r>
    </w:p>
    <w:p>
      <w:pPr>
        <w:pStyle w:val="TextoNormal-IPCA"/>
        <w:rPr/>
      </w:pPr>
      <w:r>
        <w:rPr>
          <w:rStyle w:val="SourceText"/>
        </w:rPr>
        <w:t>HandPerc = limitar (HandPerc_override, 100, 160)</w:t>
      </w:r>
    </w:p>
    <w:p>
      <w:pPr>
        <w:pStyle w:val="TextoNormal-IPCA"/>
        <w:rPr/>
      </w:pPr>
      <w:r>
        <w:rPr/>
        <w:t xml:space="preserve">Se </w:t>
      </w:r>
      <w:r>
        <w:rPr>
          <w:rStyle w:val="SourceText"/>
        </w:rPr>
        <w:t>HandPerc_override</w:t>
      </w:r>
      <w:r>
        <w:rPr/>
        <w:t xml:space="preserve"> for igual a zero, o valor é interpretado como uma instrução para calcular automaticamente a escala com base na largura da palma:</w:t>
      </w:r>
    </w:p>
    <w:p>
      <w:pPr>
        <w:pStyle w:val="TextoNormal-IPCA"/>
        <w:rPr/>
      </w:pPr>
      <w:r>
        <w:rPr>
          <w:rStyle w:val="SourceText"/>
        </w:rPr>
        <w:t>HandPerc = limitar ((palm_breadth_mm / 82) × 100, 100, 160)</w:t>
      </w:r>
    </w:p>
    <w:p>
      <w:pPr>
        <w:pStyle w:val="TextoNormal-IPCA"/>
        <w:rPr/>
      </w:pPr>
      <w:r>
        <w:rPr>
          <w:rStyle w:val="SourceText"/>
        </w:rPr>
        <w:t>palm_breadth_mm</w:t>
      </w:r>
      <w:r>
        <w:rPr/>
        <w:t xml:space="preserve"> é, assim, declarado no intervalo entre 82 e 131 mm, que corresponde ao intervalo de escala admissível do modelo. Qualquer largura de palma inferior a 82 mm fica sujeita ao limite mínimo de 100%, produzindo o menor tamanho permitido pelo modelo, e não uma geometria proporcional à medida introduzida. De igual modo, os valores superiores ao limite máximo são restringidos pelo tecto de 160%.</w:t>
      </w:r>
    </w:p>
    <w:p>
      <w:pPr>
        <w:pStyle w:val="TextoNormal-IPCA"/>
        <w:rPr/>
      </w:pPr>
      <w:r>
        <w:rPr/>
        <w:t>Esta regra condiciona a interpretação antropométrica do modelo. Um perfil com largura de palma inferior a 82 mm não deve ser descrito como individualmente adaptado à medida indicada, mas rejeitado, assinalado como exterior à cobertura dimensional do modelo ou acompanhado de um aviso explícito sobre esta limitação.</w:t>
      </w:r>
    </w:p>
    <w:p>
      <w:pPr>
        <w:pStyle w:val="Normal"/>
        <w:rPr/>
      </w:pPr>
      <w:r>
        <w:rPr/>
      </w:r>
    </w:p>
    <w:p>
      <w:pPr>
        <w:pStyle w:val="Heading3"/>
        <w:numPr>
          <w:ilvl w:val="0"/>
          <w:numId w:val="0"/>
        </w:numPr>
        <w:ind w:hanging="0" w:start="0"/>
        <w:rPr/>
      </w:pPr>
      <w:bookmarkStart w:id="279" w:name="_Toc235565113"/>
      <w:r>
        <w:rPr/>
        <w:t>C.6.3 Comprimentos digitais e preservação dos furos</w:t>
      </w:r>
      <w:bookmarkEnd w:id="279"/>
    </w:p>
    <w:p>
      <w:pPr>
        <w:pStyle w:val="TextoNormal-IPCA"/>
        <w:keepNext w:val="true"/>
        <w:rPr/>
      </w:pPr>
      <w:r>
        <w:rPr/>
      </w:r>
    </w:p>
    <w:p>
      <w:pPr>
        <w:pStyle w:val="TextoNormal-IPCA"/>
        <w:rPr/>
      </w:pPr>
      <w:r>
        <w:rPr/>
        <w:t>Os quatro dedos têm inicialmente 72 mm de comprimento total e 31 mm de segmento proximal. Os comprimentos totais variam entre 55 e 115 mm, e os proximais entre 18 e 55 mm. O polegar parte igualmente de 72 e 31 mm, com intervalos respetivos de 45–80 e 18–50 mm.</w:t>
      </w:r>
    </w:p>
    <w:p>
      <w:pPr>
        <w:pStyle w:val="TextoNormal-IPCA"/>
        <w:rPr/>
      </w:pPr>
      <w:r>
        <w:rPr/>
        <w:t>O modelo utiliza as referências locais de 31 mm para o segmento proximal e 41 mm para o distal:</w:t>
      </w:r>
    </w:p>
    <w:p>
      <w:pPr>
        <w:pStyle w:val="TextoNormal-IPCA"/>
        <w:rPr/>
      </w:pPr>
      <w:r>
        <w:rPr/>
      </w:r>
    </w:p>
    <w:p>
      <w:pPr>
        <w:pStyle w:val="TextoNormal-IPCA"/>
        <w:ind w:hanging="0" w:start="340"/>
        <w:jc w:val="start"/>
        <w:rPr>
          <w:lang w:val="en-US"/>
        </w:rPr>
      </w:pPr>
      <w:r>
        <w:rPr>
          <w:lang w:val="en-US"/>
        </w:rPr>
        <w:t>bd = baselengthmm − 31</w:t>
        <w:br/>
        <w:t>td = (fingerlengthmm − baselengthmm) − 41</w:t>
      </w:r>
    </w:p>
    <w:p>
      <w:pPr>
        <w:pStyle w:val="TextoNormal-IPCA"/>
        <w:rPr>
          <w:lang w:val="en-US"/>
        </w:rPr>
      </w:pPr>
      <w:r>
        <w:rPr>
          <w:lang w:val="en-US"/>
        </w:rPr>
      </w:r>
    </w:p>
    <w:p>
      <w:pPr>
        <w:pStyle w:val="TextoNormal-IPCA"/>
        <w:rPr/>
      </w:pPr>
      <w:r>
        <w:rPr/>
        <w:t>A função stretch_shaft () divide a malha em três zonas: a dobradiça permanece fixa, uma faixa sem furos é alongada ou encurtada e a extremidade oposta é deslocada pelo mesmo valor. No segmento proximal, essa faixa situa-se entre Y = 20 e Y = 42; no distal, entre Y = −48 e Y = −14. As zonas dos furos não são, portanto, sujeitas a escala não uniforme e mantêm a secção circular.</w:t>
      </w:r>
    </w:p>
    <w:p>
      <w:pPr>
        <w:pStyle w:val="TextoNormal-IPCA"/>
        <w:rPr/>
      </w:pPr>
      <w:r>
        <w:rPr/>
      </w:r>
    </w:p>
    <w:p>
      <w:pPr>
        <w:pStyle w:val="Heading3"/>
        <w:numPr>
          <w:ilvl w:val="0"/>
          <w:numId w:val="0"/>
        </w:numPr>
        <w:ind w:hanging="0" w:start="0"/>
        <w:rPr/>
      </w:pPr>
      <w:bookmarkStart w:id="280" w:name="_Toc235565114"/>
      <w:r>
        <w:rPr/>
        <w:t>C.6.4 Dependência entre comprimento dos dedos e escala global</w:t>
      </w:r>
      <w:bookmarkEnd w:id="280"/>
    </w:p>
    <w:p>
      <w:pPr>
        <w:pStyle w:val="TextoNormal-IPCA"/>
        <w:keepNext w:val="true"/>
        <w:rPr/>
      </w:pPr>
      <w:r>
        <w:rPr/>
      </w:r>
    </w:p>
    <w:p>
      <w:pPr>
        <w:pStyle w:val="TextoNormal-IPCA"/>
        <w:rPr/>
      </w:pPr>
      <w:r>
        <w:rPr/>
        <w:t xml:space="preserve">No modelo Phoenix, o comprimento dos dedos resulta de duas operações sucessivas. Cada segmento é primeiro alterado localmente segundo os parâmetros definidos para o comprimento total e para a divisão proximal–distal. Em seguida, aplica-se a toda a montagem uma escala global através de </w:t>
      </w:r>
      <w:r>
        <w:rPr>
          <w:rStyle w:val="SourceText"/>
        </w:rPr>
        <w:t>scale (HandPerc/100)</w:t>
      </w:r>
      <w:r>
        <w:rPr/>
        <w:t>.</w:t>
      </w:r>
    </w:p>
    <w:p>
      <w:pPr>
        <w:pStyle w:val="TextoNormal-IPCA"/>
        <w:rPr/>
      </w:pPr>
      <w:r>
        <w:rPr/>
        <w:t xml:space="preserve">Por esta razão, quando HandPerc é diferente de 100%, os parâmetros com o sufixo </w:t>
      </w:r>
      <w:r>
        <w:rPr>
          <w:rStyle w:val="SourceText"/>
        </w:rPr>
        <w:t>*_finger_length_mm</w:t>
      </w:r>
      <w:r>
        <w:rPr/>
        <w:t xml:space="preserve"> não correspondem necessariamente ao comprimento final da peça impressa. Nesses casos, esse comprimento resulta da combinação da alteração local do dedo com a escala uniforme aplicada ao conjunto da mão.</w:t>
      </w:r>
    </w:p>
    <w:p>
      <w:pPr>
        <w:pStyle w:val="TextoNormal-IPCA"/>
        <w:rPr/>
      </w:pPr>
      <w:r>
        <w:rPr/>
        <w:t>Esta dependência condiciona a interpretação da documentação interna do modelo. A correspondência direta entre a alteração local e o comprimento final só pode ser confirmada quando a escala global é igual a 100%. Para outras larguras de palma, é necessário verificar a dimensão final na malha resultante ou reformular a transformação para compensar explicitamente o efeito da escala global.</w:t>
      </w:r>
    </w:p>
    <w:p>
      <w:pPr>
        <w:pStyle w:val="Heading3"/>
        <w:numPr>
          <w:ilvl w:val="0"/>
          <w:numId w:val="0"/>
        </w:numPr>
        <w:ind w:hanging="0" w:start="0"/>
        <w:rPr/>
      </w:pPr>
      <w:bookmarkStart w:id="281" w:name="_Toc235565115"/>
      <w:r>
        <w:rPr/>
        <w:t>C.6.5 Exemplo de propagação paramétrica</w:t>
      </w:r>
      <w:bookmarkEnd w:id="281"/>
    </w:p>
    <w:p>
      <w:pPr>
        <w:pStyle w:val="TextoNormal-IPCA"/>
        <w:keepNext w:val="true"/>
        <w:rPr/>
      </w:pPr>
      <w:r>
        <w:rPr/>
      </w:r>
    </w:p>
    <w:p>
      <w:pPr>
        <w:pStyle w:val="TextoNormal-IPCA"/>
        <w:rPr/>
      </w:pPr>
      <w:r>
        <w:rPr/>
        <w:t>O exemplo seguinte mostra a diferença entre o comprimento local nominal e o comprimento obtido após a aplicação da escala global. Considera-se primeiro uma configuração com um dedo médio de 100 mm, um segmento proximal de 40 mm e uma largura da palma de 82 mm.</w:t>
      </w:r>
    </w:p>
    <w:p>
      <w:pPr>
        <w:pStyle w:val="TextoNormal-IPCA"/>
        <w:rPr/>
      </w:pPr>
      <w:r>
        <w:rPr/>
        <w:t>Como a largura da palma coincide com a referência do modelo, a escala global corresponde a 100%:</w:t>
      </w:r>
    </w:p>
    <w:p>
      <w:pPr>
        <w:pStyle w:val="TextoNormal-IPCA"/>
        <w:rPr/>
      </w:pPr>
      <w:r>
        <w:rPr>
          <w:rStyle w:val="SourceText"/>
        </w:rPr>
        <w:t>HandPerc = 100%</w:t>
      </w:r>
    </w:p>
    <w:p>
      <w:pPr>
        <w:pStyle w:val="TextoNormal-IPCA"/>
        <w:rPr/>
      </w:pPr>
      <w:r>
        <w:rPr/>
        <w:t>A alteração local do segmento proximal calcula-se pela diferença entre o valor pretendido e a referência interna do modelo:</w:t>
      </w:r>
    </w:p>
    <w:p>
      <w:pPr>
        <w:pStyle w:val="TextoNormal-IPCA"/>
        <w:rPr/>
      </w:pPr>
      <w:r>
        <w:rPr>
          <w:rStyle w:val="SourceText"/>
        </w:rPr>
        <w:t>bd = 40 − 31 = 9 mm</w:t>
      </w:r>
    </w:p>
    <w:p>
      <w:pPr>
        <w:pStyle w:val="TextoNormal-IPCA"/>
        <w:rPr/>
      </w:pPr>
      <w:r>
        <w:rPr/>
        <w:t>O segmento distal corresponde ao comprimento restante, também calculado por diferença em relação à referência interna:</w:t>
      </w:r>
    </w:p>
    <w:p>
      <w:pPr>
        <w:pStyle w:val="TextoNormal-IPCA"/>
        <w:rPr/>
      </w:pPr>
      <w:r>
        <w:rPr>
          <w:rStyle w:val="SourceText"/>
        </w:rPr>
        <w:t>td = (100 − 40) − 41 = 19 mm</w:t>
      </w:r>
    </w:p>
    <w:p>
      <w:pPr>
        <w:pStyle w:val="TextoNormal-IPCA"/>
        <w:rPr/>
      </w:pPr>
      <w:r>
        <w:rPr/>
        <w:t>O comprimento local nominal antes da escala global é, portanto:</w:t>
      </w:r>
    </w:p>
    <w:p>
      <w:pPr>
        <w:pStyle w:val="TextoNormal-IPCA"/>
        <w:rPr/>
      </w:pPr>
      <w:r>
        <w:rPr>
          <w:rStyle w:val="SourceText"/>
        </w:rPr>
        <w:t>comprimento_local_nominal = 72 + 9 + 19 = 100 mm</w:t>
      </w:r>
    </w:p>
    <w:p>
      <w:pPr>
        <w:pStyle w:val="TextoNormal-IPCA"/>
        <w:rPr/>
      </w:pPr>
      <w:r>
        <w:rPr/>
        <w:t xml:space="preserve">Neste primeiro caso, sendo </w:t>
      </w:r>
      <w:r>
        <w:rPr>
          <w:rStyle w:val="SourceText"/>
        </w:rPr>
        <w:t>HandPerc = 100%</w:t>
      </w:r>
      <w:r>
        <w:rPr/>
        <w:t>, a escala global não altera o comprimento local nominal.</w:t>
      </w:r>
    </w:p>
    <w:p>
      <w:pPr>
        <w:pStyle w:val="TextoNormal-IPCA"/>
        <w:rPr/>
      </w:pPr>
      <w:r>
        <w:rPr/>
        <w:t>Mantendo os mesmos parâmetros de comprimento, mas aumentando a largura da palma para 100 mm, a escala global deixa de corresponder a 100%:</w:t>
      </w:r>
    </w:p>
    <w:p>
      <w:pPr>
        <w:pStyle w:val="TextoNormal-IPCA"/>
        <w:rPr/>
      </w:pPr>
      <w:r>
        <w:rPr>
          <w:rStyle w:val="SourceText"/>
        </w:rPr>
        <w:t>HandPerc = (100 / 82) × 100 = 121,951%</w:t>
      </w:r>
    </w:p>
    <w:p>
      <w:pPr>
        <w:pStyle w:val="TextoNormal-IPCA"/>
        <w:rPr/>
      </w:pPr>
      <w:r>
        <w:rPr/>
        <w:t xml:space="preserve">Antes da escala global, o comprimento local nominal do dedo mantém-se em 100 mm. Após a aplicação da escala uniforme à montagem, porém, esse valor é multiplicado por </w:t>
      </w:r>
      <w:r>
        <w:rPr>
          <w:rStyle w:val="SourceText"/>
        </w:rPr>
        <w:t>HandPerc/100</w:t>
      </w:r>
      <w:r>
        <w:rPr/>
        <w:t>:</w:t>
      </w:r>
    </w:p>
    <w:p>
      <w:pPr>
        <w:pStyle w:val="TextoNormal-IPCA"/>
        <w:rPr/>
      </w:pPr>
      <w:r>
        <w:rPr>
          <w:rStyle w:val="SourceText"/>
        </w:rPr>
        <w:t>comprimento_nominal_após_escala_global ≈ 100 × 1,21951 = 121,951 mm</w:t>
      </w:r>
    </w:p>
    <w:p>
      <w:pPr>
        <w:pStyle w:val="TextoNormal-IPCA"/>
        <w:rPr/>
      </w:pPr>
      <w:r>
        <w:rPr/>
        <w:t>Este segundo cálculo não substitui a medição direta da malha, da caixa envolvente ou do trajeto MCP–ponta. Mostra, contudo, que o parâmetro de comprimento do dedo é novamente afetado pela escala global da mão, pelo que a sua interpretação como medida final requer verificação geométrica posterior.</w:t>
      </w:r>
    </w:p>
    <w:p>
      <w:pPr>
        <w:pStyle w:val="Normal"/>
        <w:rPr/>
      </w:pPr>
      <w:r>
        <w:rPr/>
      </w:r>
    </w:p>
    <w:p>
      <w:pPr>
        <w:pStyle w:val="Heading3"/>
        <w:numPr>
          <w:ilvl w:val="0"/>
          <w:numId w:val="0"/>
        </w:numPr>
        <w:ind w:hanging="0" w:start="0"/>
        <w:rPr/>
      </w:pPr>
      <w:bookmarkStart w:id="282" w:name="_Toc235565116"/>
      <w:r>
        <w:rPr/>
        <w:t>C.6.6 Componentes fixos e tolerâncias confirmáveis</w:t>
      </w:r>
      <w:bookmarkEnd w:id="282"/>
    </w:p>
    <w:p>
      <w:pPr>
        <w:pStyle w:val="TextoNormal-IPCA"/>
        <w:keepNext w:val="true"/>
        <w:rPr/>
      </w:pPr>
      <w:r>
        <w:rPr/>
      </w:r>
    </w:p>
    <w:p>
      <w:pPr>
        <w:pStyle w:val="TextoNormal-IPCA"/>
        <w:rPr/>
      </w:pPr>
      <w:r>
        <w:rPr/>
        <w:t>Os pinos, o bloco tensor e os pinos do tensor foram reconstruídos com base em medições do ficheiro STEP e mantêm-se como componentes fixos. Os ficheiros incluem os raios e as posições medidos para cada corpo, mas não contêm um parâmetro global de folga nem um ensaio dimensional consolidado que permita declarar tolerâncias de montagem. Estes componentes são também afetados pela escala uniforme da montagem.</w:t>
      </w:r>
    </w:p>
    <w:p>
      <w:pPr>
        <w:pStyle w:val="TextoNormal-IPCA"/>
        <w:rPr/>
      </w:pPr>
      <w:r>
        <w:rPr/>
        <w:t>A reconstrução preserva a circularidade dos furos durante o alongamento local dos dedos. Esta propriedade geométrica não demonstra, porém, que a folga final entre o pino e o furo seja adequada após a impressão, considerando o material e a escala escolhida.</w:t>
      </w:r>
    </w:p>
    <w:p>
      <w:pPr>
        <w:pStyle w:val="TextoNormal-IPCA"/>
        <w:rPr/>
      </w:pPr>
      <w:r>
        <w:rPr/>
      </w:r>
    </w:p>
    <w:p>
      <w:pPr>
        <w:pStyle w:val="Heading3"/>
        <w:numPr>
          <w:ilvl w:val="0"/>
          <w:numId w:val="0"/>
        </w:numPr>
        <w:ind w:hanging="0" w:start="0"/>
        <w:rPr/>
      </w:pPr>
      <w:bookmarkStart w:id="283" w:name="_Toc235565117"/>
      <w:r>
        <w:rPr/>
        <w:t>C.6.7 Limitações específicas</w:t>
      </w:r>
      <w:bookmarkEnd w:id="283"/>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bookmarkStart w:id="284" w:name="_Toc235565118"/>
      <w:r>
        <w:rPr/>
        <w:t>C.7 Síntese comparativa das estratégias</w:t>
      </w:r>
      <w:bookmarkEnd w:id="284"/>
    </w:p>
    <w:p>
      <w:pPr>
        <w:pStyle w:val="TextoNormal-IPCA"/>
        <w:keepNext w:val="true"/>
        <w:rPr/>
      </w:pPr>
      <w:r>
        <w:rPr/>
      </w:r>
    </w:p>
    <w:p>
      <w:pPr>
        <w:pStyle w:val="Caption"/>
        <w:keepNext w:val="true"/>
        <w:rPr/>
      </w:pPr>
      <w:r>
        <w:rPr/>
        <w:t>Tabela C.4 — Comparação das adaptações e exceções de escala</w:t>
      </w:r>
    </w:p>
    <w:tbl>
      <w:tblPr>
        <w:tblStyle w:val="TabelacomGrelha"/>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campo de largura da palma não coincide diretamente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digitais voltam a ser afetados pela escala global</w:t>
            </w:r>
          </w:p>
        </w:tc>
      </w:tr>
    </w:tbl>
    <w:p>
      <w:pPr>
        <w:pStyle w:val="TextoNormal-IPCA"/>
        <w:rPr/>
      </w:pPr>
      <w:r>
        <w:rPr/>
      </w:r>
    </w:p>
    <w:p>
      <w:pPr>
        <w:pStyle w:val="TextoNormal-IPCA"/>
        <w:rPr/>
      </w:pPr>
      <w:r>
        <w:rPr/>
        <w:t>A crítica ao escalonamento uniforme mantém-se válida quando este constitui a única resposta à diversidade antropométrica. Nos modelos analisados, porém, a escala uniforme continuou a ser necessária em zonas cuja arquitetura herdada dependia de furos circulares, espaçamentos constantes ou componentes montados como um sistema indivisível. A opção de projeto consistiu, portanto, em limitar a escala uniforme aos elementos em que permanecia tecnicamente justificada e acrescentar parâmetros locais nas zonas cuja geometria permitia maior diferenciação dimensional.</w:t>
      </w:r>
    </w:p>
    <w:p>
      <w:pPr>
        <w:pStyle w:val="TextoNormal-IPCA"/>
        <w:rPr/>
      </w:pPr>
      <w:r>
        <w:rPr/>
        <w:t>Esta solução proporciona diferentes níveis de adaptação. O Flexy Beast e o Cyborg Beast separam a largura da mão, os comprimentos digitais e a braçadeira; o Paraglider separa a escala da palma de parte dos comprimentos digitais; o Phoenix preserva a escala global e introduz alongamentos localizados. Assim, os quatro modelos não são intercambiáveis nem oferecem o mesmo grau de configuração.</w:t>
      </w:r>
    </w:p>
    <w:p>
      <w:pPr>
        <w:pStyle w:val="TextoNormal-IPCA"/>
        <w:rPr/>
      </w:pPr>
      <w:r>
        <w:rPr/>
      </w:r>
    </w:p>
    <w:p>
      <w:pPr>
        <w:pStyle w:val="Heading2"/>
        <w:numPr>
          <w:ilvl w:val="0"/>
          <w:numId w:val="0"/>
        </w:numPr>
        <w:ind w:hanging="576" w:start="576"/>
        <w:rPr/>
      </w:pPr>
      <w:bookmarkStart w:id="285" w:name="_Toc235565119"/>
      <w:r>
        <w:rPr>
          <w:rStyle w:val="Strong"/>
          <w:b w:val="false"/>
        </w:rPr>
        <w:t>C.8 Critérios de aceitação, limitação e rejeição</w:t>
      </w:r>
      <w:bookmarkEnd w:id="285"/>
    </w:p>
    <w:p>
      <w:pPr>
        <w:pStyle w:val="TextoNormal-IPCA"/>
        <w:rPr/>
      </w:pPr>
      <w:r>
        <w:rPr/>
        <w:t>Uma configuração pode avançar para geração se contiver os campos necessários, apresentar valores numéricos positivos e os mantiver dentro dos intervalos declarados para o modelo. Nestas condições, a geometria pode ser gerada para inspeção, sem que isso implique validação funcional, clínica ou de fabrico.</w:t>
      </w:r>
    </w:p>
    <w:p>
      <w:pPr>
        <w:pStyle w:val="TextoNormal-IPCA"/>
        <w:rPr/>
      </w:pPr>
      <w:r>
        <w:rPr/>
        <w:t>A configuração deve ser assinalada como limitada quando o sistema consegue gerar a geometria, mas a relação entre os dados introduzidos e o resultado exige cautela. É o que sucede quando uma medida é fixada no limite mínimo ou máximo do modelo, um campo desempenha uma função apenas contextual ou a transformação paramétrica não estabelece uma correspondência direta entre o valor declarado e a dimensão final da malha.</w:t>
      </w:r>
    </w:p>
    <w:p>
      <w:pPr>
        <w:pStyle w:val="TextoNormal-IPCA"/>
        <w:rPr/>
      </w:pPr>
      <w:r>
        <w:rPr/>
        <w:t>A passagem direta para fabrico deve ser impedida ou, pelo menos, sujeita a revisão técnica quando o perfil se encontra fora da gama dimensional do modelo; o comprimento proximal é igual ou superior ao comprimento total do dedo; uma alteração faz um valor interno atingir os limites de uma alavanca calibrada; faltam componentes necessários à função, como juntas flexíveis ou canais de tração; a malha é aberta, não estanque ou contém faces degeneradas sem justificação construtiva; a folga ou a espessura não foi confirmada para a combinação de material, impressora e orientação; ou é introduzido no modelo, contornando os controlos da interface, um valor fora do intervalo declarado.</w:t>
      </w:r>
    </w:p>
    <w:p>
      <w:pPr>
        <w:pStyle w:val="TextoNormal-IPCA"/>
        <w:rPr/>
      </w:pPr>
      <w:r>
        <w:rPr/>
        <w:t xml:space="preserve">No estado atual, estas condições também não estão implementadas como bloqueios automáticos em cada ficheiro OpenSCAD. Algumas são tratadas por limites da interface, outras por funções </w:t>
      </w:r>
      <w:r>
        <w:rPr>
          <w:rStyle w:val="SourceText"/>
          <w:i/>
          <w:iCs/>
        </w:rPr>
        <w:t>min</w:t>
      </w:r>
      <w:r>
        <w:rPr>
          <w:i/>
          <w:iCs/>
        </w:rPr>
        <w:t>/</w:t>
      </w:r>
      <w:r>
        <w:rPr>
          <w:rStyle w:val="SourceText"/>
          <w:i/>
          <w:iCs/>
        </w:rPr>
        <w:t>max</w:t>
      </w:r>
      <w:r>
        <w:rPr/>
        <w:t xml:space="preserve"> e outras permanecem critérios de revisão técnica. Esta distinção deve ser preservada na investigação, para que as restrições já implementadas não sejam confundidas com critérios metodológicos ainda dependentes de verificação externa.</w:t>
      </w:r>
    </w:p>
    <w:p>
      <w:pPr>
        <w:pStyle w:val="TextoNormal-IPCA"/>
        <w:ind w:hanging="0"/>
        <w:rPr/>
      </w:pPr>
      <w:r>
        <w:rPr/>
      </w:r>
    </w:p>
    <w:p>
      <w:pPr>
        <w:pStyle w:val="Heading2"/>
        <w:numPr>
          <w:ilvl w:val="0"/>
          <w:numId w:val="0"/>
        </w:numPr>
        <w:ind w:hanging="0" w:start="0"/>
        <w:rPr/>
      </w:pPr>
      <w:bookmarkStart w:id="286" w:name="_Toc235565120"/>
      <w:r>
        <w:rPr/>
        <w:t>C.9 Relação com o Suplemento 3</w:t>
      </w:r>
      <w:bookmarkEnd w:id="286"/>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o percurso do perfil de ensaio até às três malhas do Flexy Beast. Deve, contudo, ser identificado como uma fotografia do estado utilizado nesses ensaios.</w:t>
      </w:r>
    </w:p>
    <w:p>
      <w:pPr>
        <w:pStyle w:val="TextoNormal-IPCA"/>
        <w:rPr/>
      </w:pPr>
      <w:r>
        <w:rPr/>
        <w:t>Após esse estado, a estrutura paramétrica da braçadeira do Flexy Beast foi alterada. Por esse motivo, gauntlet_width_mm, gauntlet_length_mm, gauntlet_wall_mm, gauntlet_pos_adjust e strap_splay_adjust não descrevem o estado final examinado. Foram, no essencial, substituídos por wrist_circumference_mm, gauntlet_tilt, gauntlet_length_scale, gauntlet_rim_hole_d e uma colocação automática sobre o eixo do pino. Esta nota de evolução acompanha, no presente anexo, esse estado histórico.</w:t>
      </w:r>
    </w:p>
    <w:p>
      <w:pPr>
        <w:pStyle w:val="TextoNormal-IPCA"/>
        <w:rPr/>
      </w:pPr>
      <w:r>
        <w:rPr/>
      </w:r>
    </w:p>
    <w:p>
      <w:pPr>
        <w:pStyle w:val="Heading2"/>
        <w:numPr>
          <w:ilvl w:val="0"/>
          <w:numId w:val="0"/>
        </w:numPr>
        <w:ind w:hanging="0" w:start="0"/>
        <w:rPr/>
      </w:pPr>
      <w:bookmarkStart w:id="287" w:name="_Toc235565121"/>
      <w:r>
        <w:rPr/>
        <w:t>C.10 Limite de interpretação</w:t>
      </w:r>
      <w:bookmarkEnd w:id="287"/>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de natureza técnica e projetual, explicita decisões, dependências, exceções e fragilidades que permanecem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a montagem e o funcionamento. Essas conclusões exigem medidas individuais, calibração dimensional, ensaios de fabrico, avaliação funcional e a participação de profissionais e utilizadores.</w:t>
      </w:r>
    </w:p>
    <w:p>
      <w:pPr>
        <w:pStyle w:val="TextoNormal-IPCA"/>
        <w:rPr/>
      </w:pPr>
      <w:r>
        <w:rPr/>
      </w:r>
    </w:p>
    <w:p>
      <w:pPr>
        <w:pStyle w:val="Heading2"/>
        <w:numPr>
          <w:ilvl w:val="0"/>
          <w:numId w:val="0"/>
        </w:numPr>
        <w:ind w:hanging="0" w:start="0"/>
        <w:rPr/>
      </w:pPr>
      <w:bookmarkStart w:id="288" w:name="_Toc235565122"/>
      <w:r>
        <w:rPr/>
        <w:t>C.11 Fontes técnicas consultadas</w:t>
      </w:r>
      <w:bookmarkEnd w:id="288"/>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bookmarkStart w:id="289" w:name="_Toc235565123"/>
      <w:r>
        <w:rPr/>
        <w:t>C.12 Verificações executadas</w:t>
      </w:r>
      <w:bookmarkEnd w:id="289"/>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rPr/>
        <w:sectPr>
          <w:headerReference w:type="even" r:id="rId212"/>
          <w:headerReference w:type="default" r:id="rId213"/>
          <w:headerReference w:type="first" r:id="rId214"/>
          <w:footerReference w:type="even" r:id="rId215"/>
          <w:footerReference w:type="default" r:id="rId216"/>
          <w:footerReference w:type="first" r:id="rId217"/>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spacing w:before="0" w:after="120"/>
        <w:contextualSpacing/>
        <w:rPr/>
      </w:pPr>
      <w:bookmarkStart w:id="290" w:name="_Toc235565124"/>
      <w:r>
        <w:rPr/>
        <w:t>Anexo D — Preparação para fabrico e verificação dos protótipos</w:t>
      </w:r>
      <w:bookmarkEnd w:id="290"/>
    </w:p>
    <w:p>
      <w:pPr>
        <w:pStyle w:val="TextoNormal-IPCA"/>
        <w:keepNext w:val="true"/>
        <w:rPr/>
      </w:pPr>
      <w:r>
        <w:rPr/>
      </w:r>
    </w:p>
    <w:p>
      <w:pPr>
        <w:pStyle w:val="TtulosPrembulo-IPCA"/>
        <w:rPr/>
      </w:pPr>
      <w:bookmarkStart w:id="291" w:name="_Toc235565125"/>
      <w:r>
        <w:rPr/>
        <w:t>Índice do Anexo D</w:t>
      </w:r>
      <w:bookmarkEnd w:id="291"/>
    </w:p>
    <w:p>
      <w:pPr>
        <w:pStyle w:val="ndicedoAnexo2"/>
        <w:rPr/>
      </w:pPr>
      <w:r>
        <w:rPr/>
        <w:t>D.1 Finalidade</w:t>
        <w:tab/>
        <w:t>190</w:t>
      </w:r>
    </w:p>
    <w:p>
      <w:pPr>
        <w:pStyle w:val="ndicedoAnexo2"/>
        <w:rPr/>
      </w:pPr>
      <w:r>
        <w:rPr/>
        <w:t>D.2 Distinção entre estimativa e medição real</w:t>
        <w:tab/>
        <w:t>190</w:t>
      </w:r>
    </w:p>
    <w:p>
      <w:pPr>
        <w:pStyle w:val="ndicedoAnexo2"/>
        <w:rPr/>
      </w:pPr>
      <w:r>
        <w:rPr/>
        <w:t>D.3 Variáveis, controlos e materiais</w:t>
        <w:tab/>
        <w:t>190</w:t>
      </w:r>
    </w:p>
    <w:p>
      <w:pPr>
        <w:pStyle w:val="ndicedoAnexo3"/>
        <w:tabs>
          <w:tab w:val="clear" w:pos="708"/>
          <w:tab w:val="right" w:pos="8204" w:leader="dot"/>
        </w:tabs>
        <w:rPr/>
      </w:pPr>
      <w:r>
        <w:rPr/>
        <w:t>D.3.1 Série A — projectos de preparação digital para impressão 3D com configuração analisada</w:t>
        <w:tab/>
        <w:t>191</w:t>
      </w:r>
    </w:p>
    <w:p>
      <w:pPr>
        <w:pStyle w:val="ndicedoAnexo3"/>
        <w:tabs>
          <w:tab w:val="clear" w:pos="708"/>
          <w:tab w:val="right" w:pos="8204" w:leader="dot"/>
        </w:tabs>
        <w:rPr/>
      </w:pPr>
      <w:r>
        <w:rPr/>
        <w:t>D.3.2 Série B — comparação digital controlada</w:t>
        <w:tab/>
        <w:t>191</w:t>
      </w:r>
    </w:p>
    <w:p>
      <w:pPr>
        <w:pStyle w:val="ndicedoAnexo2"/>
        <w:rPr/>
      </w:pPr>
      <w:r>
        <w:rPr/>
        <w:t>D.4 Resultados</w:t>
        <w:tab/>
        <w:t>192</w:t>
      </w:r>
    </w:p>
    <w:p>
      <w:pPr>
        <w:pStyle w:val="ndicedoAnexo3"/>
        <w:tabs>
          <w:tab w:val="clear" w:pos="708"/>
          <w:tab w:val="right" w:pos="8204" w:leader="dot"/>
        </w:tabs>
        <w:rPr/>
      </w:pPr>
      <w:r>
        <w:rPr/>
        <w:t>D.4.1 Série A</w:t>
        <w:tab/>
        <w:t>192</w:t>
      </w:r>
    </w:p>
    <w:p>
      <w:pPr>
        <w:pStyle w:val="ndicedoAnexo3"/>
        <w:tabs>
          <w:tab w:val="clear" w:pos="708"/>
          <w:tab w:val="right" w:pos="8204" w:leader="dot"/>
        </w:tabs>
        <w:rPr/>
      </w:pPr>
      <w:r>
        <w:rPr/>
        <w:t>D.4.2 Série B (condição comum)</w:t>
        <w:tab/>
        <w:t>193</w:t>
      </w:r>
    </w:p>
    <w:p>
      <w:pPr>
        <w:pStyle w:val="ndicedoAnexo3"/>
        <w:tabs>
          <w:tab w:val="clear" w:pos="708"/>
          <w:tab w:val="right" w:pos="8204" w:leader="dot"/>
        </w:tabs>
        <w:rPr/>
      </w:pPr>
      <w:r>
        <w:rPr/>
        <w:t>D.4.3 Geometria — tamanho do conjunto vs tamanho da peça</w:t>
        <w:tab/>
        <w:t>194</w:t>
      </w:r>
    </w:p>
    <w:p>
      <w:pPr>
        <w:pStyle w:val="ndicedoAnexo3"/>
        <w:tabs>
          <w:tab w:val="clear" w:pos="708"/>
          <w:tab w:val="right" w:pos="8204" w:leader="dot"/>
        </w:tabs>
        <w:rPr/>
      </w:pPr>
      <w:r>
        <w:rPr/>
        <w:t>D.4.4 Comparação entre entrada, malha e peça física</w:t>
        <w:tab/>
        <w:t>195</w:t>
      </w:r>
    </w:p>
    <w:p>
      <w:pPr>
        <w:pStyle w:val="ndicedoAnexo3"/>
        <w:tabs>
          <w:tab w:val="clear" w:pos="708"/>
          <w:tab w:val="right" w:pos="8204" w:leader="dot"/>
        </w:tabs>
        <w:rPr/>
      </w:pPr>
      <w:r>
        <w:rPr/>
        <w:t>D.4.5 Registo fotográfico dos protótipos</w:t>
        <w:tab/>
        <w:t>196</w:t>
      </w:r>
    </w:p>
    <w:p>
      <w:pPr>
        <w:pStyle w:val="ndicedoAnexo2"/>
        <w:rPr/>
      </w:pPr>
      <w:r>
        <w:rPr/>
        <w:t>D.5 Compatibilidade com orientações de dimensionamento</w:t>
        <w:tab/>
        <w:t>196</w:t>
      </w:r>
    </w:p>
    <w:p>
      <w:pPr>
        <w:pStyle w:val="ndicedoAnexo2"/>
        <w:rPr/>
      </w:pPr>
      <w:r>
        <w:rPr/>
        <w:t>D.6 Limites de comparabilidade</w:t>
        <w:tab/>
        <w:t>197</w:t>
      </w:r>
    </w:p>
    <w:p>
      <w:pPr>
        <w:pStyle w:val="ndicedoAnexo2"/>
        <w:rPr/>
      </w:pPr>
      <w:r>
        <w:rPr/>
        <w:t>D.7 Campos que não puderam ser obtidos</w:t>
        <w:tab/>
        <w:t>197</w:t>
      </w:r>
    </w:p>
    <w:p>
      <w:pPr>
        <w:pStyle w:val="ndicedoAnexo2"/>
        <w:rPr/>
      </w:pPr>
      <w:r>
        <w:rPr/>
        <w:t>D.8 O que pode e não pode ser afirmado na INVESTIGAÇÃO</w:t>
        <w:tab/>
        <w:t>198</w:t>
      </w:r>
    </w:p>
    <w:p>
      <w:pPr>
        <w:pStyle w:val="ndicedoAnexo2"/>
        <w:rPr/>
      </w:pPr>
      <w:r>
        <w:rPr/>
        <w:t>Tabela D.1 — Estimativas dos projetos de preparação digital para impressão 3D com configuração analisada</w:t>
        <w:tab/>
        <w:t>192</w:t>
      </w:r>
    </w:p>
    <w:p>
      <w:pPr>
        <w:pStyle w:val="ndicedoAnexo2"/>
        <w:rPr/>
      </w:pPr>
      <w:r>
        <w:rPr/>
        <w:t>Tabela D.2 — Estimativas de preparação para impressão na condição digital comum</w:t>
        <w:tab/>
        <w:t>193</w:t>
      </w:r>
    </w:p>
    <w:p>
      <w:pPr>
        <w:pStyle w:val="ndicedoAnexo2"/>
        <w:rPr/>
      </w:pPr>
      <w:r>
        <w:rPr/>
        <w:t>Tabela D.3 — Comparação dimensional da palma no eixo X em PLA e PETG</w:t>
        <w:tab/>
        <w:t>195</w:t>
      </w:r>
    </w:p>
    <w:p>
      <w:pPr>
        <w:pStyle w:val="Heading2"/>
        <w:numPr>
          <w:ilvl w:val="0"/>
          <w:numId w:val="0"/>
        </w:numPr>
        <w:ind w:hanging="0" w:start="0"/>
        <w:rPr/>
      </w:pPr>
      <w:r>
        <w:rPr/>
      </w:r>
    </w:p>
    <w:p>
      <w:pPr>
        <w:pStyle w:val="Normal"/>
        <w:rPr/>
      </w:pPr>
      <w:r>
        <w:rPr/>
      </w:r>
      <w:r>
        <w:br w:type="page"/>
      </w:r>
    </w:p>
    <w:p>
      <w:pPr>
        <w:pStyle w:val="Heading2"/>
        <w:numPr>
          <w:ilvl w:val="0"/>
          <w:numId w:val="0"/>
        </w:numPr>
        <w:spacing w:before="0" w:after="120"/>
        <w:ind w:hanging="0" w:start="0"/>
        <w:contextualSpacing/>
        <w:rPr/>
      </w:pPr>
      <w:bookmarkStart w:id="292" w:name="_Toc235565126"/>
      <w:r>
        <w:rPr/>
        <w:t>D.1 Finalidade</w:t>
      </w:r>
      <w:bookmarkEnd w:id="292"/>
    </w:p>
    <w:p>
      <w:pPr>
        <w:pStyle w:val="TextoNormal-IPCA"/>
        <w:keepNext w:val="true"/>
        <w:rPr/>
      </w:pPr>
      <w:r>
        <w:rPr/>
      </w:r>
    </w:p>
    <w:p>
      <w:pPr>
        <w:pStyle w:val="TextoNormal-IPCA"/>
        <w:rPr/>
      </w:pPr>
      <w:r>
        <w:rPr/>
        <w:t>Este anexo reúne evidência verificável sobre a preparação para impressão das mãos protésicas paramétricas geradas pela plataforma HandFab no contexto deste projeto. Caracteriza, sob condições documentadas, as exigências de fabrico digital que o sistema paramétrico coloca a jusante do projeto: a quantidade de material, o tempo, o número de placas de impressão e as condições de preparação decorrentes de cada modelo e dimensão antropométrica. Apresenta ainda a comparação entre entrada, malha e peça física e prepara a observação da montagem e da articulação. A comparação dimensional incide nos componentes de palma das próteses impressos em PLA e PETG. A montagem e a articulação continuam dependentes de observações sistemáticas nos protótipos correspondentes.</w:t>
      </w:r>
    </w:p>
    <w:p>
      <w:pPr>
        <w:pStyle w:val="TextoNormal-IPCA"/>
        <w:rPr/>
      </w:pPr>
      <w:r>
        <w:rPr/>
        <w:t>As duas séries apresentadas constituem verificações técnicas complementares da fase empírica prevista na metodologia aprovada.</w:t>
      </w:r>
    </w:p>
    <w:p>
      <w:pPr>
        <w:pStyle w:val="TextoNormal-IPCA"/>
        <w:rPr/>
      </w:pPr>
      <w:r>
        <w:rPr/>
        <w:t>A preparação para impressão é uma etapa própria do processo de desenvolvimento de produto, que liga a decisão de projeto, expressa na geometria paramétrica, ao meio de produção por impressão FFF. A estimativa do tempo, do material e do número de placas permite caracterizar as exigências de preparação e apoiar o planeamento do fabrico.</w:t>
      </w:r>
    </w:p>
    <w:p>
      <w:pPr>
        <w:pStyle w:val="TextoNormal-IPCA"/>
        <w:rPr/>
      </w:pPr>
      <w:r>
        <w:rPr/>
      </w:r>
    </w:p>
    <w:p>
      <w:pPr>
        <w:pStyle w:val="Heading2"/>
        <w:numPr>
          <w:ilvl w:val="0"/>
          <w:numId w:val="0"/>
        </w:numPr>
        <w:ind w:hanging="0" w:start="0"/>
        <w:rPr/>
      </w:pPr>
      <w:bookmarkStart w:id="293" w:name="_Toc235565127"/>
      <w:r>
        <w:rPr/>
        <w:t>D.2 Distinção entre estimativa e medição real</w:t>
      </w:r>
      <w:bookmarkEnd w:id="293"/>
    </w:p>
    <w:p>
      <w:pPr>
        <w:pStyle w:val="TextoNormal-IPCA"/>
        <w:keepNext w:val="true"/>
        <w:rPr/>
      </w:pPr>
      <w:r>
        <w:rPr/>
      </w:r>
    </w:p>
    <w:p>
      <w:pPr>
        <w:pStyle w:val="TextoNormal-IPCA"/>
        <w:rPr/>
      </w:pPr>
      <w:r>
        <w:rPr/>
        <w:t>Os valores de tempo, comprimento de filamento, massa, volume e custo apresentados neste anexo são estimativas produzidas por programas de preparação para impressão 3D (Bambu Studio e PrusaSlicer). O subcapítulo D.4.4 apresenta separadamente medições físicas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As estimativas de preparação não são medições de impressões reais. Uma impressão física difere por fatores de máquina, humidade do filamento, calibração e temperatura.</w:t>
      </w:r>
    </w:p>
    <w:p>
      <w:pPr>
        <w:pStyle w:val="TextoNormal-IPCA"/>
        <w:rPr/>
      </w:pPr>
      <w:r>
        <w:rPr/>
        <w:t>- Não são indicadores de desempenho estrutural. O tempo ou a massa estimada nada dizem sobre a resistência da peça.</w:t>
      </w:r>
    </w:p>
    <w:p>
      <w:pPr>
        <w:pStyle w:val="TextoNormal-IPCA"/>
        <w:rPr/>
      </w:pPr>
      <w:r>
        <w:rPr/>
        <w:t>- A verificação de malha é geométrica, não mecânica. «Estanque/</w:t>
      </w:r>
      <w:r>
        <w:rPr>
          <w:i/>
          <w:iCs/>
        </w:rPr>
        <w:t>manifold</w:t>
      </w:r>
      <w:r>
        <w:rPr/>
        <w:t>» e «faces degeneradas» descrevem a integridade do ficheiro 3D.</w:t>
      </w:r>
    </w:p>
    <w:p>
      <w:pPr>
        <w:pStyle w:val="TextoNormal-IPCA"/>
        <w:rPr/>
      </w:pPr>
      <w:r>
        <w:rPr/>
        <w:t xml:space="preserve">- As estimativas dependem da versão e do perfil. Trocar de versão do programa, de perfil de processo ou de </w:t>
      </w:r>
      <w:r>
        <w:rPr>
          <w:i/>
          <w:iCs/>
        </w:rPr>
        <w:t>firmware</w:t>
      </w:r>
      <w:r>
        <w:rPr/>
        <w:t xml:space="preserve"> altera os números.</w:t>
      </w:r>
    </w:p>
    <w:p>
      <w:pPr>
        <w:pStyle w:val="TextoNormal-IPCA"/>
        <w:rPr/>
      </w:pPr>
      <w:r>
        <w:rPr/>
        <w:t>As estimativas de tempo, material, volume e custo devem, pois, ser interpretadas como indicadores comparativos das exigências de preparação, e não como propriedades físicas do produto final. Esta restrição não abrange os valores dimensionais da Subcapítulo D.4.4, que correspondem a medições das palmas impressas.</w:t>
      </w:r>
    </w:p>
    <w:p>
      <w:pPr>
        <w:pStyle w:val="TextoNormal-IPCA"/>
        <w:rPr/>
      </w:pPr>
      <w:r>
        <w:rPr/>
      </w:r>
    </w:p>
    <w:p>
      <w:pPr>
        <w:pStyle w:val="Heading2"/>
        <w:numPr>
          <w:ilvl w:val="0"/>
          <w:numId w:val="0"/>
        </w:numPr>
        <w:ind w:hanging="0" w:start="0"/>
        <w:rPr/>
      </w:pPr>
      <w:bookmarkStart w:id="294" w:name="_Toc235565128"/>
      <w:r>
        <w:rPr/>
        <w:t>D.3 Variáveis, controlos e materiais</w:t>
      </w:r>
      <w:bookmarkEnd w:id="294"/>
    </w:p>
    <w:p>
      <w:pPr>
        <w:pStyle w:val="TextoNormal-IPCA"/>
        <w:keepNext w:val="true"/>
        <w:rPr>
          <w:b/>
        </w:rPr>
      </w:pPr>
      <w:r>
        <w:rPr>
          <w:b/>
        </w:rPr>
      </w:r>
    </w:p>
    <w:p>
      <w:pPr>
        <w:pStyle w:val="Heading3"/>
        <w:numPr>
          <w:ilvl w:val="0"/>
          <w:numId w:val="0"/>
        </w:numPr>
        <w:ind w:hanging="0" w:start="0"/>
        <w:rPr/>
      </w:pPr>
      <w:bookmarkStart w:id="295" w:name="_Toc235565129"/>
      <w:r>
        <w:rPr/>
        <w:t>D.3.1 Série A — projetos de preparação digital para impressão 3D com configuração analisada</w:t>
      </w:r>
      <w:bookmarkEnd w:id="295"/>
    </w:p>
    <w:p>
      <w:pPr>
        <w:pStyle w:val="TextoNormal-IPCA"/>
        <w:keepNext w:val="true"/>
        <w:rPr/>
      </w:pPr>
      <w:r>
        <w:rPr/>
      </w:r>
    </w:p>
    <w:p>
      <w:pPr>
        <w:pStyle w:val="TextoNormal-IPCA"/>
        <w:rPr/>
      </w:pPr>
      <w:r>
        <w:rPr/>
        <w:t>Quatro projetos de preparação digital para impressão 3D foram processados com a configuração específica de cada caso, mantendo-se a disposição e a orientação. Os projetos conservavam a geometria, as definições e a disposição na placa, mas não os resultados do processamento, pelo que foi necessário recalcular as trajetórias e as estimativas.</w:t>
      </w:r>
    </w:p>
    <w:p>
      <w:pPr>
        <w:pStyle w:val="TextoNormal-IPCA"/>
        <w:rPr/>
      </w:pPr>
      <w:r>
        <w:rPr/>
      </w:r>
    </w:p>
    <w:tbl>
      <w:tblPr>
        <w:tblStyle w:val="TabelacomGrelha"/>
        <w:tblW w:w="878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03"/>
        <w:gridCol w:w="2411"/>
        <w:gridCol w:w="992"/>
        <w:gridCol w:w="1418"/>
        <w:gridCol w:w="3263"/>
      </w:tblGrid>
      <w:tr>
        <w:trPr>
          <w:tblHeader w:val="true"/>
          <w:cantSplit/>
        </w:trPr>
        <w:tc>
          <w:tcPr>
            <w:tcW w:w="70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w:t>
            </w:r>
          </w:p>
        </w:tc>
        <w:tc>
          <w:tcPr>
            <w:tcW w:w="241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Modelo</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Idade</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Material</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Programa / Impressora</w:t>
            </w:r>
          </w:p>
        </w:tc>
      </w:tr>
      <w:tr>
        <w:trPr>
          <w:cantSplit/>
        </w:trPr>
        <w:tc>
          <w:tcPr>
            <w:tcW w:w="70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w:t>
            </w:r>
          </w:p>
        </w:tc>
        <w:tc>
          <w:tcPr>
            <w:tcW w:w="24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PLA</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Studio / Bambu Lab A1</w:t>
            </w:r>
          </w:p>
        </w:tc>
      </w:tr>
      <w:tr>
        <w:trPr>
          <w:cantSplit/>
        </w:trPr>
        <w:tc>
          <w:tcPr>
            <w:tcW w:w="70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w:t>
            </w:r>
          </w:p>
        </w:tc>
        <w:tc>
          <w:tcPr>
            <w:tcW w:w="24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PLA</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Studio / Bambu Lab A1</w:t>
            </w:r>
          </w:p>
        </w:tc>
      </w:tr>
      <w:tr>
        <w:trPr>
          <w:cantSplit/>
        </w:trPr>
        <w:tc>
          <w:tcPr>
            <w:tcW w:w="70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w:t>
            </w:r>
          </w:p>
        </w:tc>
        <w:tc>
          <w:tcPr>
            <w:tcW w:w="24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PETG</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Studio / Bambu Lab A1</w:t>
            </w:r>
          </w:p>
        </w:tc>
      </w:tr>
      <w:tr>
        <w:trPr>
          <w:cantSplit/>
        </w:trPr>
        <w:tc>
          <w:tcPr>
            <w:tcW w:w="70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w:t>
            </w:r>
          </w:p>
        </w:tc>
        <w:tc>
          <w:tcPr>
            <w:tcW w:w="24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PLA</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PrusaSlicer / Prusa MINI</w:t>
            </w:r>
          </w:p>
        </w:tc>
      </w:tr>
    </w:tbl>
    <w:p>
      <w:pPr>
        <w:pStyle w:val="TextoNormal-IPCA"/>
        <w:rPr/>
      </w:pPr>
      <w:r>
        <w:rPr/>
      </w:r>
    </w:p>
    <w:p>
      <w:pPr>
        <w:pStyle w:val="TextoNormal-IPCA"/>
        <w:rPr/>
      </w:pPr>
      <w:r>
        <w:rPr/>
        <w:t>Nesta série, cada projeto conserva as suas próprias definições, que constituem variáveis não controladas entre casos. Os três casos Bambu usam camada de 0,24 mm e suportes em árvore orgânica, enquanto o caso PrusaSlicer usa camada de 0,20 mm e não utiliza suportes. A Série A documenta os projetos tal como foram preparados, sem os comparar entre si.</w:t>
      </w:r>
    </w:p>
    <w:p>
      <w:pPr>
        <w:pStyle w:val="TextoNormal-IPCA"/>
        <w:rPr/>
      </w:pPr>
      <w:r>
        <w:rPr/>
      </w:r>
    </w:p>
    <w:p>
      <w:pPr>
        <w:pStyle w:val="Heading3"/>
        <w:numPr>
          <w:ilvl w:val="0"/>
          <w:numId w:val="0"/>
        </w:numPr>
        <w:ind w:hanging="0" w:start="0"/>
        <w:rPr/>
      </w:pPr>
      <w:bookmarkStart w:id="296" w:name="_Toc235565130"/>
      <w:r>
        <w:rPr/>
        <w:t>D.3.2 Série B — comparação digital controlada</w:t>
      </w:r>
      <w:bookmarkEnd w:id="296"/>
    </w:p>
    <w:p>
      <w:pPr>
        <w:pStyle w:val="TextoNormal-IPCA"/>
        <w:keepNext w:val="true"/>
        <w:rPr/>
      </w:pPr>
      <w:r>
        <w:rPr/>
      </w:r>
    </w:p>
    <w:p>
      <w:pPr>
        <w:pStyle w:val="TextoNormal-IPCA"/>
        <w:rPr/>
      </w:pPr>
      <w:r>
        <w:rPr/>
        <w:t>Três modelos (Flexy Beast, Paraglider Hand, UnLimbited Phoenix) × quatro perfis de ensaio (</w:t>
      </w:r>
      <w:r>
        <w:rPr>
          <w:rFonts w:ascii="Consolas" w:hAnsi="Consolas"/>
        </w:rPr>
        <w:t>child_8</w:t>
      </w:r>
      <w:r>
        <w:rPr/>
        <w:t xml:space="preserve">, </w:t>
      </w:r>
      <w:r>
        <w:rPr>
          <w:rFonts w:ascii="Consolas" w:hAnsi="Consolas"/>
        </w:rPr>
        <w:t>teen_15</w:t>
      </w:r>
      <w:r>
        <w:rPr/>
        <w:t xml:space="preserve">, </w:t>
      </w:r>
      <w:r>
        <w:rPr>
          <w:rFonts w:ascii="Consolas" w:hAnsi="Consolas"/>
        </w:rPr>
        <w:t>adult_28</w:t>
      </w:r>
      <w:r>
        <w:rPr/>
        <w:t xml:space="preserve">, </w:t>
      </w:r>
      <w:r>
        <w:rPr>
          <w:rFonts w:ascii="Consolas" w:hAnsi="Consolas"/>
        </w:rPr>
        <w:t>elderly_70</w:t>
      </w:r>
      <w:r>
        <w:rPr/>
        <w:t>), processados sob uma única condição comum para isolar o efeito do modelo e da dimensão:</w:t>
      </w:r>
    </w:p>
    <w:p>
      <w:pPr>
        <w:pStyle w:val="TextoNormal-IPCA"/>
        <w:rPr/>
      </w:pPr>
      <w:r>
        <w:rPr/>
      </w:r>
    </w:p>
    <w:tbl>
      <w:tblPr>
        <w:tblStyle w:val="TabelacomGrelha"/>
        <w:tblW w:w="878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b/>
                <w:sz w:val="20"/>
                <w:szCs w:val="20"/>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bCs/>
                <w:sz w:val="20"/>
                <w:szCs w:val="20"/>
              </w:rPr>
            </w:pPr>
            <w:r>
              <w:rPr>
                <w:rFonts w:eastAsia="Calibri"/>
                <w:bCs/>
                <w:sz w:val="20"/>
                <w:szCs w:val="20"/>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3 × 4</w:t>
            </w:r>
          </w:p>
        </w:tc>
      </w:tr>
    </w:tbl>
    <w:p>
      <w:pPr>
        <w:pStyle w:val="TextoNormal-IPCA"/>
        <w:rPr/>
      </w:pPr>
      <w:r>
        <w:rPr/>
      </w:r>
    </w:p>
    <w:p>
      <w:pPr>
        <w:pStyle w:val="TextoNormal-IPCA"/>
        <w:rPr/>
      </w:pPr>
      <w:r>
        <w:rPr/>
        <w:t>A orientação de cada peça exportada foi mantida; o programa limitou-se a dispor as peças na placa e criou automaticamente uma segunda placa A1 quando não cabiam numa só. Esta série de ensaios permite comparar, de forma controlada, as exigências de preparação.</w:t>
      </w:r>
    </w:p>
    <w:p>
      <w:pPr>
        <w:pStyle w:val="TextoNormal-IPCA"/>
        <w:rPr/>
      </w:pPr>
      <w:r>
        <w:rPr/>
        <w:t>Na análise geométrica, n_corpos designa o número de objetos de malha encontrados no recipiente 3MF, não 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bookmarkStart w:id="297" w:name="_Toc235565131"/>
      <w:r>
        <w:rPr/>
        <w:t>D.4 Resultados</w:t>
      </w:r>
      <w:bookmarkEnd w:id="297"/>
    </w:p>
    <w:p>
      <w:pPr>
        <w:pStyle w:val="TextoNormal-IPCA"/>
        <w:keepNext w:val="true"/>
        <w:rPr/>
      </w:pPr>
      <w:r>
        <w:rPr/>
      </w:r>
    </w:p>
    <w:p>
      <w:pPr>
        <w:pStyle w:val="TextoNormal-IPCA"/>
        <w:rPr/>
      </w:pPr>
      <w:r>
        <w:rPr/>
        <w:t>Os resultados quantitativos completos e os registos geométricos constam do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bookmarkStart w:id="298" w:name="_Toc235565132"/>
      <w:r>
        <w:rPr/>
        <w:t>D.4.1 Série A</w:t>
      </w:r>
      <w:bookmarkEnd w:id="298"/>
    </w:p>
    <w:p>
      <w:pPr>
        <w:pStyle w:val="TextoNormal-IPCA"/>
        <w:keepNext w:val="true"/>
        <w:rPr/>
      </w:pPr>
      <w:r>
        <w:rPr/>
      </w:r>
    </w:p>
    <w:p>
      <w:pPr>
        <w:pStyle w:val="Caption"/>
        <w:keepNext w:val="true"/>
        <w:rPr/>
      </w:pPr>
      <w:r>
        <w:rPr/>
        <w:t>Tabela D.1 — Estimativas dos projetos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48"/>
        <w:gridCol w:w="899"/>
        <w:gridCol w:w="1192"/>
        <w:gridCol w:w="2357"/>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Material</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Equipamento</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PLA</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Bambu Lab A1; bico 0,4 mm</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PLA</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Bambu Lab A1; bico 0,4 mm</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PETG</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Bambu Lab A1; bico 0,4 mm</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PLA</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Prusa MINI; bico 0,4 mm</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12 727,61 mm; 37,96 g; 1,38 €</w:t>
            </w:r>
          </w:p>
        </w:tc>
      </w:tr>
    </w:tbl>
    <w:p>
      <w:pPr>
        <w:pStyle w:val="TextoNormal-IPCA"/>
        <w:rPr/>
      </w:pPr>
      <w:r>
        <w:rPr/>
      </w:r>
    </w:p>
    <w:p>
      <w:pPr>
        <w:pStyle w:val="TextoNormal-IPCA"/>
        <w:rPr/>
      </w:pPr>
      <w:r>
        <w:rPr/>
        <w:t>Entre os projetos cuja configuração foi analisada, o Phoenix apresentou estimativas de tempo e de material superiores às do Flexy Beast para o perfil de 15 anos. No projeto Phoenix preparado com PETG, o tempo estimado foi superior ao do projeto preparado com PLA; estes resultados, porém, não constituem uma comparação experimental entre materiais, pois dependem dos perfis embebidos. No Paraglider preparado sem suportes nem aba, surgiu um aviso de baixa aderência, indicando a necessidade de rever a estratégia de adesão antes da impressão.</w:t>
      </w:r>
    </w:p>
    <w:p>
      <w:pPr>
        <w:pStyle w:val="TextoNormal-IPCA"/>
        <w:rPr/>
      </w:pPr>
      <w:r>
        <w:rPr/>
      </w:r>
    </w:p>
    <w:p>
      <w:pPr>
        <w:pStyle w:val="Heading3"/>
        <w:numPr>
          <w:ilvl w:val="0"/>
          <w:numId w:val="0"/>
        </w:numPr>
        <w:ind w:hanging="0" w:start="0"/>
        <w:rPr/>
      </w:pPr>
      <w:bookmarkStart w:id="299" w:name="_Toc235565133"/>
      <w:r>
        <w:rPr/>
        <w:t>D.4.2 Série B (condição comum)</w:t>
      </w:r>
      <w:bookmarkEnd w:id="299"/>
    </w:p>
    <w:p>
      <w:pPr>
        <w:pStyle w:val="TextoNormal-IPCA"/>
        <w:keepNext w:val="true"/>
        <w:rPr/>
      </w:pPr>
      <w:r>
        <w:r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bl>
    <w:p>
      <w:pPr>
        <w:pStyle w:val="TextoNormal-IPCA"/>
        <w:rPr/>
      </w:pPr>
      <w:r>
        <w:rPr/>
      </w:r>
    </w:p>
    <w:p>
      <w:pPr>
        <w:pStyle w:val="TextoNormal-IPCA"/>
        <w:rPr/>
      </w:pPr>
      <w:r>
        <w:rPr/>
        <w:t xml:space="preserve">Os tempos estimados variaram entre 4 h 22 min (Paraglider, </w:t>
      </w:r>
      <w:r>
        <w:rPr>
          <w:rFonts w:ascii="Consolas" w:hAnsi="Consolas"/>
        </w:rPr>
        <w:t>child_8</w:t>
      </w:r>
      <w:r>
        <w:rPr/>
        <w:t xml:space="preserve">) e 12 h 34 min (Flexy Beast, </w:t>
      </w:r>
      <w:r>
        <w:rPr>
          <w:rFonts w:ascii="Consolas" w:hAnsi="Consolas"/>
        </w:rPr>
        <w:t>adult_28</w:t>
      </w:r>
      <w:r>
        <w:rPr/>
        <w:t xml:space="preserve">). O programa gerou trajetórias e estimativas nos 12 casos, mas assinalou regiões suspensas nos quatro casos Flexy Beast e no Paraglider </w:t>
      </w:r>
      <w:r>
        <w:rPr>
          <w:rFonts w:ascii="Consolas" w:hAnsi="Consolas"/>
        </w:rPr>
        <w:t>elderly_70</w:t>
      </w:r>
      <w:r>
        <w:rPr/>
        <w:t>, uma consequência relevante da política comum sem suportes. Nos quatro casos Phoenix, não foram emitidos avisos. A conclusão do processamento não demonstra, por si só, que a impressão física possa ser realizada sem rever a orientação ou ativar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projeto sobressaem:</w:t>
      </w:r>
    </w:p>
    <w:p>
      <w:pPr>
        <w:pStyle w:val="TextoNormal-IPCA"/>
        <w:rPr/>
      </w:pPr>
      <w:r>
        <w:rPr/>
        <w:t>1. A exigência de preparação variou com as dimensões de entrada, e não com a</w:t>
      </w:r>
    </w:p>
    <w:p>
      <w:pPr>
        <w:pStyle w:val="TextoNormal-IPCA"/>
        <w:rPr/>
      </w:pPr>
      <w:r>
        <w:rPr/>
        <w:t>idade considerada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neste contexto, a idade funciona apenas como identificador do perfil de ensaio, tal como esperado.</w:t>
      </w:r>
    </w:p>
    <w:p>
      <w:pPr>
        <w:pStyle w:val="TextoNormal-IPCA"/>
        <w:rPr/>
      </w:pPr>
      <w:r>
        <w:rPr/>
        <w:t>2. O número de placas depende da geometria, da orientação e da disposição</w:t>
      </w:r>
    </w:p>
    <w:p>
      <w:pPr>
        <w:pStyle w:val="TextoNormal-IPCA"/>
        <w:rPr/>
      </w:pPr>
      <w:r>
        <w:rPr/>
        <w:t>automática. Nas condições usadas pelo Bambu Studio, o Paraglider foi disposto numa placa; o Flexy ocupou duas placas nos dois perfis de maiores dimensões; e o Phoenix ocupou duas placas em todos os perfis. Estes resultados podem apoiar o planeamento das sessões de fabrico, embora possam alterar-se com uma orientação ou disposição manual diferente, ou com impressoras de maiores dimensões.</w:t>
      </w:r>
    </w:p>
    <w:p>
      <w:pPr>
        <w:pStyle w:val="TextoNormal-IPCA"/>
        <w:rPr/>
      </w:pPr>
      <w:r>
        <w:rPr/>
      </w:r>
    </w:p>
    <w:p>
      <w:pPr>
        <w:pStyle w:val="Heading3"/>
        <w:numPr>
          <w:ilvl w:val="0"/>
          <w:numId w:val="0"/>
        </w:numPr>
        <w:ind w:hanging="0" w:start="0"/>
        <w:rPr/>
      </w:pPr>
      <w:bookmarkStart w:id="300" w:name="_Toc235565134"/>
      <w:r>
        <w:rPr/>
        <w:t>D.4.3 Geometria — tamanho do conjunto vs tamanho da peça</w:t>
      </w:r>
      <w:bookmarkEnd w:id="300"/>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Montagem sólida (mão estendida):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Palma (peça): a caixa envolvente da palma isolada.</w:t>
      </w:r>
    </w:p>
    <w:p>
      <w:pPr>
        <w:pStyle w:val="TextoNormal-IPCA"/>
        <w:rPr/>
      </w:pPr>
      <w:r>
        <w:rPr/>
        <w:t>- Placa disposta: a área ocupada pelas peças efetivamente colocadas na placa.</w:t>
      </w:r>
    </w:p>
    <w:p>
      <w:pPr>
        <w:pStyle w:val="TextoNormal-IPCA"/>
        <w:rPr/>
      </w:pPr>
      <w:r>
        <w:rPr/>
        <w:t>Na orientação analisada, uma das dimensões da caixa envolvente do modelo montado ultrapassa a dimensão nominal da placa.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disposições alternativas. Os resultados justificam, ainda assim, a exportação segmentada disponibilizada pela plataforma e mostram que a dimensão da montagem estendida não deve ser confundida com a ocupação efetiva das peças dispostas na placa.</w:t>
      </w:r>
    </w:p>
    <w:p>
      <w:pPr>
        <w:pStyle w:val="TextoNormal-IPCA"/>
        <w:rPr/>
      </w:pPr>
      <w:r>
        <w:rPr/>
        <w:t>Quanto à integridade de malha, os corpos do Flexy são estanques e não apresentam faces degeneradas; o Paraglider apresenta faces degeneradas residuais; e a palma do Phoenix apresenta pequenas arestas de fronteira (não totalmente estanque). Trata-se de propriedades geométricas dos ficheiros, relevantes para a robustez da preparação para impressão, mas não para o desempenho estrutural.</w:t>
      </w:r>
    </w:p>
    <w:p>
      <w:pPr>
        <w:pStyle w:val="TextoNormal-IPCA"/>
        <w:rPr/>
      </w:pPr>
      <w:r>
        <w:rPr/>
        <w:t>Na interpretação estrutural dos parâmetros, importa distinguir os resultados desta investigação do enquadramento fornecido pela literatura. As estimativas do programa não medem a resistência, e a integridade de malha é uma propriedade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O PETG pode, portanto, ser caracterizado como mais dúctil e, nas condições estudadas, mais resistente à deformação térmica, mas não como um material universalmente mais resistente e durável. Nesta investigação, a observação física limita-se à constatação de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bookmarkStart w:id="301" w:name="_Toc235565135"/>
      <w:r>
        <w:rPr/>
        <w:t>D.4.4 Comparação entre entrada, malha e peça física</w:t>
      </w:r>
      <w:bookmarkEnd w:id="301"/>
    </w:p>
    <w:p>
      <w:pPr>
        <w:pStyle w:val="TextoNormal-IPCA"/>
        <w:keepNext w:val="true"/>
        <w:rPr/>
      </w:pPr>
      <w:r>
        <w:rPr/>
      </w:r>
    </w:p>
    <w:p>
      <w:pPr>
        <w:pStyle w:val="TextoNormal-IPCA"/>
        <w:rPr/>
      </w:pPr>
      <w:r>
        <w:rPr/>
        <w:t>A comparação dimensional abrangeu as doze combinações dos três modelos com os quatro perfis de ensaio. Em cada combinação, compararam-se as extensões X, Y e Z da malha isolada da palma com as dimensões das peças produzidas em PLA e PETG, à temperatura ambiente. Cada valor físico corresponde a uma medição registada no eixo e no material indicados, num total de 72 comparações: 36 em PLA e 36 em PETG.</w:t>
      </w:r>
    </w:p>
    <w:p>
      <w:pPr>
        <w:pStyle w:val="TextoNormal-IPCA"/>
        <w:keepNext w:val="true"/>
        <w:rPr/>
      </w:pPr>
      <w:r>
        <w:r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0,338 mm</w:t>
            </w:r>
          </w:p>
        </w:tc>
      </w:tr>
    </w:tbl>
    <w:p>
      <w:pPr>
        <w:pStyle w:val="TextoNormal-IPCA"/>
        <w:ind w:hanging="0"/>
        <w:rPr/>
      </w:pPr>
      <w:r>
        <w:rPr/>
      </w:r>
    </w:p>
    <w:p>
      <w:pPr>
        <w:pStyle w:val="TextoNormal-IPCA"/>
        <w:rPr/>
      </w:pPr>
      <w:r>
        <w:rPr/>
        <w:t>A Tabela D.3 resume os dados do eixo X; o ficheiro comparacao_dimensional_72_medicoes.csv do Suplemento 4 conserva as 72 linhas correspondentes aos três eixos. Em todas as medições, a dimensão física foi inferior à extensão da malha. Os desvios percentuais variaram entre −0,321% e −0,274% em PLA e entre −0,425% e −0,369% em PETG. Estes intervalos descrevem os exemplares medidos e não demonstram uma taxa geral de contração dos materiais.</w:t>
      </w:r>
    </w:p>
    <w:p>
      <w:pPr>
        <w:pStyle w:val="TextoNormal-IPCA"/>
        <w:rPr/>
      </w:pPr>
      <w:r>
        <w:rPr/>
      </w:r>
    </w:p>
    <w:p>
      <w:pPr>
        <w:pStyle w:val="TextoNormal-IPCA"/>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independentemente as extensões Y e Z da geometria. Nas configurações analisadas do Flexy Beast e do Phoenix, não existe um parâmetro de entrada que corresponda diretamente a esses dois eixos. Esta diferença está assinalada no campo </w:t>
      </w:r>
      <w:r>
        <w:rPr>
          <w:rStyle w:val="SourceText"/>
        </w:rPr>
        <w:t>estado_parametro</w:t>
      </w:r>
      <w:r>
        <w:rPr/>
        <w:t xml:space="preserve"> da folha suplementar.</w:t>
      </w:r>
    </w:p>
    <w:p>
      <w:pPr>
        <w:pStyle w:val="TextoNormal-IPCA"/>
        <w:rPr/>
      </w:pPr>
      <w:r>
        <w:rPr/>
        <w:t>As colunas «Entrada» e «Malha» não representam o mesmo limite geométrico em todos os modelos.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são mais próximos. A diferença entre entrada e malha descreve, assim, a transformação geométrica resultante das decisões de projeto e não deve ser interpretada, por si só, como erro dimensional.</w:t>
      </w:r>
    </w:p>
    <w:p>
      <w:pPr>
        <w:pStyle w:val="TextoNormal-IPCA"/>
        <w:rPr/>
      </w:pPr>
      <w:r>
        <w:rPr/>
        <w:t>O desvio dimensional foi calculado entre a malha digital e a peça física, com medidas obtidas no mesmo referencial:</w:t>
      </w:r>
    </w:p>
    <w:p>
      <w:pPr>
        <w:pStyle w:val="TextoNormal-IPCA"/>
        <w:rPr/>
      </w:pPr>
      <w:r>
        <w:rPr>
          <w:rStyle w:val="SourceText"/>
        </w:rPr>
        <w:t>desvio malha–peça = medida da peça física − medida da malha</w:t>
      </w:r>
    </w:p>
    <w:p>
      <w:pPr>
        <w:pStyle w:val="TextoNormal-IPCA"/>
        <w:rPr/>
      </w:pPr>
      <w:r>
        <w:rPr>
          <w:rStyle w:val="SourceText"/>
        </w:rPr>
        <w:t>desvio percentual = 100 × (medida da peça física − medida da malha) / medida da malha</w:t>
      </w:r>
    </w:p>
    <w:p>
      <w:pPr>
        <w:pStyle w:val="TextoNormal-IPCA"/>
        <w:rPr/>
      </w:pPr>
      <w:r>
        <w:rPr/>
        <w:t>Uma vez que existe apenas um valor registado por eixo e por peça, não foram calculadas médias entre repetições, amplitudes ou incertezas de medição. Esta limitação é considerada na interpretação descritiva dos resultados. Uma caracterização dimensional futura exigiria leituras independentes por eixo e a repetição das medições com o paquímetro; essa extensão, contudo, não é necessária para a comparação apresentada nesta investigação.</w:t>
      </w:r>
    </w:p>
    <w:p>
      <w:pPr>
        <w:pStyle w:val="Heading3"/>
        <w:numPr>
          <w:ilvl w:val="0"/>
          <w:numId w:val="0"/>
        </w:numPr>
        <w:ind w:hanging="0" w:start="0"/>
        <w:rPr/>
      </w:pPr>
      <w:bookmarkStart w:id="302" w:name="_Toc235565136"/>
      <w:r>
        <w:rPr/>
        <w:t>D.4.5 Registo fotográfico dos protótipos</w:t>
      </w:r>
      <w:bookmarkEnd w:id="302"/>
    </w:p>
    <w:p>
      <w:pPr>
        <w:pStyle w:val="TextoNormal-IPCA"/>
        <w:keepNext w:val="true"/>
        <w:rPr/>
      </w:pPr>
      <w:r>
        <w:rPr/>
      </w:r>
    </w:p>
    <w:p>
      <w:pPr>
        <w:pStyle w:val="TextoNormal-IPCA"/>
        <w:rPr/>
      </w:pPr>
      <w:r>
        <w:rPr/>
        <w:t>As Figuras 27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correta da orientação e das identificações manuscritas.</w:t>
      </w:r>
    </w:p>
    <w:p>
      <w:pPr>
        <w:pStyle w:val="TextoNormal-IPCA"/>
        <w:rPr/>
      </w:pPr>
      <w:r>
        <w:rPr/>
        <w:t xml:space="preserve">O registo confirma a existência material dos componentes fotografados e permite observar diferenças de escala, estados de montagem e relações visuais entre as peças.  </w:t>
      </w:r>
    </w:p>
    <w:p>
      <w:pPr>
        <w:pStyle w:val="TextoNormal-IPCA"/>
        <w:rPr/>
      </w:pPr>
      <w:r>
        <w:rPr/>
        <w:t>Os desvios apresentados na Subcapítulo D.4.4 resultam dos valores medidos nas peças, não da interpretação das imagens.</w:t>
      </w:r>
    </w:p>
    <w:p>
      <w:pPr>
        <w:pStyle w:val="TextoNormal-IPCA"/>
        <w:rPr/>
      </w:pPr>
      <w:r>
        <w:rPr/>
      </w:r>
    </w:p>
    <w:p>
      <w:pPr>
        <w:pStyle w:val="Heading2"/>
        <w:numPr>
          <w:ilvl w:val="0"/>
          <w:numId w:val="0"/>
        </w:numPr>
        <w:ind w:hanging="0" w:start="0"/>
        <w:rPr/>
      </w:pPr>
      <w:bookmarkStart w:id="303" w:name="_Toc235565137"/>
      <w:r>
        <w:rPr/>
        <w:t>D.5 Compatibilidade com orientações de dimensionamento</w:t>
      </w:r>
      <w:bookmarkEnd w:id="303"/>
    </w:p>
    <w:p>
      <w:pPr>
        <w:pStyle w:val="TextoNormal-IPCA"/>
        <w:keepNext w:val="true"/>
        <w:rPr/>
      </w:pPr>
      <w:r>
        <w:rPr/>
      </w:r>
    </w:p>
    <w:p>
      <w:pPr>
        <w:pStyle w:val="TextoNormal-IPCA"/>
        <w:rPr/>
      </w:pPr>
      <w:r>
        <w:rPr/>
        <w:t>Os referenciais de dimensionamento disponíveis permitem estabelecer duas comparações delimitadas. No Flexy Beast, a plataforma usa a fórmula de escala herdada da família Cyborg Beast, (palm_breadth_mm + 5) / 55. O gráfico etário do Cyborg Beast indica 126% aos 8 anos e 133% aos 15 anos; as larguras introduzidas nos perfis Flexy originaram, respetivamente, 125,5% e 150,9%. A proximidade do primeiro caso tem apenas valor contextual. A diferença observada no segundo mostra que uma regra baseada numa medida da mão não equivale a uma regressão baseada somente na idade.</w:t>
      </w:r>
    </w:p>
    <w:p>
      <w:pPr>
        <w:pStyle w:val="TextoNormal-IPCA"/>
        <w:rPr/>
      </w:pPr>
      <w:r>
        <w:rPr/>
        <w:t>No Phoenix, a regra palm_breadth_mm / 82 × 100,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100%–165%</w:t>
            </w:r>
          </w:p>
        </w:tc>
      </w:tr>
    </w:tbl>
    <w:p>
      <w:pPr>
        <w:pStyle w:val="TextoNormal-IPCA"/>
        <w:rPr/>
      </w:pPr>
      <w:r>
        <w:rPr/>
      </w:r>
    </w:p>
    <w:p>
      <w:pPr>
        <w:pStyle w:val="TextoNormal-IPCA"/>
        <w:rPr/>
      </w:pPr>
      <w:r>
        <w:rPr/>
        <w:t>Os quatro valores inserem-se na gama de fatores da folha Phoenix. A largura-base de 65 mm indicada nessa folha não foi comparada diretamente com os 82 mm da plataforma, uma vez que os documentos não demonstram a equivalência dos pontos de medição. Não existe uma tabela específica para o Paraglider. O detalhe e os limites destas comparações encontram-se no ficheiro compatibilidade_dimensionamento.md do Suplemento 4. Os resultados são compatíveis com orientações de escala, mas não demonstram adequação anatómica individual nem funcionamento.</w:t>
      </w:r>
    </w:p>
    <w:p>
      <w:pPr>
        <w:pStyle w:val="TextoNormal-IPCA"/>
        <w:rPr/>
      </w:pPr>
      <w:r>
        <w:rPr/>
      </w:r>
    </w:p>
    <w:p>
      <w:pPr>
        <w:pStyle w:val="Heading2"/>
        <w:numPr>
          <w:ilvl w:val="0"/>
          <w:numId w:val="0"/>
        </w:numPr>
        <w:ind w:hanging="0" w:start="0"/>
        <w:rPr/>
      </w:pPr>
      <w:bookmarkStart w:id="304" w:name="_Toc235565138"/>
      <w:r>
        <w:rPr/>
        <w:t>D.6 Limites de comparabilidade</w:t>
      </w:r>
      <w:bookmarkEnd w:id="304"/>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direta entre modelos/máquinas:</w:t>
      </w:r>
      <w:r>
        <w:rPr/>
        <w:t xml:space="preserve"> mistura</w:t>
      </w:r>
    </w:p>
    <w:p>
      <w:pPr>
        <w:pStyle w:val="TextoNormal-IPCA"/>
        <w:rPr/>
      </w:pPr>
      <w:r>
        <w:rPr/>
        <w:t xml:space="preserve">programas (Bambu Studio/PrusaSlicer), impressoras (A1/MINI), alturas de camada (0,24/0,20 mm) e políticas de suportes. Em particular, o Paraglider não é comparável com os casos Bambu. </w:t>
      </w:r>
      <w:r>
        <w:rPr>
          <w:bCs/>
        </w:rPr>
        <w:t>A única exceção</w:t>
      </w:r>
      <w:r>
        <w:rPr>
          <w:b/>
        </w:rPr>
        <w:t xml:space="preserve"> são</w:t>
      </w:r>
      <w:r>
        <w:rPr/>
        <w:t xml:space="preserve"> os dois projetos Phoenix (PLA e PETG), que partilham todas as condições exceto o material e, por isso,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um único corpo montado, mas exporta o Phoenix apenas em peças soltas (não há 3MF de montagem por perfil, exceto </w:t>
      </w:r>
      <w:r>
        <w:rPr>
          <w:rFonts w:ascii="Consolas" w:hAnsi="Consolas"/>
        </w:rPr>
        <w:t>teen_15</w:t>
      </w:r>
      <w:r>
        <w:rPr/>
        <w:t>). Para assegurar a homogeneidade, a comparação da Série B incidiu nos conjuntos de peças de cada modelo.</w:t>
      </w:r>
    </w:p>
    <w:p>
      <w:pPr>
        <w:pStyle w:val="Heading2"/>
        <w:numPr>
          <w:ilvl w:val="0"/>
          <w:numId w:val="0"/>
        </w:numPr>
        <w:ind w:hanging="0" w:start="0"/>
        <w:rPr/>
      </w:pPr>
      <w:bookmarkStart w:id="305" w:name="_Toc235565139"/>
      <w:r>
        <w:rPr/>
        <w:t>D.7 Campos que não puderam ser obtidos</w:t>
      </w:r>
      <w:bookmarkEnd w:id="305"/>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que contém apenas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 amplitude entre repetições nem a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correção; os cinco dedos apresentaram movimento livre; e foram observados o fecho por cabo e o retorno. Após ensaios repetidos, os elásticos das articulações alargaram e tiveram de ser substituídos. Não ficaram registados o número exato de ciclos nem os ensaios com cilindros, pelo que o resultado permanece parcial.</w:t>
      </w:r>
    </w:p>
    <w:p>
      <w:pPr>
        <w:pStyle w:val="Heading2"/>
        <w:numPr>
          <w:ilvl w:val="0"/>
          <w:numId w:val="0"/>
        </w:numPr>
        <w:ind w:hanging="0" w:start="0"/>
        <w:rPr/>
      </w:pPr>
      <w:bookmarkStart w:id="306" w:name="_Toc235565140"/>
      <w:r>
        <w:rPr/>
        <w:t>D.8 O que pode e não pode ser afirmado na investigação</w:t>
      </w:r>
      <w:bookmarkEnd w:id="306"/>
    </w:p>
    <w:p>
      <w:pPr>
        <w:pStyle w:val="TextoNormal-IPCA"/>
        <w:keepNext w:val="true"/>
        <w:rPr/>
      </w:pPr>
      <w:r>
        <w:rPr/>
      </w:r>
    </w:p>
    <w:p>
      <w:pPr>
        <w:pStyle w:val="TextoNormal-IPCA"/>
        <w:rPr/>
      </w:pPr>
      <w:r>
        <w:rPr>
          <w:b/>
        </w:rPr>
        <w:t>Pode afirmar-se:</w:t>
      </w:r>
    </w:p>
    <w:p>
      <w:pPr>
        <w:pStyle w:val="TextoNormal-IPCA"/>
        <w:rPr/>
      </w:pPr>
      <w:r>
        <w:rPr/>
        <w:t>- Que os ficheiros foram aceites pelos programas de preparação e permitiram gerar trajetórias</w:t>
      </w:r>
    </w:p>
    <w:p>
      <w:pPr>
        <w:pStyle w:val="TextoNormal-IPCA"/>
        <w:rPr/>
      </w:pPr>
      <w:r>
        <w:rPr/>
        <w:t>e estimativas em 4/4 projetos com a configuração analisada e em 12/12 casos controlados.</w:t>
      </w:r>
    </w:p>
    <w:p>
      <w:pPr>
        <w:pStyle w:val="TextoNormal-IPCA"/>
        <w:rPr/>
      </w:pPr>
      <w:r>
        <w:rPr/>
        <w:t>- Que a exigência de preparação (material, tempo, número de placas) foi</w:t>
      </w:r>
    </w:p>
    <w:p>
      <w:pPr>
        <w:pStyle w:val="TextoNormal-IPCA"/>
        <w:rPr/>
      </w:pPr>
      <w:r>
        <w:rPr/>
        <w:t>estimada nas condições declaradas e variou consoante o modelo e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o que apoia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pois partilha o modelo, a impressora, a geometria, a camada e o processo.</w:t>
      </w:r>
    </w:p>
    <w:p>
      <w:pPr>
        <w:pStyle w:val="TextoNormal-IPCA"/>
        <w:rPr/>
      </w:pPr>
      <w:r>
        <w:rPr/>
        <w:t>- Que foram comparadas 72 dimensões físicas das palmas em PLA e PETG com as</w:t>
      </w:r>
    </w:p>
    <w:p>
      <w:pPr>
        <w:pStyle w:val="TextoNormal-IPCA"/>
        <w:rPr/>
      </w:pPr>
      <w:r>
        <w:rPr/>
        <w:t>extensões X/Y/Z das respetivas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pPr>
      <w:r>
        <w:rPr/>
        <w:t>- Que as estimativas de tempo, filamento, massa, volume e custo são medições</w:t>
      </w:r>
    </w:p>
    <w:p>
      <w:pPr>
        <w:pStyle w:val="TextoNormal-IPCA"/>
        <w:rPr/>
      </w:pPr>
      <w:r>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Que os casos da Série A são comparáveis entre modelos, programas ou</w:t>
      </w:r>
    </w:p>
    <w:p>
      <w:pPr>
        <w:pStyle w:val="TextoNormal-IPCA"/>
        <w:rPr/>
      </w:pPr>
      <w:r>
        <w:rPr/>
        <w:t>impressoras (a única comparação válida na Série A é o par Phoenix PLA vs PETG, que difere apenas no material).</w:t>
      </w:r>
    </w:p>
    <w:p>
      <w:pPr>
        <w:pStyle w:val="TextoNormal-IPCA"/>
        <w:rPr/>
      </w:pPr>
      <w:r>
        <w:rPr/>
        <w:t>- 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que varie consoante o fornecedor ou ao longo do tempo altera-os proporcionalmente.</w:t>
      </w:r>
    </w:p>
    <w:sectPr>
      <w:headerReference w:type="default" r:id="rId218"/>
      <w:headerReference w:type="first" r:id="rId219"/>
      <w:footerReference w:type="even" r:id="rId220"/>
      <w:footerReference w:type="default" r:id="rId221"/>
      <w:footerReference w:type="first" r:id="rId222"/>
      <w:footnotePr>
        <w:numFmt w:val="decimal"/>
      </w:footnotePr>
      <w:type w:val="nextPage"/>
      <w:pgSz w:w="11906" w:h="16838"/>
      <w:pgMar w:left="1701" w:right="1701" w:gutter="0" w:header="709" w:top="1701"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Aptos Display">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Segoe UI">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MS Gothic">
    <w:charset w:val="01" w:characterSet="utf-8"/>
    <w:family w:val="roman"/>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None/>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152192318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id w:val="-152192318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None/>
              <wp:docPr id="4"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8" behindDoc="0" locked="0" layoutInCell="0" allowOverlap="1">
              <wp:simplePos x="0" y="0"/>
              <wp:positionH relativeFrom="margin">
                <wp:align>center</wp:align>
              </wp:positionH>
              <wp:positionV relativeFrom="paragraph">
                <wp:posOffset>635</wp:posOffset>
              </wp:positionV>
              <wp:extent cx="251460" cy="146685"/>
              <wp:effectExtent l="0" t="0" r="0" b="0"/>
              <wp:wrapNone/>
              <wp:docPr id="5" name="Frame3"/>
              <a:graphic xmlns:a="http://schemas.openxmlformats.org/drawingml/2006/main">
                <a:graphicData uri="http://schemas.microsoft.com/office/word/2010/wordprocessingShape">
                  <wps:wsp>
                    <wps:cNvSpPr txBox="1"/>
                    <wps:spPr>
                      <a:xfrm>
                        <a:off x="0" y="0"/>
                        <a:ext cx="251460" cy="14668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9.8pt;height:11.55pt;mso-wrap-distance-left:0pt;mso-wrap-distance-right:0pt;mso-wrap-distance-top:0pt;mso-wrap-distance-bottom:0pt;margin-top:0.05pt;mso-position-vertical-relative:text;margin-left:202.7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sdtContent>
                  </w:sdt>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9" behindDoc="0" locked="0" layoutInCell="0" allowOverlap="1">
              <wp:simplePos x="0" y="0"/>
              <wp:positionH relativeFrom="margin">
                <wp:align>center</wp:align>
              </wp:positionH>
              <wp:positionV relativeFrom="paragraph">
                <wp:posOffset>635</wp:posOffset>
              </wp:positionV>
              <wp:extent cx="287020" cy="146685"/>
              <wp:effectExtent l="0" t="0" r="0" b="0"/>
              <wp:wrapNone/>
              <wp:docPr id="8" name="Frame4"/>
              <a:graphic xmlns:a="http://schemas.openxmlformats.org/drawingml/2006/main">
                <a:graphicData uri="http://schemas.microsoft.com/office/word/2010/wordprocessingShape">
                  <wps:wsp>
                    <wps:cNvSpPr txBox="1"/>
                    <wps:spPr>
                      <a:xfrm>
                        <a:off x="0" y="0"/>
                        <a:ext cx="287020" cy="14668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22.6pt;height:11.55pt;mso-wrap-distance-left:0pt;mso-wrap-distance-right:0pt;mso-wrap-distance-top:0pt;mso-wrap-distance-bottom:0pt;margin-top:0.05pt;mso-position-vertical-relative:text;margin-left:201.3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sdtContent>
                  </w:sdt>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0" behindDoc="0" locked="0" layoutInCell="0" allowOverlap="1">
              <wp:simplePos x="0" y="0"/>
              <wp:positionH relativeFrom="margin">
                <wp:align>center</wp:align>
              </wp:positionH>
              <wp:positionV relativeFrom="paragraph">
                <wp:posOffset>635</wp:posOffset>
              </wp:positionV>
              <wp:extent cx="321945" cy="146685"/>
              <wp:effectExtent l="0" t="0" r="0" b="0"/>
              <wp:wrapNone/>
              <wp:docPr id="9" name="Frame5"/>
              <a:graphic xmlns:a="http://schemas.openxmlformats.org/drawingml/2006/main">
                <a:graphicData uri="http://schemas.microsoft.com/office/word/2010/wordprocessingShape">
                  <wps:wsp>
                    <wps:cNvSpPr txBox="1"/>
                    <wps:spPr>
                      <a:xfrm>
                        <a:off x="0" y="0"/>
                        <a:ext cx="321945" cy="14668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25.35pt;height:11.55pt;mso-wrap-distance-left:0pt;mso-wrap-distance-right:0pt;mso-wrap-distance-top:0pt;mso-wrap-distance-bottom:0pt;margin-top:0.05pt;mso-position-vertical-relative:text;margin-left:199.95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sdtContent>
                  </w:sdt>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1" behindDoc="0" locked="0" layoutInCell="0" allowOverlap="1">
              <wp:simplePos x="0" y="0"/>
              <wp:positionH relativeFrom="margin">
                <wp:align>center</wp:align>
              </wp:positionH>
              <wp:positionV relativeFrom="paragraph">
                <wp:posOffset>635</wp:posOffset>
              </wp:positionV>
              <wp:extent cx="314960" cy="146685"/>
              <wp:effectExtent l="0" t="0" r="0" b="0"/>
              <wp:wrapNone/>
              <wp:docPr id="10" name="Frame6"/>
              <a:graphic xmlns:a="http://schemas.openxmlformats.org/drawingml/2006/main">
                <a:graphicData uri="http://schemas.microsoft.com/office/word/2010/wordprocessingShape">
                  <wps:wsp>
                    <wps:cNvSpPr txBox="1"/>
                    <wps:spPr>
                      <a:xfrm>
                        <a:off x="0" y="0"/>
                        <a:ext cx="314960" cy="14668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24.8pt;height:11.55pt;mso-wrap-distance-left:0pt;mso-wrap-distance-right:0pt;mso-wrap-distance-top:0pt;mso-wrap-distance-bottom:0pt;margin-top:0.05pt;mso-position-vertical-relative:text;margin-left:200.2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sdtContent>
                  </w:sdt>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2" behindDoc="0" locked="0" layoutInCell="0" allowOverlap="1">
              <wp:simplePos x="0" y="0"/>
              <wp:positionH relativeFrom="margin">
                <wp:align>center</wp:align>
              </wp:positionH>
              <wp:positionV relativeFrom="paragraph">
                <wp:posOffset>635</wp:posOffset>
              </wp:positionV>
              <wp:extent cx="280035" cy="146685"/>
              <wp:effectExtent l="0" t="0" r="0" b="0"/>
              <wp:wrapNone/>
              <wp:docPr id="11" name="Frame7"/>
              <a:graphic xmlns:a="http://schemas.openxmlformats.org/drawingml/2006/main">
                <a:graphicData uri="http://schemas.microsoft.com/office/word/2010/wordprocessingShape">
                  <wps:wsp>
                    <wps:cNvSpPr txBox="1"/>
                    <wps:spPr>
                      <a:xfrm>
                        <a:off x="0" y="0"/>
                        <a:ext cx="280035" cy="14668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22.05pt;height:11.55pt;mso-wrap-distance-left:0pt;mso-wrap-distance-right:0pt;mso-wrap-distance-top:0pt;mso-wrap-distance-bottom:0pt;margin-top:0.05pt;mso-position-vertical-relative:text;margin-left:201.6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sdtContent>
                  </w:sdt>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3" behindDoc="0" locked="0" layoutInCell="0" allowOverlap="1">
              <wp:simplePos x="0" y="0"/>
              <wp:positionH relativeFrom="margin">
                <wp:align>center</wp:align>
              </wp:positionH>
              <wp:positionV relativeFrom="paragraph">
                <wp:posOffset>635</wp:posOffset>
              </wp:positionV>
              <wp:extent cx="314960" cy="146685"/>
              <wp:effectExtent l="0" t="0" r="0" b="0"/>
              <wp:wrapNone/>
              <wp:docPr id="12" name="Frame8"/>
              <a:graphic xmlns:a="http://schemas.openxmlformats.org/drawingml/2006/main">
                <a:graphicData uri="http://schemas.microsoft.com/office/word/2010/wordprocessingShape">
                  <wps:wsp>
                    <wps:cNvSpPr txBox="1"/>
                    <wps:spPr>
                      <a:xfrm>
                        <a:off x="0" y="0"/>
                        <a:ext cx="314960" cy="14668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24.8pt;height:11.55pt;mso-wrap-distance-left:0pt;mso-wrap-distance-right:0pt;mso-wrap-distance-top:0pt;mso-wrap-distance-bottom:0pt;margin-top:0.05pt;mso-position-vertical-relative:text;margin-left:200.2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w:t>
                        </w:r>
                        <w:r>
                          <w:rPr>
                            <w:rStyle w:val="PageNumber"/>
                          </w:rPr>
                          <w:fldChar w:fldCharType="end"/>
                        </w:r>
                      </w:p>
                    </w:sdtContent>
                  </w:sdt>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4" behindDoc="0" locked="0" layoutInCell="0" allowOverlap="1">
              <wp:simplePos x="0" y="0"/>
              <wp:positionH relativeFrom="margin">
                <wp:align>center</wp:align>
              </wp:positionH>
              <wp:positionV relativeFrom="paragraph">
                <wp:posOffset>635</wp:posOffset>
              </wp:positionV>
              <wp:extent cx="350520" cy="146685"/>
              <wp:effectExtent l="0" t="0" r="0" b="0"/>
              <wp:wrapNone/>
              <wp:docPr id="13" name="Frame9"/>
              <a:graphic xmlns:a="http://schemas.openxmlformats.org/drawingml/2006/main">
                <a:graphicData uri="http://schemas.microsoft.com/office/word/2010/wordprocessingShape">
                  <wps:wsp>
                    <wps:cNvSpPr txBox="1"/>
                    <wps:spPr>
                      <a:xfrm>
                        <a:off x="0" y="0"/>
                        <a:ext cx="350520" cy="14668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27.6pt;height:11.55pt;mso-wrap-distance-left:0pt;mso-wrap-distance-right:0pt;mso-wrap-distance-top:0pt;mso-wrap-distance-bottom:0pt;margin-top:0.05pt;mso-position-vertical-relative:text;margin-left:198.8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sdtContent>
                  </w:sdt>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5" behindDoc="0" locked="0" layoutInCell="0" allowOverlap="1">
              <wp:simplePos x="0" y="0"/>
              <wp:positionH relativeFrom="margin">
                <wp:align>center</wp:align>
              </wp:positionH>
              <wp:positionV relativeFrom="paragraph">
                <wp:posOffset>635</wp:posOffset>
              </wp:positionV>
              <wp:extent cx="385445" cy="146685"/>
              <wp:effectExtent l="0" t="0" r="0" b="0"/>
              <wp:wrapNone/>
              <wp:docPr id="14" name="Frame10"/>
              <a:graphic xmlns:a="http://schemas.openxmlformats.org/drawingml/2006/main">
                <a:graphicData uri="http://schemas.microsoft.com/office/word/2010/wordprocessingShape">
                  <wps:wsp>
                    <wps:cNvSpPr txBox="1"/>
                    <wps:spPr>
                      <a:xfrm>
                        <a:off x="0" y="0"/>
                        <a:ext cx="385445" cy="14668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30.35pt;height:11.55pt;mso-wrap-distance-left:0pt;mso-wrap-distance-right:0pt;mso-wrap-distance-top:0pt;mso-wrap-distance-bottom:0pt;margin-top:0.05pt;mso-position-vertical-relative:text;margin-left:197.45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sdtContent>
                  </w:sdt>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7" behindDoc="0" locked="0" layoutInCell="0" allowOverlap="1">
              <wp:simplePos x="0" y="0"/>
              <wp:positionH relativeFrom="margin">
                <wp:align>center</wp:align>
              </wp:positionH>
              <wp:positionV relativeFrom="paragraph">
                <wp:posOffset>635</wp:posOffset>
              </wp:positionV>
              <wp:extent cx="280035" cy="146685"/>
              <wp:effectExtent l="0" t="0" r="0" b="0"/>
              <wp:wrapNone/>
              <wp:docPr id="15" name="Frame11"/>
              <a:graphic xmlns:a="http://schemas.openxmlformats.org/drawingml/2006/main">
                <a:graphicData uri="http://schemas.microsoft.com/office/word/2010/wordprocessingShape">
                  <wps:wsp>
                    <wps:cNvSpPr txBox="1"/>
                    <wps:spPr>
                      <a:xfrm>
                        <a:off x="0" y="0"/>
                        <a:ext cx="280035" cy="14668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x</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22.05pt;height:11.55pt;mso-wrap-distance-left:0pt;mso-wrap-distance-right:0pt;mso-wrap-distance-top:0pt;mso-wrap-distance-bottom:0pt;margin-top:0.05pt;mso-position-vertical-relative:text;margin-left:201.6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x</w:t>
                        </w:r>
                        <w:r>
                          <w:rPr>
                            <w:rStyle w:val="PageNumber"/>
                          </w:rPr>
                          <w:fldChar w:fldCharType="end"/>
                        </w:r>
                      </w:p>
                    </w:sdtContent>
                  </w:sdt>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8" behindDoc="0" locked="0" layoutInCell="0" allowOverlap="1">
              <wp:simplePos x="0" y="0"/>
              <wp:positionH relativeFrom="margin">
                <wp:align>center</wp:align>
              </wp:positionH>
              <wp:positionV relativeFrom="paragraph">
                <wp:posOffset>635</wp:posOffset>
              </wp:positionV>
              <wp:extent cx="314960" cy="146685"/>
              <wp:effectExtent l="0" t="0" r="0" b="0"/>
              <wp:wrapNone/>
              <wp:docPr id="16" name="Frame12"/>
              <a:graphic xmlns:a="http://schemas.openxmlformats.org/drawingml/2006/main">
                <a:graphicData uri="http://schemas.microsoft.com/office/word/2010/wordprocessingShape">
                  <wps:wsp>
                    <wps:cNvSpPr txBox="1"/>
                    <wps:spPr>
                      <a:xfrm>
                        <a:off x="0" y="0"/>
                        <a:ext cx="314960" cy="14668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xi</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24.8pt;height:11.55pt;mso-wrap-distance-left:0pt;mso-wrap-distance-right:0pt;mso-wrap-distance-top:0pt;mso-wrap-distance-bottom:0pt;margin-top:0.05pt;mso-position-vertical-relative:text;margin-left:200.2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xi</w:t>
                        </w:r>
                        <w:r>
                          <w:rPr>
                            <w:rStyle w:val="PageNumber"/>
                          </w:rPr>
                          <w:fldChar w:fldCharType="end"/>
                        </w:r>
                      </w:p>
                    </w:sdtContent>
                  </w:sdt>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4" behindDoc="0" locked="0" layoutInCell="0" allowOverlap="1">
              <wp:simplePos x="0" y="0"/>
              <wp:positionH relativeFrom="margin">
                <wp:align>center</wp:align>
              </wp:positionH>
              <wp:positionV relativeFrom="paragraph">
                <wp:posOffset>635</wp:posOffset>
              </wp:positionV>
              <wp:extent cx="414020" cy="146685"/>
              <wp:effectExtent l="0" t="0" r="0" b="0"/>
              <wp:wrapNone/>
              <wp:docPr id="17" name="Frame13"/>
              <a:graphic xmlns:a="http://schemas.openxmlformats.org/drawingml/2006/main">
                <a:graphicData uri="http://schemas.microsoft.com/office/word/2010/wordprocessingShape">
                  <wps:wsp>
                    <wps:cNvSpPr txBox="1"/>
                    <wps:spPr>
                      <a:xfrm>
                        <a:off x="0" y="0"/>
                        <a:ext cx="414020" cy="14668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xvii</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32.6pt;height:11.55pt;mso-wrap-distance-left:0pt;mso-wrap-distance-right:0pt;mso-wrap-distance-top:0pt;mso-wrap-distance-bottom:0pt;margin-top:0.05pt;mso-position-vertical-relative:text;margin-left:196.3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xvii</w:t>
                        </w:r>
                        <w:r>
                          <w:rPr>
                            <w:rStyle w:val="PageNumber"/>
                          </w:rPr>
                          <w:fldChar w:fldCharType="end"/>
                        </w:r>
                      </w:p>
                    </w:sdtContent>
                  </w:sdt>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8" behindDoc="0" locked="0" layoutInCell="0" allowOverlap="1">
              <wp:simplePos x="0" y="0"/>
              <wp:positionH relativeFrom="margin">
                <wp:align>center</wp:align>
              </wp:positionH>
              <wp:positionV relativeFrom="paragraph">
                <wp:posOffset>635</wp:posOffset>
              </wp:positionV>
              <wp:extent cx="378460" cy="146685"/>
              <wp:effectExtent l="0" t="0" r="0" b="0"/>
              <wp:wrapNone/>
              <wp:docPr id="18" name="Frame14"/>
              <a:graphic xmlns:a="http://schemas.openxmlformats.org/drawingml/2006/main">
                <a:graphicData uri="http://schemas.microsoft.com/office/word/2010/wordprocessingShape">
                  <wps:wsp>
                    <wps:cNvSpPr txBox="1"/>
                    <wps:spPr>
                      <a:xfrm>
                        <a:off x="0" y="0"/>
                        <a:ext cx="378460" cy="146685"/>
                      </a:xfrm>
                      <a:prstGeom prst="rect"/>
                      <a:solidFill>
                        <a:srgbClr val="FFFFFF">
                          <a:alpha val="0"/>
                        </a:srgbClr>
                      </a:solidFill>
                    </wps:spPr>
                    <wps:txbx>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xxi</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29.8pt;height:11.55pt;mso-wrap-distance-left:0pt;mso-wrap-distance-right:0pt;mso-wrap-distance-top:0pt;mso-wrap-distance-bottom:0pt;margin-top:0.05pt;mso-position-vertical-relative:text;margin-left:197.7pt;mso-position-horizontal:center;mso-position-horizontal-relative:margin">
              <v:fill opacity="0f"/>
              <v:textbox inset="0in,0in,0in,0in">
                <w:txbxContent>
                  <w:sdt>
                    <w:sdtPr>
                      <w:id w:val="-390808437"/>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xxi</w:t>
                        </w:r>
                        <w:r>
                          <w:rPr>
                            <w:rStyle w:val="PageNumber"/>
                          </w:rPr>
                          <w:fldChar w:fldCharType="end"/>
                        </w:r>
                      </w:p>
                    </w:sdtContent>
                  </w:sdt>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188</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188</w:t>
        </w:r>
        <w:r>
          <w:rPr>
            <w:rStyle w:val="RodapCarter"/>
          </w:rPr>
          <w:fldChar w:fldCharType="end"/>
        </w:r>
      </w:p>
    </w:sdtContent>
  </w:sdt>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9" behindDoc="0" locked="0" layoutInCell="0" allowOverlap="1">
              <wp:simplePos x="0" y="0"/>
              <wp:positionH relativeFrom="margin">
                <wp:align>center</wp:align>
              </wp:positionH>
              <wp:positionV relativeFrom="paragraph">
                <wp:posOffset>635</wp:posOffset>
              </wp:positionV>
              <wp:extent cx="407035" cy="146685"/>
              <wp:effectExtent l="0" t="0" r="0" b="0"/>
              <wp:wrapNone/>
              <wp:docPr id="53" name="Frame15"/>
              <a:graphic xmlns:a="http://schemas.openxmlformats.org/drawingml/2006/main">
                <a:graphicData uri="http://schemas.microsoft.com/office/word/2010/wordprocessingShape">
                  <wps:wsp>
                    <wps:cNvSpPr txBox="1"/>
                    <wps:spPr>
                      <a:xfrm>
                        <a:off x="0" y="0"/>
                        <a:ext cx="407035" cy="146685"/>
                      </a:xfrm>
                      <a:prstGeom prst="rect"/>
                      <a:solidFill>
                        <a:srgbClr val="FFFFFF">
                          <a:alpha val="0"/>
                        </a:srgbClr>
                      </a:solidFill>
                    </wps:spPr>
                    <wps:txbx>
                      <w:txbxContent>
                        <w:sdt>
                          <w:sdtPr>
                            <w:id w:val="-38217226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32.05pt;height:11.55pt;mso-wrap-distance-left:0pt;mso-wrap-distance-right:0pt;mso-wrap-distance-top:0pt;mso-wrap-distance-bottom:0pt;margin-top:0.05pt;mso-position-vertical-relative:text;margin-left:196.6pt;mso-position-horizontal:center;mso-position-horizontal-relative:margin">
              <v:fill opacity="0f"/>
              <v:textbox inset="0in,0in,0in,0in">
                <w:txbxContent>
                  <w:sdt>
                    <w:sdtPr>
                      <w:id w:val="-38217226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199</w:t>
                        </w:r>
                        <w:r>
                          <w:rPr>
                            <w:rStyle w:val="PageNumber"/>
                          </w:rPr>
                          <w:fldChar w:fldCharType="end"/>
                        </w:r>
                      </w:p>
                    </w:sdtContent>
                  </w:sdt>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9" behindDoc="0" locked="0" layoutInCell="0" allowOverlap="1">
              <wp:simplePos x="0" y="0"/>
              <wp:positionH relativeFrom="margin">
                <wp:align>center</wp:align>
              </wp:positionH>
              <wp:positionV relativeFrom="paragraph">
                <wp:posOffset>635</wp:posOffset>
              </wp:positionV>
              <wp:extent cx="407035" cy="146685"/>
              <wp:effectExtent l="0" t="0" r="0" b="0"/>
              <wp:wrapNone/>
              <wp:docPr id="54" name="Frame15"/>
              <a:graphic xmlns:a="http://schemas.openxmlformats.org/drawingml/2006/main">
                <a:graphicData uri="http://schemas.microsoft.com/office/word/2010/wordprocessingShape">
                  <wps:wsp>
                    <wps:cNvSpPr txBox="1"/>
                    <wps:spPr>
                      <a:xfrm>
                        <a:off x="0" y="0"/>
                        <a:ext cx="407035" cy="146685"/>
                      </a:xfrm>
                      <a:prstGeom prst="rect"/>
                      <a:solidFill>
                        <a:srgbClr val="FFFFFF">
                          <a:alpha val="0"/>
                        </a:srgbClr>
                      </a:solidFill>
                    </wps:spPr>
                    <wps:txbx>
                      <w:txbxContent>
                        <w:sdt>
                          <w:sdtPr>
                            <w:id w:val="-38217226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32.05pt;height:11.55pt;mso-wrap-distance-left:0pt;mso-wrap-distance-right:0pt;mso-wrap-distance-top:0pt;mso-wrap-distance-bottom:0pt;margin-top:0.05pt;mso-position-vertical-relative:text;margin-left:196.6pt;mso-position-horizontal:center;mso-position-horizontal-relative:margin">
              <v:fill opacity="0f"/>
              <v:textbox inset="0in,0in,0in,0in">
                <w:txbxContent>
                  <w:sdt>
                    <w:sdtPr>
                      <w:id w:val="-38217226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199</w:t>
                        </w:r>
                        <w:r>
                          <w:rPr>
                            <w:rStyle w:val="PageNumber"/>
                          </w:rPr>
                          <w:fldChar w:fldCharType="end"/>
                        </w:r>
                      </w:p>
                    </w:sdtContent>
                  </w:sdt>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ta-IPCA"/>
        <w:spacing w:before="0" w:after="120"/>
        <w:contextualSpacing/>
        <w:rPr>
          <w:lang w:val="pt-PT"/>
        </w:rPr>
      </w:pPr>
      <w:r>
        <w:rPr>
          <w:rStyle w:val="FootnoteCharacters"/>
        </w:rPr>
        <w:footnoteRef/>
      </w:r>
      <w:r>
        <w:rPr>
          <w:lang w:val="pt-PT"/>
        </w:rPr>
        <w:t xml:space="preserve"> </w:t>
      </w:r>
      <w:r>
        <w:rPr>
          <w:lang w:val="pt-PT"/>
        </w:rPr>
        <w:t>Proprioceptiva indirecta é a percepção parcial da posição, resistência ou esforço do dispositivo através de sinais transmitidos ao corpo por elementos mecânicos, como cabos, arnês ou tensão estrutural, sem recurso a sensores ou feedback sensorial activo.</w:t>
      </w:r>
    </w:p>
  </w:footnote>
  <w:footnote w:id="3">
    <w:p>
      <w:pPr>
        <w:pStyle w:val="Nota-IPCA"/>
        <w:spacing w:before="0" w:after="120"/>
        <w:contextualSpacing/>
        <w:rPr>
          <w:lang w:val="pt-PT"/>
        </w:rPr>
      </w:pPr>
      <w:r>
        <w:rPr>
          <w:rStyle w:val="FootnoteCharacters"/>
        </w:rPr>
        <w:footnoteRef/>
      </w:r>
      <w:r>
        <w:rPr>
          <w:lang w:val="pt-PT"/>
        </w:rPr>
        <w:t xml:space="preserve"> </w:t>
      </w:r>
      <w:r>
        <w:rPr>
          <w:lang w:val="pt-PT"/>
        </w:rPr>
        <w:t xml:space="preserve">PRISMA corresponde a </w:t>
      </w:r>
      <w:r>
        <w:rPr>
          <w:i/>
          <w:lang w:val="pt-PT"/>
        </w:rPr>
        <w:t>Preferred Reporting Items for Systematic Reviews and Meta Analyses</w:t>
      </w:r>
      <w:r>
        <w:rPr>
          <w:lang w:val="pt-PT"/>
        </w:rPr>
        <w:t>, um conjunto de orientações para a elaboração e apresentação transparente de revisões sistemáticas e meta-análises.</w:t>
      </w:r>
    </w:p>
  </w:footnote>
  <w:footnote w:id="4">
    <w:p>
      <w:pPr>
        <w:pStyle w:val="Nota-IPCA"/>
        <w:spacing w:before="0" w:after="120"/>
        <w:contextualSpacing/>
        <w:rPr>
          <w:lang w:val="pt-PT"/>
        </w:rPr>
      </w:pPr>
      <w:r>
        <w:rPr>
          <w:rStyle w:val="FootnoteCharacters"/>
        </w:rPr>
        <w:footnoteRef/>
      </w:r>
      <w:r>
        <w:rPr>
          <w:lang w:val="pt-PT"/>
        </w:rPr>
        <w:t xml:space="preserve"> </w:t>
      </w:r>
      <w:r>
        <w:rPr>
          <w:i/>
          <w:lang w:val="pt-PT"/>
        </w:rPr>
        <w:t>File-to-factory</w:t>
      </w:r>
      <w:r>
        <w:rPr>
          <w:lang w:val="pt-PT"/>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Nota-IPCA"/>
        <w:spacing w:before="0" w:after="120"/>
        <w:contextualSpacing/>
        <w:rPr>
          <w:lang w:val="pt-PT"/>
        </w:rPr>
      </w:pPr>
      <w:r>
        <w:rPr>
          <w:rStyle w:val="FootnoteCharacters"/>
        </w:rPr>
        <w:footnoteRef/>
      </w:r>
      <w:r>
        <w:rPr>
          <w:lang w:val="pt-PT"/>
        </w:rPr>
        <w:t xml:space="preserve"> </w:t>
      </w:r>
      <w:r>
        <w:rPr>
          <w:lang w:val="pt-PT"/>
        </w:rPr>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Nota-IPCA"/>
        <w:spacing w:before="0" w:after="120"/>
        <w:contextualSpacing/>
        <w:rPr>
          <w:lang w:val="pt-PT"/>
        </w:rPr>
      </w:pPr>
      <w:r>
        <w:rPr>
          <w:rStyle w:val="FootnoteCharacters"/>
        </w:rPr>
        <w:footnoteRef/>
      </w:r>
      <w:r>
        <w:rPr>
          <w:lang w:val="pt-PT"/>
        </w:rPr>
        <w:t xml:space="preserve"> </w:t>
      </w:r>
      <w:r>
        <w:rPr>
          <w:lang w:val="pt-PT"/>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Nota-IPCA"/>
        <w:spacing w:before="0" w:after="120"/>
        <w:contextualSpacing/>
        <w:rPr>
          <w:lang w:val="pt-PT"/>
        </w:rPr>
      </w:pPr>
      <w:r>
        <w:rPr>
          <w:rStyle w:val="FootnoteCharacters"/>
        </w:rPr>
        <w:footnoteRef/>
      </w:r>
      <w:r>
        <w:rPr>
          <w:lang w:val="pt-PT"/>
        </w:rPr>
        <w:t xml:space="preserve"> </w:t>
      </w:r>
      <w:r>
        <w:rPr>
          <w:lang w:val="pt-PT"/>
        </w:rPr>
        <w:t>Redes neuronais artificiais são modelos computacionais compostos por camadas de unidades interligadas, que ajustam os seus parâmetros internos durante o treino para identificar padrões nos dados.</w:t>
      </w:r>
    </w:p>
  </w:footnote>
  <w:footnote w:id="8">
    <w:p>
      <w:pPr>
        <w:pStyle w:val="Nota-IPCA"/>
        <w:spacing w:before="0" w:after="120"/>
        <w:contextualSpacing/>
        <w:rPr>
          <w:lang w:val="pt-PT"/>
        </w:rPr>
      </w:pPr>
      <w:r>
        <w:rPr>
          <w:rStyle w:val="FootnoteCharacters"/>
        </w:rPr>
        <w:footnoteRef/>
      </w:r>
      <w:r>
        <w:rPr>
          <w:lang w:val="pt-PT"/>
        </w:rPr>
        <w:t xml:space="preserve"> </w:t>
      </w:r>
      <w:r>
        <w:rPr>
          <w:lang w:val="pt-PT"/>
        </w:rPr>
        <w:t xml:space="preserve">Em sistemas de IA generativa, um </w:t>
      </w:r>
      <w:r>
        <w:rPr>
          <w:i/>
          <w:lang w:val="pt-PT"/>
        </w:rPr>
        <w:t>prompt</w:t>
      </w:r>
      <w:r>
        <w:rPr>
          <w:lang w:val="pt-PT"/>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Nota-IPCA"/>
        <w:spacing w:before="0" w:after="120"/>
        <w:contextualSpacing/>
        <w:rPr>
          <w:lang w:val="pt-PT"/>
        </w:rPr>
      </w:pPr>
      <w:r>
        <w:rPr>
          <w:rStyle w:val="FootnoteCharacters"/>
        </w:rPr>
        <w:footnoteRef/>
      </w:r>
      <w:r>
        <w:rPr>
          <w:lang w:val="pt-PT"/>
        </w:rPr>
        <w:t xml:space="preserve"> </w:t>
      </w:r>
      <w:r>
        <w:rPr>
          <w:lang w:val="pt-PT"/>
        </w:rPr>
        <w:t xml:space="preserve">Um </w:t>
      </w:r>
      <w:r>
        <w:rPr>
          <w:i/>
          <w:lang w:val="pt-PT"/>
        </w:rPr>
        <w:t>digital twin</w:t>
      </w:r>
      <w:r>
        <w:rPr>
          <w:lang w:val="pt-PT"/>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Nota-IPCA"/>
        <w:spacing w:before="0" w:after="120"/>
        <w:contextualSpacing/>
        <w:rPr>
          <w:lang w:val="pt-PT"/>
        </w:rPr>
      </w:pPr>
      <w:r>
        <w:rPr>
          <w:rStyle w:val="FootnoteCharacters"/>
        </w:rPr>
        <w:footnoteRef/>
      </w:r>
      <w:r>
        <w:rPr>
          <w:lang w:val="pt-PT"/>
        </w:rPr>
        <w:t xml:space="preserve"> </w:t>
      </w:r>
      <w:r>
        <w:rPr>
          <w:i/>
          <w:lang w:val="pt-PT"/>
        </w:rPr>
        <w:t>Virtual coaching</w:t>
      </w:r>
      <w:r>
        <w:rPr>
          <w:lang w:val="pt-PT"/>
        </w:rPr>
        <w:t xml:space="preserve"> designa sistemas digitais de orientação e acompanhamento que fornecem instruções, recomendações ou </w:t>
      </w:r>
      <w:r>
        <w:rPr>
          <w:i/>
          <w:lang w:val="pt-PT"/>
        </w:rPr>
        <w:t>feedback</w:t>
      </w:r>
      <w:r>
        <w:rPr>
          <w:lang w:val="pt-PT"/>
        </w:rPr>
        <w:t xml:space="preserve"> ao utilizador durante atividades de treino, reabilitação ou aprendizagem, apoiando a adaptação do programa ao seu desempenho e evolução.</w:t>
      </w:r>
    </w:p>
  </w:footnote>
  <w:footnote w:id="11">
    <w:p>
      <w:pPr>
        <w:pStyle w:val="Nota-IPCA"/>
        <w:spacing w:before="0" w:after="120"/>
        <w:contextualSpacing/>
        <w:rPr>
          <w:lang w:val="pt-PT"/>
        </w:rPr>
      </w:pPr>
      <w:r>
        <w:rPr>
          <w:rStyle w:val="FootnoteCharacters"/>
        </w:rPr>
        <w:footnoteRef/>
      </w:r>
      <w:r>
        <w:rPr>
          <w:lang w:val="pt-PT"/>
        </w:rPr>
        <w:t xml:space="preserve"> </w:t>
      </w:r>
      <w:r>
        <w:rPr>
          <w:i/>
          <w:lang w:val="pt-PT"/>
        </w:rPr>
        <w:t>Serious games</w:t>
      </w:r>
      <w:r>
        <w:rPr>
          <w:lang w:val="pt-PT"/>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Nota-IPCA"/>
        <w:spacing w:before="0" w:after="120"/>
        <w:contextualSpacing/>
        <w:rPr>
          <w:lang w:val="pt-PT"/>
        </w:rPr>
      </w:pPr>
      <w:r>
        <w:rPr>
          <w:rStyle w:val="FootnoteCharacters"/>
        </w:rPr>
        <w:footnoteRef/>
      </w:r>
      <w:r>
        <w:rPr>
          <w:lang w:val="pt-PT"/>
        </w:rPr>
        <w:t xml:space="preserve"> </w:t>
      </w:r>
      <w:r>
        <w:rPr>
          <w:lang w:val="pt-PT"/>
        </w:rPr>
        <w:t xml:space="preserve">O </w:t>
      </w:r>
      <w:r>
        <w:rPr>
          <w:i/>
          <w:lang w:val="pt-PT"/>
        </w:rPr>
        <w:t>Technology Readiness Level</w:t>
      </w:r>
      <w:r>
        <w:rPr>
          <w:lang w:val="pt-PT"/>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0" behindDoc="1" locked="0" layoutInCell="1" allowOverlap="1">
          <wp:simplePos x="0" y="0"/>
          <wp:positionH relativeFrom="column">
            <wp:posOffset>-1080770</wp:posOffset>
          </wp:positionH>
          <wp:positionV relativeFrom="paragraph">
            <wp:posOffset>-482600</wp:posOffset>
          </wp:positionV>
          <wp:extent cx="7559675" cy="2261235"/>
          <wp:effectExtent l="0" t="0" r="0" b="0"/>
          <wp:wrapNone/>
          <wp:docPr id="1" name="Imagem 33"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33" descr="Uma imagem com texto, Tipo de letra, captura de ecrã, branco&#10;&#10;Descrição gerada automaticamente"/>
                  <pic:cNvPicPr>
                    <a:picLocks noChangeAspect="1" noChangeArrowheads="1"/>
                  </pic:cNvPicPr>
                </pic:nvPicPr>
                <pic:blipFill>
                  <a:blip r:embed="rId1"/>
                  <a:stretch>
                    <a:fillRect/>
                  </a:stretch>
                </pic:blipFill>
                <pic:spPr bwMode="auto">
                  <a:xfrm>
                    <a:off x="0" y="0"/>
                    <a:ext cx="7559675" cy="226123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0" behindDoc="1" locked="0" layoutInCell="0" allowOverlap="1">
          <wp:simplePos x="0" y="0"/>
          <wp:positionH relativeFrom="margin">
            <wp:posOffset>-1303020</wp:posOffset>
          </wp:positionH>
          <wp:positionV relativeFrom="page">
            <wp:posOffset>-209550</wp:posOffset>
          </wp:positionV>
          <wp:extent cx="7919085" cy="2368550"/>
          <wp:effectExtent l="0" t="0" r="0" b="0"/>
          <wp:wrapNone/>
          <wp:docPr id="2" name="Imagem 12" descr="Uma imagem com texto, verde, captura de ecrã,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2" descr="Uma imagem com texto, verde, captura de ecrã, Retângulo&#10;&#10;Descrição gerada automaticamente"/>
                  <pic:cNvPicPr>
                    <a:picLocks noChangeAspect="1" noChangeArrowheads="1"/>
                  </pic:cNvPicPr>
                </pic:nvPicPr>
                <pic:blipFill>
                  <a:blip r:embed="rId1"/>
                  <a:stretch>
                    <a:fillRect/>
                  </a:stretch>
                </pic:blipFill>
                <pic:spPr bwMode="auto">
                  <a:xfrm>
                    <a:off x="0" y="0"/>
                    <a:ext cx="7919085" cy="2368550"/>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1" behindDoc="1" locked="0" layoutInCell="1" allowOverlap="1">
          <wp:simplePos x="0" y="0"/>
          <wp:positionH relativeFrom="column">
            <wp:posOffset>-1080770</wp:posOffset>
          </wp:positionH>
          <wp:positionV relativeFrom="paragraph">
            <wp:posOffset>-482600</wp:posOffset>
          </wp:positionV>
          <wp:extent cx="7559675" cy="2261235"/>
          <wp:effectExtent l="0" t="0" r="0" b="0"/>
          <wp:wrapNone/>
          <wp:docPr id="6" name="Imagem 1274944687"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1274944687" descr="Uma imagem com texto, Tipo de letra, captura de ecrã, branco&#10;&#10;Descrição gerada automaticamente"/>
                  <pic:cNvPicPr>
                    <a:picLocks noChangeAspect="1" noChangeArrowheads="1"/>
                  </pic:cNvPicPr>
                </pic:nvPicPr>
                <pic:blipFill>
                  <a:blip r:embed="rId1"/>
                  <a:stretch>
                    <a:fillRect/>
                  </a:stretch>
                </pic:blipFill>
                <pic:spPr bwMode="auto">
                  <a:xfrm>
                    <a:off x="0" y="0"/>
                    <a:ext cx="7559675" cy="2261235"/>
                  </a:xfrm>
                  <a:prstGeom prst="rect">
                    <a:avLst/>
                  </a:prstGeom>
                  <a:noFill/>
                </pic:spPr>
              </pic:pic>
            </a:graphicData>
          </a:graphic>
        </wp:anchor>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1" behindDoc="1" locked="0" layoutInCell="1" allowOverlap="1">
          <wp:simplePos x="0" y="0"/>
          <wp:positionH relativeFrom="column">
            <wp:posOffset>-1080770</wp:posOffset>
          </wp:positionH>
          <wp:positionV relativeFrom="paragraph">
            <wp:posOffset>-482600</wp:posOffset>
          </wp:positionV>
          <wp:extent cx="7559675" cy="2261235"/>
          <wp:effectExtent l="0" t="0" r="0" b="0"/>
          <wp:wrapNone/>
          <wp:docPr id="7" name="Imagem 1274944687"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1274944687" descr="Uma imagem com texto, Tipo de letra, captura de ecrã, branco&#10;&#10;Descrição gerada automaticamente"/>
                  <pic:cNvPicPr>
                    <a:picLocks noChangeAspect="1" noChangeArrowheads="1"/>
                  </pic:cNvPicPr>
                </pic:nvPicPr>
                <pic:blipFill>
                  <a:blip r:embed="rId1"/>
                  <a:stretch>
                    <a:fillRect/>
                  </a:stretch>
                </pic:blipFill>
                <pic:spPr bwMode="auto">
                  <a:xfrm>
                    <a:off x="0" y="0"/>
                    <a:ext cx="7559675" cy="2261235"/>
                  </a:xfrm>
                  <a:prstGeom prst="rect">
                    <a:avLst/>
                  </a:prstGeom>
                  <a:noFill/>
                </pic:spPr>
              </pic:pic>
            </a:graphicData>
          </a:graphic>
        </wp:anchor>
      </w:drawing>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700" w:hanging="360"/>
      </w:pPr>
      <w:rPr/>
    </w:lvl>
    <w:lvl w:ilvl="1">
      <w:start w:val="1"/>
      <w:numFmt w:val="lowerLetter"/>
      <w:lvlText w:val="%2."/>
      <w:lvlJc w:val="start"/>
      <w:pPr>
        <w:tabs>
          <w:tab w:val="num" w:pos="0"/>
        </w:tabs>
        <w:ind w:start="1420" w:hanging="360"/>
      </w:pPr>
      <w:rPr/>
    </w:lvl>
    <w:lvl w:ilvl="2">
      <w:start w:val="1"/>
      <w:numFmt w:val="lowerRoman"/>
      <w:lvlText w:val="%3."/>
      <w:lvlJc w:val="end"/>
      <w:pPr>
        <w:tabs>
          <w:tab w:val="num" w:pos="0"/>
        </w:tabs>
        <w:ind w:start="2140" w:hanging="180"/>
      </w:pPr>
      <w:rPr/>
    </w:lvl>
    <w:lvl w:ilvl="3">
      <w:start w:val="1"/>
      <w:numFmt w:val="decimal"/>
      <w:lvlText w:val="%4."/>
      <w:lvlJc w:val="start"/>
      <w:pPr>
        <w:tabs>
          <w:tab w:val="num" w:pos="0"/>
        </w:tabs>
        <w:ind w:start="2860" w:hanging="360"/>
      </w:pPr>
      <w:rPr/>
    </w:lvl>
    <w:lvl w:ilvl="4">
      <w:start w:val="1"/>
      <w:numFmt w:val="lowerLetter"/>
      <w:lvlText w:val="%5."/>
      <w:lvlJc w:val="start"/>
      <w:pPr>
        <w:tabs>
          <w:tab w:val="num" w:pos="0"/>
        </w:tabs>
        <w:ind w:start="3580" w:hanging="360"/>
      </w:pPr>
      <w:rPr/>
    </w:lvl>
    <w:lvl w:ilvl="5">
      <w:start w:val="1"/>
      <w:numFmt w:val="lowerRoman"/>
      <w:lvlText w:val="%6."/>
      <w:lvlJc w:val="end"/>
      <w:pPr>
        <w:tabs>
          <w:tab w:val="num" w:pos="0"/>
        </w:tabs>
        <w:ind w:start="4300" w:hanging="180"/>
      </w:pPr>
      <w:rPr/>
    </w:lvl>
    <w:lvl w:ilvl="6">
      <w:start w:val="1"/>
      <w:numFmt w:val="decimal"/>
      <w:lvlText w:val="%7."/>
      <w:lvlJc w:val="start"/>
      <w:pPr>
        <w:tabs>
          <w:tab w:val="num" w:pos="0"/>
        </w:tabs>
        <w:ind w:start="5020" w:hanging="360"/>
      </w:pPr>
      <w:rPr/>
    </w:lvl>
    <w:lvl w:ilvl="7">
      <w:start w:val="1"/>
      <w:numFmt w:val="lowerLetter"/>
      <w:lvlText w:val="%8."/>
      <w:lvlJc w:val="start"/>
      <w:pPr>
        <w:tabs>
          <w:tab w:val="num" w:pos="0"/>
        </w:tabs>
        <w:ind w:start="5740" w:hanging="360"/>
      </w:pPr>
      <w:rPr/>
    </w:lvl>
    <w:lvl w:ilvl="8">
      <w:start w:val="1"/>
      <w:numFmt w:val="lowerRoman"/>
      <w:lvlText w:val="%9."/>
      <w:lvlJc w:val="end"/>
      <w:pPr>
        <w:tabs>
          <w:tab w:val="num" w:pos="0"/>
        </w:tabs>
        <w:ind w:start="646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pt-P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qFormat="1"/>
    <w:lsdException w:name="line number" w:semiHidden="1" w:unhideWhenUsed="1"/>
    <w:lsdException w:name="page number" w:semiHidden="1" w:unhideWhenUsed="1"/>
    <w:lsdException w:name="endnote reference" w:uiPriority="0"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0a54"/>
    <w:pPr>
      <w:widowControl/>
      <w:suppressAutoHyphens w:val="true"/>
      <w:bidi w:val="0"/>
      <w:spacing w:lineRule="auto" w:line="348" w:before="0" w:after="0"/>
      <w:ind w:firstLine="340"/>
      <w:jc w:val="both"/>
    </w:pPr>
    <w:rPr>
      <w:rFonts w:ascii="Times New Roman" w:hAnsi="Times New Roman" w:eastAsia="Aptos" w:cs="Times New Roman" w:eastAsiaTheme="minorHAnsi"/>
      <w:color w:val="auto"/>
      <w:kern w:val="0"/>
      <w:sz w:val="20"/>
      <w:szCs w:val="24"/>
      <w:lang w:val="pt-PT" w:eastAsia="en-US" w:bidi="ar-SA"/>
    </w:rPr>
  </w:style>
  <w:style w:type="paragraph" w:styleId="Heading1">
    <w:name w:val="heading 1"/>
    <w:basedOn w:val="Normal"/>
    <w:next w:val="Normal"/>
    <w:link w:val="Ttulo1Carter"/>
    <w:uiPriority w:val="9"/>
    <w:qFormat/>
    <w:rsid w:val="00e57c28"/>
    <w:pPr>
      <w:keepNext w:val="true"/>
      <w:keepLines/>
      <w:numPr>
        <w:ilvl w:val="0"/>
        <w:numId w:val="2"/>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Ttulo2Carter"/>
    <w:uiPriority w:val="1"/>
    <w:unhideWhenUsed/>
    <w:qFormat/>
    <w:rsid w:val="004c094f"/>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Ttulo3Carter"/>
    <w:uiPriority w:val="9"/>
    <w:unhideWhenUsed/>
    <w:qFormat/>
    <w:rsid w:val="004c094f"/>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Ttulo4Carter"/>
    <w:uiPriority w:val="9"/>
    <w:unhideWhenUsed/>
    <w:qFormat/>
    <w:rsid w:val="007c0a54"/>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Ttulo5Carter"/>
    <w:uiPriority w:val="9"/>
    <w:unhideWhenUsed/>
    <w:qFormat/>
    <w:rsid w:val="007c0a54"/>
    <w:pPr>
      <w:keepNext w:val="true"/>
      <w:keepLines/>
      <w:numPr>
        <w:ilvl w:val="4"/>
        <w:numId w:val="1"/>
      </w:numPr>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ter"/>
    <w:uiPriority w:val="9"/>
    <w:unhideWhenUsed/>
    <w:qFormat/>
    <w:rsid w:val="007c0a54"/>
    <w:pPr>
      <w:keepNext w:val="true"/>
      <w:keepLines/>
      <w:numPr>
        <w:ilvl w:val="5"/>
        <w:numId w:val="1"/>
      </w:numPr>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ter"/>
    <w:uiPriority w:val="9"/>
    <w:semiHidden/>
    <w:unhideWhenUsed/>
    <w:qFormat/>
    <w:rsid w:val="007c0a54"/>
    <w:pPr>
      <w:keepNext w:val="true"/>
      <w:keepLines/>
      <w:numPr>
        <w:ilvl w:val="6"/>
        <w:numId w:val="1"/>
      </w:numPr>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ter"/>
    <w:uiPriority w:val="9"/>
    <w:semiHidden/>
    <w:unhideWhenUsed/>
    <w:qFormat/>
    <w:rsid w:val="007c0a54"/>
    <w:pPr>
      <w:keepNext w:val="true"/>
      <w:keepLines/>
      <w:numPr>
        <w:ilvl w:val="7"/>
        <w:numId w:val="1"/>
      </w:numPr>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ter"/>
    <w:uiPriority w:val="9"/>
    <w:semiHidden/>
    <w:unhideWhenUsed/>
    <w:qFormat/>
    <w:rsid w:val="007c0a54"/>
    <w:pPr>
      <w:keepNext w:val="true"/>
      <w:keepLines/>
      <w:numPr>
        <w:ilvl w:val="8"/>
        <w:numId w:val="1"/>
      </w:numPr>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ter" w:customStyle="1">
    <w:name w:val="Título 1 Caráter"/>
    <w:basedOn w:val="DefaultParagraphFont"/>
    <w:link w:val="Heading1"/>
    <w:uiPriority w:val="9"/>
    <w:qFormat/>
    <w:rsid w:val="00e57c28"/>
    <w:rPr>
      <w:rFonts w:ascii="Arial" w:hAnsi="Arial" w:eastAsia="" w:cs="" w:cstheme="majorBidi" w:eastAsiaTheme="majorEastAsia"/>
      <w:b/>
      <w:color w:themeColor="accent1" w:themeShade="bf" w:val="0F4761"/>
      <w:sz w:val="40"/>
      <w:szCs w:val="40"/>
    </w:rPr>
  </w:style>
  <w:style w:type="character" w:styleId="Ttulo2Carter" w:customStyle="1">
    <w:name w:val="Título 2 Caráter"/>
    <w:basedOn w:val="DefaultParagraphFont"/>
    <w:link w:val="Heading2"/>
    <w:uiPriority w:val="1"/>
    <w:qFormat/>
    <w:rsid w:val="004c094f"/>
    <w:rPr>
      <w:rFonts w:ascii="Arial" w:hAnsi="Arial" w:eastAsia="" w:cs="" w:cstheme="majorBidi" w:eastAsiaTheme="majorEastAsia"/>
      <w:b/>
      <w:color w:themeColor="accent1" w:themeShade="bf" w:val="0F4761"/>
      <w:sz w:val="32"/>
      <w:szCs w:val="32"/>
    </w:rPr>
  </w:style>
  <w:style w:type="character" w:styleId="Ttulo3Carter" w:customStyle="1">
    <w:name w:val="Título 3 Caráter"/>
    <w:basedOn w:val="DefaultParagraphFont"/>
    <w:link w:val="Heading3"/>
    <w:uiPriority w:val="9"/>
    <w:qFormat/>
    <w:rsid w:val="004c094f"/>
    <w:rPr>
      <w:rFonts w:ascii="Arial" w:hAnsi="Arial" w:eastAsia="" w:cs="" w:cstheme="majorBidi" w:eastAsiaTheme="majorEastAsia"/>
      <w:b/>
      <w:color w:themeColor="accent1" w:themeShade="bf" w:val="0F4761"/>
      <w:sz w:val="28"/>
      <w:szCs w:val="28"/>
    </w:rPr>
  </w:style>
  <w:style w:type="character" w:styleId="Ttulo4Carter" w:customStyle="1">
    <w:name w:val="Título 4 Caráter"/>
    <w:basedOn w:val="DefaultParagraphFont"/>
    <w:link w:val="Heading4"/>
    <w:uiPriority w:val="9"/>
    <w:qFormat/>
    <w:rsid w:val="007c0a54"/>
    <w:rPr>
      <w:rFonts w:eastAsia="" w:cs="" w:cstheme="majorBidi" w:eastAsiaTheme="majorEastAsia"/>
      <w:i/>
      <w:iCs/>
      <w:color w:themeColor="accent1" w:themeShade="bf" w:val="0F4761"/>
    </w:rPr>
  </w:style>
  <w:style w:type="character" w:styleId="Ttulo5Carter" w:customStyle="1">
    <w:name w:val="Título 5 Caráter"/>
    <w:basedOn w:val="DefaultParagraphFont"/>
    <w:link w:val="Heading5"/>
    <w:uiPriority w:val="9"/>
    <w:qFormat/>
    <w:rsid w:val="007c0a54"/>
    <w:rPr>
      <w:rFonts w:eastAsia="" w:cs="" w:cstheme="majorBidi" w:eastAsiaTheme="majorEastAsia"/>
      <w:color w:themeColor="accent1" w:themeShade="bf" w:val="0F4761"/>
    </w:rPr>
  </w:style>
  <w:style w:type="character" w:styleId="Ttulo6Carter" w:customStyle="1">
    <w:name w:val="Título 6 Caráter"/>
    <w:basedOn w:val="DefaultParagraphFont"/>
    <w:link w:val="Heading6"/>
    <w:uiPriority w:val="9"/>
    <w:qFormat/>
    <w:rsid w:val="007c0a54"/>
    <w:rPr>
      <w:rFonts w:eastAsia="" w:cs="" w:cstheme="majorBidi" w:eastAsiaTheme="majorEastAsia"/>
      <w:i/>
      <w:iCs/>
      <w:color w:themeColor="text1" w:themeTint="a6" w:val="595959"/>
    </w:rPr>
  </w:style>
  <w:style w:type="character" w:styleId="Ttulo7Carter" w:customStyle="1">
    <w:name w:val="Título 7 Caráter"/>
    <w:basedOn w:val="DefaultParagraphFont"/>
    <w:link w:val="Heading7"/>
    <w:uiPriority w:val="9"/>
    <w:semiHidden/>
    <w:qFormat/>
    <w:rsid w:val="007c0a54"/>
    <w:rPr>
      <w:rFonts w:eastAsia="" w:cs="" w:cstheme="majorBidi" w:eastAsiaTheme="majorEastAsia"/>
      <w:color w:themeColor="text1" w:themeTint="a6" w:val="595959"/>
    </w:rPr>
  </w:style>
  <w:style w:type="character" w:styleId="Ttulo8Carter" w:customStyle="1">
    <w:name w:val="Título 8 Caráter"/>
    <w:basedOn w:val="DefaultParagraphFont"/>
    <w:link w:val="Heading8"/>
    <w:uiPriority w:val="9"/>
    <w:semiHidden/>
    <w:qFormat/>
    <w:rsid w:val="007c0a54"/>
    <w:rPr>
      <w:rFonts w:eastAsia="" w:cs="" w:cstheme="majorBidi" w:eastAsiaTheme="majorEastAsia"/>
      <w:i/>
      <w:iCs/>
      <w:color w:themeColor="text1" w:themeTint="d8" w:val="272727"/>
    </w:rPr>
  </w:style>
  <w:style w:type="character" w:styleId="Ttulo9Carter" w:customStyle="1">
    <w:name w:val="Título 9 Caráter"/>
    <w:basedOn w:val="DefaultParagraphFont"/>
    <w:link w:val="Heading9"/>
    <w:uiPriority w:val="9"/>
    <w:semiHidden/>
    <w:qFormat/>
    <w:rsid w:val="007c0a54"/>
    <w:rPr>
      <w:rFonts w:eastAsia="" w:cs="" w:cstheme="majorBidi" w:eastAsiaTheme="majorEastAsia"/>
      <w:color w:themeColor="text1" w:themeTint="d8" w:val="272727"/>
    </w:rPr>
  </w:style>
  <w:style w:type="character" w:styleId="TtuloCarter" w:customStyle="1">
    <w:name w:val="Título Caráter"/>
    <w:basedOn w:val="DefaultParagraphFont"/>
    <w:link w:val="Title"/>
    <w:uiPriority w:val="10"/>
    <w:qFormat/>
    <w:rsid w:val="007c0a54"/>
    <w:rPr>
      <w:rFonts w:ascii="Aptos Display" w:hAnsi="Aptos Display" w:eastAsia="" w:cs="" w:asciiTheme="majorHAnsi" w:cstheme="majorBidi" w:eastAsiaTheme="majorEastAsia" w:hAnsiTheme="majorHAnsi"/>
      <w:spacing w:val="-10"/>
      <w:kern w:val="2"/>
      <w:sz w:val="56"/>
      <w:szCs w:val="56"/>
    </w:rPr>
  </w:style>
  <w:style w:type="character" w:styleId="SubttuloCarter" w:customStyle="1">
    <w:name w:val="Subtítulo Caráter"/>
    <w:basedOn w:val="DefaultParagraphFont"/>
    <w:link w:val="Subtitle"/>
    <w:uiPriority w:val="11"/>
    <w:qFormat/>
    <w:rsid w:val="007c0a54"/>
    <w:rPr>
      <w:rFonts w:eastAsia="" w:cs="" w:cstheme="majorBidi" w:eastAsiaTheme="majorEastAsia"/>
      <w:color w:themeColor="text1" w:themeTint="a6" w:val="595959"/>
      <w:spacing w:val="15"/>
      <w:sz w:val="28"/>
      <w:szCs w:val="28"/>
    </w:rPr>
  </w:style>
  <w:style w:type="character" w:styleId="CitaoCarter" w:customStyle="1">
    <w:name w:val="Citação Caráter"/>
    <w:basedOn w:val="DefaultParagraphFont"/>
    <w:link w:val="Quote"/>
    <w:uiPriority w:val="29"/>
    <w:qFormat/>
    <w:rsid w:val="007c0a54"/>
    <w:rPr>
      <w:i/>
      <w:iCs/>
      <w:color w:themeColor="text1" w:themeTint="bf" w:val="404040"/>
    </w:rPr>
  </w:style>
  <w:style w:type="character" w:styleId="IntenseEmphasis">
    <w:name w:val="Intense Emphasis"/>
    <w:basedOn w:val="DefaultParagraphFont"/>
    <w:uiPriority w:val="21"/>
    <w:qFormat/>
    <w:rsid w:val="007c0a54"/>
    <w:rPr>
      <w:i/>
      <w:iCs/>
      <w:color w:themeColor="accent1" w:themeShade="bf" w:val="0F4761"/>
    </w:rPr>
  </w:style>
  <w:style w:type="character" w:styleId="CitaoIntensaCarter" w:customStyle="1">
    <w:name w:val="Citação Intensa Caráter"/>
    <w:basedOn w:val="DefaultParagraphFont"/>
    <w:link w:val="IntenseQuote"/>
    <w:uiPriority w:val="30"/>
    <w:qFormat/>
    <w:rsid w:val="007c0a54"/>
    <w:rPr>
      <w:i/>
      <w:iCs/>
      <w:color w:themeColor="accent1" w:themeShade="bf" w:val="0F4761"/>
    </w:rPr>
  </w:style>
  <w:style w:type="character" w:styleId="IntenseReference">
    <w:name w:val="Intense Reference"/>
    <w:basedOn w:val="DefaultParagraphFont"/>
    <w:uiPriority w:val="32"/>
    <w:qFormat/>
    <w:rsid w:val="007c0a54"/>
    <w:rPr>
      <w:b/>
      <w:bCs/>
      <w:smallCaps/>
      <w:color w:themeColor="accent1" w:themeShade="bf" w:val="0F4761"/>
      <w:spacing w:val="5"/>
    </w:rPr>
  </w:style>
  <w:style w:type="character" w:styleId="CabealhoCarter" w:customStyle="1">
    <w:name w:val="Cabeçalho Caráter"/>
    <w:basedOn w:val="DefaultParagraphFont"/>
    <w:link w:val="Header"/>
    <w:qFormat/>
    <w:rsid w:val="007c0a54"/>
    <w:rPr/>
  </w:style>
  <w:style w:type="character" w:styleId="RodapCarter" w:customStyle="1">
    <w:name w:val="Rodapé Caráter"/>
    <w:basedOn w:val="DefaultParagraphFont"/>
    <w:link w:val="Footer"/>
    <w:uiPriority w:val="99"/>
    <w:qFormat/>
    <w:rsid w:val="007c0a54"/>
    <w:rPr/>
  </w:style>
  <w:style w:type="character" w:styleId="PageNumber">
    <w:name w:val="page number"/>
    <w:basedOn w:val="DefaultParagraphFont"/>
    <w:uiPriority w:val="99"/>
    <w:semiHidden/>
    <w:unhideWhenUsed/>
    <w:rsid w:val="006c0e94"/>
    <w:rPr/>
  </w:style>
  <w:style w:type="character" w:styleId="PlaceholderText">
    <w:name w:val="Placeholder Text"/>
    <w:basedOn w:val="DefaultParagraphFont"/>
    <w:uiPriority w:val="99"/>
    <w:semiHidden/>
    <w:qFormat/>
    <w:rsid w:val="006c0e94"/>
    <w:rPr>
      <w:color w:val="808080"/>
    </w:rPr>
  </w:style>
  <w:style w:type="character" w:styleId="TtulodeCapaefolhaderosto-IPCACarter" w:customStyle="1">
    <w:name w:val="Título de Capa e folha de rosto- IPCA Caráter"/>
    <w:basedOn w:val="DefaultParagraphFont"/>
    <w:link w:val="TtulodeCapaefolhaderosto-IPCA"/>
    <w:uiPriority w:val="1"/>
    <w:qFormat/>
    <w:rsid w:val="006c0e94"/>
    <w:rPr>
      <w:rFonts w:ascii="Lucida Sans Unicode" w:hAnsi="Lucida Sans Unicode" w:cs="Lucida Sans Unicode"/>
      <w:b/>
      <w:caps/>
      <w:kern w:val="0"/>
      <w:sz w:val="28"/>
      <w:szCs w:val="28"/>
      <w14:ligatures w14:val="none"/>
    </w:rPr>
  </w:style>
  <w:style w:type="character" w:styleId="Nomes-e-Data-na-Capa-e-Folha-de-Rosto-IPCACarter" w:customStyle="1">
    <w:name w:val="Nomes-e-Data-na-Capa-e-Folha-de-Rosto-IPCA Caráter"/>
    <w:basedOn w:val="DefaultParagraphFont"/>
    <w:link w:val="Nomes-e-Data-na-Capa-e-Folha-de-Rosto-IPCA"/>
    <w:uiPriority w:val="1"/>
    <w:qFormat/>
    <w:rsid w:val="006c0e94"/>
    <w:rPr>
      <w:rFonts w:ascii="Lucida Sans Unicode" w:hAnsi="Lucida Sans Unicode" w:cs="Lucida Sans Unicode"/>
      <w:kern w:val="0"/>
      <w14:ligatures w14:val="none"/>
    </w:rPr>
  </w:style>
  <w:style w:type="character" w:styleId="Texto-normal-Capa-e-Folha-de-Rosto-IPCACarter" w:customStyle="1">
    <w:name w:val="Texto-normal-Capa-e-Folha-de-Rosto-IPCA Caráter"/>
    <w:basedOn w:val="DefaultParagraphFont"/>
    <w:link w:val="Texto-normal-Capa-e-Folha-de-Rosto-IPCA"/>
    <w:uiPriority w:val="1"/>
    <w:qFormat/>
    <w:rsid w:val="006c0e94"/>
    <w:rPr>
      <w:rFonts w:ascii="Lucida Sans Unicode" w:hAnsi="Lucida Sans Unicode" w:cs="Lucida Sans Unicode"/>
      <w:kern w:val="0"/>
      <w:sz w:val="18"/>
      <w:szCs w:val="18"/>
      <w14:ligatures w14:val="none"/>
    </w:rPr>
  </w:style>
  <w:style w:type="character" w:styleId="TextoNormal-IPCACarter" w:customStyle="1">
    <w:name w:val="Texto Normal - IPCA Caráter"/>
    <w:basedOn w:val="DefaultParagraphFont"/>
    <w:link w:val="TextoNormal-IPCA"/>
    <w:qFormat/>
    <w:rsid w:val="002c471d"/>
    <w:rPr>
      <w:rFonts w:ascii="Times New Roman" w:hAnsi="Times New Roman" w:cs="Times New Roman"/>
      <w:kern w:val="0"/>
      <w14:ligatures w14:val="none"/>
    </w:rPr>
  </w:style>
  <w:style w:type="character" w:styleId="TtulosPrembulo-IPCACarter" w:customStyle="1">
    <w:name w:val="Títulos Preâmbulo - IPCA Caráter"/>
    <w:basedOn w:val="DefaultParagraphFont"/>
    <w:link w:val="TtulosPrembulo-IPCA"/>
    <w:qFormat/>
    <w:rsid w:val="00f16be3"/>
    <w:rPr>
      <w:rFonts w:ascii="Arial" w:hAnsi="Arial" w:eastAsia="" w:cs="Times New Roman (Cabeçalho CS)" w:eastAsiaTheme="majorEastAsia"/>
      <w:b/>
      <w:bCs/>
      <w:color w:themeColor="text1" w:val="000000"/>
      <w:kern w:val="0"/>
      <w:szCs w:val="32"/>
      <w14:ligatures w14:val="none"/>
    </w:rPr>
  </w:style>
  <w:style w:type="character" w:styleId="CorpodetextoCarter" w:customStyle="1">
    <w:name w:val="Corpo de texto Caráter"/>
    <w:basedOn w:val="DefaultParagraphFont"/>
    <w:uiPriority w:val="1"/>
    <w:qFormat/>
    <w:rsid w:val="00313d44"/>
    <w:rPr>
      <w:rFonts w:ascii="Times New Roman" w:hAnsi="Times New Roman" w:cs="Times New Roman"/>
      <w:kern w:val="0"/>
      <w:sz w:val="20"/>
      <w14:ligatures w14:val="none"/>
    </w:rPr>
  </w:style>
  <w:style w:type="character" w:styleId="Subttulo-Capaefolhaderosto-IPCACarter" w:customStyle="1">
    <w:name w:val="Subtítulo-Capa e folha de rosto-IPCA Caráter"/>
    <w:basedOn w:val="DefaultParagraphFont"/>
    <w:link w:val="Subttulo-Capaefolhaderosto-IPCA"/>
    <w:uiPriority w:val="1"/>
    <w:qFormat/>
    <w:rsid w:val="00313d44"/>
    <w:rPr>
      <w:rFonts w:ascii="Lucida Sans Unicode" w:hAnsi="Lucida Sans Unicode" w:cs="Lucida Sans Unicode"/>
      <w:caps/>
      <w:kern w:val="0"/>
      <w:sz w:val="28"/>
      <w:szCs w:val="28"/>
      <w14:ligatures w14:val="none"/>
    </w:rPr>
  </w:style>
  <w:style w:type="character" w:styleId="Hyperlink">
    <w:name w:val="Hyperlink"/>
    <w:basedOn w:val="DefaultParagraphFont"/>
    <w:uiPriority w:val="99"/>
    <w:unhideWhenUsed/>
    <w:rsid w:val="0017660f"/>
    <w:rPr>
      <w:color w:themeColor="hyperlink" w:val="467886"/>
      <w:u w:val="single"/>
    </w:rPr>
  </w:style>
  <w:style w:type="character" w:styleId="TextodecomentrioCarter" w:customStyle="1">
    <w:name w:val="Texto de comentário Caráter"/>
    <w:basedOn w:val="DefaultParagraphFont"/>
    <w:link w:val="CommentText"/>
    <w:uiPriority w:val="99"/>
    <w:semiHidden/>
    <w:qFormat/>
    <w:rsid w:val="00ce3ca2"/>
    <w:rPr>
      <w:sz w:val="20"/>
      <w:szCs w:val="20"/>
    </w:rPr>
  </w:style>
  <w:style w:type="character" w:styleId="TextodecomentrioCarter1" w:customStyle="1">
    <w:name w:val="Texto de comentário Caráter1"/>
    <w:basedOn w:val="DefaultParagraphFont"/>
    <w:uiPriority w:val="99"/>
    <w:semiHidden/>
    <w:qFormat/>
    <w:rsid w:val="00ce3ca2"/>
    <w:rPr>
      <w:rFonts w:ascii="Times New Roman" w:hAnsi="Times New Roman"/>
      <w:sz w:val="20"/>
      <w:szCs w:val="20"/>
    </w:rPr>
  </w:style>
  <w:style w:type="character" w:styleId="Emphasis">
    <w:name w:val="Emphasis"/>
    <w:basedOn w:val="DefaultParagraphFont"/>
    <w:uiPriority w:val="20"/>
    <w:qFormat/>
    <w:rsid w:val="00ce3ca2"/>
    <w:rPr>
      <w:i/>
      <w:iCs/>
    </w:rPr>
  </w:style>
  <w:style w:type="character" w:styleId="Strong">
    <w:name w:val="Strong"/>
    <w:basedOn w:val="DefaultParagraphFont"/>
    <w:uiPriority w:val="22"/>
    <w:qFormat/>
    <w:rsid w:val="00ce3ca2"/>
    <w:rPr>
      <w:b/>
      <w:bCs/>
    </w:rPr>
  </w:style>
  <w:style w:type="character" w:styleId="TextodenotaderodapCarter" w:customStyle="1">
    <w:name w:val="Texto de nota de rodapé Caráter"/>
    <w:basedOn w:val="DefaultParagraphFont"/>
    <w:link w:val="FootnoteText"/>
    <w:uiPriority w:val="99"/>
    <w:semiHidden/>
    <w:qFormat/>
    <w:rsid w:val="00ce3ca2"/>
    <w:rPr>
      <w:rFonts w:ascii="Times New Roman" w:hAnsi="Times New Roman" w:cs="Times New Roman"/>
      <w:color w:themeColor="accent2" w:themeShade="bf" w:val="BF4E14"/>
      <w:sz w:val="20"/>
      <w:szCs w:val="20"/>
    </w:rPr>
  </w:style>
  <w:style w:type="character" w:styleId="Heading1Char" w:customStyle="1">
    <w:name w:val="Heading 1 Char"/>
    <w:basedOn w:val="DefaultParagraphFont"/>
    <w:link w:val="Cabealho11"/>
    <w:uiPriority w:val="9"/>
    <w:qFormat/>
    <w:rsid w:val="00ce3ca2"/>
    <w:rPr>
      <w:rFonts w:ascii="Aptos Display" w:hAnsi="Aptos Display" w:eastAsia="" w:cs="" w:asciiTheme="majorHAnsi" w:cstheme="majorBidi" w:eastAsiaTheme="majorEastAsia" w:hAnsiTheme="majorHAnsi"/>
      <w:b/>
      <w:bCs/>
      <w:color w:themeColor="accent1" w:themeShade="bf" w:val="0F4761"/>
      <w:sz w:val="28"/>
      <w:szCs w:val="28"/>
      <w:lang w:eastAsia="pt-PT"/>
    </w:rPr>
  </w:style>
  <w:style w:type="character" w:styleId="FootnoteCharactersuser" w:customStyle="1">
    <w:name w:val="Footnote Characters (user)"/>
    <w:uiPriority w:val="99"/>
    <w:semiHidden/>
    <w:unhideWhenUsed/>
    <w:qFormat/>
    <w:rsid w:val="00ce3ca2"/>
    <w:rPr>
      <w:vertAlign w:val="superscript"/>
    </w:rPr>
  </w:style>
  <w:style w:type="character" w:styleId="FootnoteCharacters">
    <w:name w:val="Footnote Characters"/>
    <w:qFormat/>
    <w:rsid w:val="00ce3ca2"/>
    <w:rPr>
      <w:vertAlign w:val="superscript"/>
    </w:rPr>
  </w:style>
  <w:style w:type="character" w:styleId="FootnoteReference">
    <w:name w:val="footnote reference"/>
    <w:rPr>
      <w:vertAlign w:val="superscript"/>
    </w:rPr>
  </w:style>
  <w:style w:type="character" w:styleId="LegendaCarter" w:customStyle="1">
    <w:name w:val="Legenda Caráter"/>
    <w:basedOn w:val="DefaultParagraphFont"/>
    <w:link w:val="Caption"/>
    <w:uiPriority w:val="35"/>
    <w:qFormat/>
    <w:rsid w:val="00ce3ca2"/>
    <w:rPr>
      <w:rFonts w:ascii="Times New Roman" w:hAnsi="Times New Roman"/>
      <w:i/>
      <w:iCs/>
      <w:color w:themeColor="text2" w:val="0E2841"/>
      <w:sz w:val="18"/>
      <w:szCs w:val="18"/>
    </w:rPr>
  </w:style>
  <w:style w:type="character" w:styleId="BookTitle">
    <w:name w:val="Book Title"/>
    <w:basedOn w:val="DefaultParagraphFont"/>
    <w:uiPriority w:val="33"/>
    <w:qFormat/>
    <w:rsid w:val="00ce3ca2"/>
    <w:rPr>
      <w:b/>
      <w:bCs/>
      <w:i/>
      <w:iCs/>
      <w:spacing w:val="5"/>
    </w:rPr>
  </w:style>
  <w:style w:type="character" w:styleId="SubtleEmphasis">
    <w:name w:val="Subtle Emphasis"/>
    <w:basedOn w:val="DefaultParagraphFont"/>
    <w:uiPriority w:val="19"/>
    <w:qFormat/>
    <w:rsid w:val="00ce3ca2"/>
    <w:rPr>
      <w:i/>
      <w:iCs/>
      <w:color w:themeColor="text1" w:themeTint="bf" w:val="404040"/>
    </w:rPr>
  </w:style>
  <w:style w:type="character" w:styleId="SubtleReference">
    <w:name w:val="Subtle Reference"/>
    <w:basedOn w:val="DefaultParagraphFont"/>
    <w:uiPriority w:val="31"/>
    <w:qFormat/>
    <w:rsid w:val="00ce3ca2"/>
    <w:rPr>
      <w:smallCaps/>
      <w:color w:themeColor="text1" w:themeTint="a5" w:val="5A5A5A"/>
    </w:rPr>
  </w:style>
  <w:style w:type="character" w:styleId="CommentReference">
    <w:name w:val="annotation reference"/>
    <w:basedOn w:val="DefaultParagraphFont"/>
    <w:uiPriority w:val="99"/>
    <w:semiHidden/>
    <w:unhideWhenUsed/>
    <w:qFormat/>
    <w:rsid w:val="00ce3ca2"/>
    <w:rPr>
      <w:sz w:val="16"/>
      <w:szCs w:val="16"/>
    </w:rPr>
  </w:style>
  <w:style w:type="character" w:styleId="TextodebaloCarter" w:customStyle="1">
    <w:name w:val="Texto de balão Caráter"/>
    <w:basedOn w:val="DefaultParagraphFont"/>
    <w:link w:val="BalloonText"/>
    <w:uiPriority w:val="99"/>
    <w:semiHidden/>
    <w:qFormat/>
    <w:rsid w:val="00ce3ca2"/>
    <w:rPr>
      <w:rFonts w:ascii="Times New Roman" w:hAnsi="Times New Roman" w:cs="Times New Roman"/>
      <w:sz w:val="26"/>
      <w:szCs w:val="26"/>
    </w:rPr>
  </w:style>
  <w:style w:type="character" w:styleId="CabealhoCarcter" w:customStyle="1">
    <w:name w:val="Cabeçalho Carácter"/>
    <w:basedOn w:val="DefaultParagraphFont"/>
    <w:semiHidden/>
    <w:qFormat/>
    <w:rsid w:val="00ce3ca2"/>
    <w:rPr>
      <w:rFonts w:ascii="Times New Roman" w:hAnsi="Times New Roman" w:eastAsia="Times New Roman" w:cs="Times New Roman"/>
      <w:sz w:val="24"/>
      <w:szCs w:val="24"/>
      <w:lang w:eastAsia="pt-PT"/>
    </w:rPr>
  </w:style>
  <w:style w:type="character" w:styleId="MenoNoResolvida1" w:customStyle="1">
    <w:name w:val="Menção Não Resolvida1"/>
    <w:basedOn w:val="DefaultParagraphFont"/>
    <w:uiPriority w:val="99"/>
    <w:qFormat/>
    <w:rsid w:val="00ce3ca2"/>
    <w:rPr>
      <w:color w:val="808080"/>
      <w:shd w:fill="E6E6E6" w:val="clear"/>
    </w:rPr>
  </w:style>
  <w:style w:type="character" w:styleId="TextodenotadefimCarter" w:customStyle="1">
    <w:name w:val="Texto de nota de fim Caráter"/>
    <w:basedOn w:val="DefaultParagraphFont"/>
    <w:link w:val="EndnoteText"/>
    <w:uiPriority w:val="99"/>
    <w:semiHidden/>
    <w:qFormat/>
    <w:rsid w:val="00ce3ca2"/>
    <w:rPr>
      <w:rFonts w:ascii="Times New Roman" w:hAnsi="Times New Roman" w:cs="Times New Roman"/>
      <w:sz w:val="20"/>
      <w:szCs w:val="20"/>
    </w:rPr>
  </w:style>
  <w:style w:type="character" w:styleId="EndnoteCharactersuser" w:customStyle="1">
    <w:name w:val="Endnote Characters (user)"/>
    <w:uiPriority w:val="99"/>
    <w:semiHidden/>
    <w:unhideWhenUsed/>
    <w:qFormat/>
    <w:rsid w:val="00ce3ca2"/>
    <w:rPr>
      <w:vertAlign w:val="superscript"/>
    </w:rPr>
  </w:style>
  <w:style w:type="character" w:styleId="EndnoteCharacters">
    <w:name w:val="Endnote Characters"/>
    <w:qFormat/>
    <w:rsid w:val="00ce3ca2"/>
    <w:rPr>
      <w:vertAlign w:val="superscript"/>
    </w:rPr>
  </w:style>
  <w:style w:type="character" w:styleId="EndnoteReference">
    <w:name w:val="endnote reference"/>
    <w:rPr>
      <w:vertAlign w:val="superscript"/>
    </w:rPr>
  </w:style>
  <w:style w:type="character" w:styleId="SourceText" w:customStyle="1">
    <w:name w:val="Source Text"/>
    <w:qFormat/>
    <w:rsid w:val="00ce3ca2"/>
    <w:rPr>
      <w:rFonts w:ascii="Liberation Mono" w:hAnsi="Liberation Mono" w:eastAsia="Liberation Mono" w:cs="Liberation Mono"/>
    </w:rPr>
  </w:style>
  <w:style w:type="character" w:styleId="NumberingSymbols" w:customStyle="1">
    <w:name w:val="Numbering Symbols"/>
    <w:qFormat/>
    <w:rsid w:val="00ce3ca2"/>
    <w:rPr/>
  </w:style>
  <w:style w:type="character" w:styleId="Bullets" w:customStyle="1">
    <w:name w:val="Bullets"/>
    <w:qFormat/>
    <w:rsid w:val="00ce3ca2"/>
    <w:rPr>
      <w:rFonts w:ascii="OpenSymbol" w:hAnsi="OpenSymbol" w:eastAsia="OpenSymbol" w:cs="OpenSymbol"/>
    </w:rPr>
  </w:style>
  <w:style w:type="character" w:styleId="TextodenotaderodapCarter1" w:customStyle="1">
    <w:name w:val="Texto de nota de rodapé Caráter1"/>
    <w:basedOn w:val="DefaultParagraphFont"/>
    <w:uiPriority w:val="99"/>
    <w:semiHidden/>
    <w:qFormat/>
    <w:rsid w:val="00ce3ca2"/>
    <w:rPr>
      <w:rFonts w:ascii="Times New Roman" w:hAnsi="Times New Roman"/>
      <w:sz w:val="20"/>
      <w:szCs w:val="20"/>
    </w:rPr>
  </w:style>
  <w:style w:type="character" w:styleId="TextodebaloCarter1" w:customStyle="1">
    <w:name w:val="Texto de balão Caráter1"/>
    <w:basedOn w:val="DefaultParagraphFont"/>
    <w:uiPriority w:val="99"/>
    <w:semiHidden/>
    <w:qFormat/>
    <w:rsid w:val="00ce3ca2"/>
    <w:rPr>
      <w:rFonts w:ascii="Segoe UI" w:hAnsi="Segoe UI" w:cs="Segoe UI"/>
      <w:sz w:val="18"/>
      <w:szCs w:val="18"/>
    </w:rPr>
  </w:style>
  <w:style w:type="character" w:styleId="TextodenotadefimCarter1" w:customStyle="1">
    <w:name w:val="Texto de nota de fim Caráter1"/>
    <w:basedOn w:val="DefaultParagraphFont"/>
    <w:uiPriority w:val="99"/>
    <w:semiHidden/>
    <w:qFormat/>
    <w:rsid w:val="00ce3ca2"/>
    <w:rPr>
      <w:rFonts w:ascii="Times New Roman" w:hAnsi="Times New Roman"/>
      <w:sz w:val="20"/>
      <w:szCs w:val="20"/>
    </w:rPr>
  </w:style>
  <w:style w:type="character" w:styleId="UnresolvedMention">
    <w:name w:val="Unresolved Mention"/>
    <w:basedOn w:val="DefaultParagraphFont"/>
    <w:uiPriority w:val="99"/>
    <w:semiHidden/>
    <w:unhideWhenUsed/>
    <w:qFormat/>
    <w:rsid w:val="00ce3ca2"/>
    <w:rPr>
      <w:color w:val="605E5C"/>
      <w:shd w:fill="E1DFDD" w:val="clear"/>
    </w:rPr>
  </w:style>
  <w:style w:type="character" w:styleId="IndexLink">
    <w:name w:val="Index Link"/>
    <w:qFormat/>
    <w:rPr/>
  </w:style>
  <w:style w:type="paragraph" w:styleId="Heading" w:customStyle="1">
    <w:name w:val="Heading"/>
    <w:basedOn w:val="Normal"/>
    <w:next w:val="BodyText"/>
    <w:qFormat/>
    <w:rsid w:val="00ce3ca2"/>
    <w:pPr>
      <w:keepNext w:val="true"/>
      <w:suppressAutoHyphens w:val="true"/>
      <w:spacing w:lineRule="auto" w:line="348" w:before="240" w:after="120"/>
      <w:ind w:firstLine="340"/>
      <w:jc w:val="both"/>
    </w:pPr>
    <w:rPr>
      <w:rFonts w:ascii="Liberation Sans" w:hAnsi="Liberation Sans" w:eastAsia="Noto Sans CJK SC" w:cs="Noto Sans Devanagari"/>
      <w:kern w:val="0"/>
      <w:sz w:val="28"/>
      <w:szCs w:val="28"/>
      <w14:ligatures w14:val="none"/>
    </w:rPr>
  </w:style>
  <w:style w:type="paragraph" w:styleId="BodyText">
    <w:name w:val="Body Text"/>
    <w:basedOn w:val="Normal"/>
    <w:link w:val="CorpodetextoCarter"/>
    <w:uiPriority w:val="1"/>
    <w:unhideWhenUsed/>
    <w:qFormat/>
    <w:rsid w:val="00313d44"/>
    <w:pPr>
      <w:spacing w:before="0" w:after="120"/>
    </w:pPr>
    <w:rPr/>
  </w:style>
  <w:style w:type="paragraph" w:styleId="List">
    <w:name w:val="List"/>
    <w:basedOn w:val="Normal"/>
    <w:uiPriority w:val="99"/>
    <w:unhideWhenUsed/>
    <w:rsid w:val="00ce3ca2"/>
    <w:pPr>
      <w:suppressAutoHyphens w:val="true"/>
      <w:spacing w:lineRule="auto" w:line="348" w:before="0" w:after="0"/>
      <w:ind w:hanging="283" w:start="283"/>
      <w:contextualSpacing/>
      <w:jc w:val="both"/>
    </w:pPr>
    <w:rPr>
      <w:rFonts w:cs="Times New Roman"/>
      <w:kern w:val="0"/>
      <w:sz w:val="20"/>
      <w14:ligatures w14:val="none"/>
    </w:rPr>
  </w:style>
  <w:style w:type="paragraph" w:styleId="Caption">
    <w:name w:val="caption"/>
    <w:basedOn w:val="Normal"/>
    <w:next w:val="Normal"/>
    <w:link w:val="LegendaCarter"/>
    <w:uiPriority w:val="35"/>
    <w:unhideWhenUsed/>
    <w:qFormat/>
    <w:rsid w:val="00c83306"/>
    <w:pPr>
      <w:spacing w:lineRule="auto" w:line="240" w:before="0" w:after="60"/>
      <w:ind w:hanging="0"/>
      <w:contextualSpacing/>
      <w:jc w:val="center"/>
    </w:pPr>
    <w:rPr>
      <w:rFonts w:ascii="Arial" w:hAnsi="Arial"/>
      <w:b/>
      <w:iCs/>
      <w:sz w:val="16"/>
      <w:szCs w:val="18"/>
    </w:rPr>
  </w:style>
  <w:style w:type="paragraph" w:styleId="Index" w:customStyle="1">
    <w:name w:val="Index"/>
    <w:basedOn w:val="Normal"/>
    <w:qFormat/>
    <w:rsid w:val="00ce3ca2"/>
    <w:pPr>
      <w:suppressLineNumbers/>
      <w:suppressAutoHyphens w:val="true"/>
      <w:spacing w:lineRule="auto" w:line="348"/>
      <w:ind w:firstLine="340"/>
      <w:jc w:val="both"/>
    </w:pPr>
    <w:rPr>
      <w:rFonts w:cs="Noto Sans Devanagari"/>
      <w:kern w:val="0"/>
      <w:sz w:val="20"/>
      <w14:ligatures w14:val="none"/>
    </w:rPr>
  </w:style>
  <w:style w:type="paragraph" w:styleId="Title">
    <w:name w:val="Title"/>
    <w:basedOn w:val="Normal"/>
    <w:next w:val="Normal"/>
    <w:link w:val="TtuloCarter"/>
    <w:uiPriority w:val="10"/>
    <w:qFormat/>
    <w:rsid w:val="007c0a54"/>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ter"/>
    <w:uiPriority w:val="11"/>
    <w:qFormat/>
    <w:rsid w:val="007c0a54"/>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arter"/>
    <w:uiPriority w:val="29"/>
    <w:qFormat/>
    <w:rsid w:val="007c0a54"/>
    <w:pPr>
      <w:spacing w:before="160" w:after="160"/>
      <w:jc w:val="center"/>
    </w:pPr>
    <w:rPr>
      <w:i/>
      <w:iCs/>
      <w:color w:themeColor="text1" w:themeTint="bf" w:val="404040"/>
    </w:rPr>
  </w:style>
  <w:style w:type="paragraph" w:styleId="ListParagraph">
    <w:name w:val="List Paragraph"/>
    <w:basedOn w:val="Normal"/>
    <w:uiPriority w:val="34"/>
    <w:qFormat/>
    <w:rsid w:val="007c0a54"/>
    <w:pPr>
      <w:spacing w:before="0" w:after="0"/>
      <w:ind w:start="720"/>
      <w:contextualSpacing/>
    </w:pPr>
    <w:rPr/>
  </w:style>
  <w:style w:type="paragraph" w:styleId="IntenseQuote">
    <w:name w:val="Intense Quote"/>
    <w:basedOn w:val="Normal"/>
    <w:next w:val="Normal"/>
    <w:link w:val="CitaoIntensaCarter"/>
    <w:uiPriority w:val="30"/>
    <w:qFormat/>
    <w:rsid w:val="007c0a54"/>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customStyle="1">
    <w:name w:val="Header and Footer"/>
    <w:basedOn w:val="Normal"/>
    <w:qFormat/>
    <w:rsid w:val="00ce3ca2"/>
    <w:pPr>
      <w:suppressAutoHyphens w:val="true"/>
      <w:spacing w:lineRule="auto" w:line="348"/>
      <w:ind w:firstLine="340"/>
      <w:jc w:val="both"/>
    </w:pPr>
    <w:rPr>
      <w:rFonts w:cs="Times New Roman"/>
      <w:kern w:val="0"/>
      <w:sz w:val="20"/>
      <w14:ligatures w14:val="none"/>
    </w:rPr>
  </w:style>
  <w:style w:type="paragraph" w:styleId="Header">
    <w:name w:val="header"/>
    <w:basedOn w:val="Normal"/>
    <w:link w:val="CabealhoCarter"/>
    <w:unhideWhenUsed/>
    <w:qFormat/>
    <w:rsid w:val="007c0a54"/>
    <w:pPr>
      <w:tabs>
        <w:tab w:val="clear" w:pos="708"/>
        <w:tab w:val="center" w:pos="4252" w:leader="none"/>
        <w:tab w:val="right" w:pos="8504" w:leader="none"/>
      </w:tabs>
    </w:pPr>
    <w:rPr/>
  </w:style>
  <w:style w:type="paragraph" w:styleId="Footer">
    <w:name w:val="footer"/>
    <w:basedOn w:val="Normal"/>
    <w:link w:val="RodapCarter"/>
    <w:uiPriority w:val="99"/>
    <w:unhideWhenUsed/>
    <w:qFormat/>
    <w:rsid w:val="007c0a54"/>
    <w:pPr>
      <w:tabs>
        <w:tab w:val="clear" w:pos="708"/>
        <w:tab w:val="center" w:pos="4252" w:leader="none"/>
        <w:tab w:val="right" w:pos="8504" w:leader="none"/>
      </w:tabs>
    </w:pPr>
    <w:rPr/>
  </w:style>
  <w:style w:type="paragraph" w:styleId="TtulodeCapaefolhaderosto-IPCA" w:customStyle="1">
    <w:name w:val="Título de Capa e folha de rosto- IPCA"/>
    <w:basedOn w:val="Normal"/>
    <w:link w:val="TtulodeCapaefolhaderosto-IPCACarter"/>
    <w:uiPriority w:val="1"/>
    <w:qFormat/>
    <w:rsid w:val="006c0e94"/>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Nomes-e-Data-na-Capa-e-Folha-de-Rosto-IPCA" w:customStyle="1">
    <w:name w:val="Nomes-e-Data-na-Capa-e-Folha-de-Rosto-IPCA"/>
    <w:basedOn w:val="Normal"/>
    <w:link w:val="Nomes-e-Data-na-Capa-e-Folha-de-Rosto-IPCACarter"/>
    <w:uiPriority w:val="1"/>
    <w:qFormat/>
    <w:rsid w:val="006c0e94"/>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6c0e94"/>
    <w:pPr>
      <w:spacing w:lineRule="auto" w:line="240"/>
      <w:ind w:hanging="0" w:start="3686"/>
      <w:jc w:val="start"/>
    </w:pPr>
    <w:rPr>
      <w:rFonts w:ascii="Lucida Sans Unicode" w:hAnsi="Lucida Sans Unicode" w:cs="Lucida Sans Unicode"/>
      <w:sz w:val="18"/>
      <w:szCs w:val="18"/>
    </w:rPr>
  </w:style>
  <w:style w:type="paragraph" w:styleId="TextoNormal-IPCA" w:customStyle="1">
    <w:name w:val="Texto Normal - IPCA"/>
    <w:basedOn w:val="Normal"/>
    <w:link w:val="TextoNormal-IPCACarter"/>
    <w:qFormat/>
    <w:rsid w:val="002c471d"/>
    <w:pPr>
      <w:spacing w:lineRule="auto" w:line="360"/>
    </w:pPr>
    <w:rPr/>
  </w:style>
  <w:style w:type="paragraph" w:styleId="TtulosPrembulo-IPCA" w:customStyle="1">
    <w:name w:val="Títulos Preâmbulo - IPCA"/>
    <w:next w:val="Normal"/>
    <w:link w:val="TtulosPrembulo-IPCACarter"/>
    <w:autoRedefine/>
    <w:qFormat/>
    <w:rsid w:val="00f16be3"/>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Subttulo-Capaefolhaderosto-IPCA" w:customStyle="1">
    <w:name w:val="Subtítulo-Capa e folha de rosto-IPCA"/>
    <w:basedOn w:val="Normal"/>
    <w:link w:val="Subttulo-Capaefolhaderosto-IPCACarter"/>
    <w:uiPriority w:val="1"/>
    <w:qFormat/>
    <w:rsid w:val="00313d44"/>
    <w:pPr>
      <w:tabs>
        <w:tab w:val="clear" w:pos="708"/>
        <w:tab w:val="left" w:pos="3740" w:leader="none"/>
        <w:tab w:val="left" w:pos="4253" w:leader="none"/>
      </w:tabs>
      <w:spacing w:lineRule="exact" w:line="360"/>
    </w:pPr>
    <w:rPr>
      <w:rFonts w:ascii="Lucida Sans Unicode" w:hAnsi="Lucida Sans Unicode" w:cs="Lucida Sans Unicode"/>
      <w:caps/>
      <w:kern w:val="0"/>
      <w:sz w:val="28"/>
      <w:szCs w:val="28"/>
      <w14:ligatures w14:val="none"/>
    </w:rPr>
  </w:style>
  <w:style w:type="paragraph" w:styleId="Bibliography">
    <w:name w:val="Bibliography"/>
    <w:basedOn w:val="Normal"/>
    <w:next w:val="Normal"/>
    <w:uiPriority w:val="37"/>
    <w:unhideWhenUsed/>
    <w:qFormat/>
    <w:rsid w:val="00ec7aaf"/>
    <w:pPr>
      <w:spacing w:lineRule="auto" w:line="360"/>
    </w:pPr>
    <w:rPr/>
  </w:style>
  <w:style w:type="paragraph" w:styleId="IndexHeading">
    <w:name w:val="index heading"/>
    <w:basedOn w:val="Heading"/>
    <w:pPr/>
    <w:rPr/>
  </w:style>
  <w:style w:type="paragraph" w:styleId="TOCHeading">
    <w:name w:val="TOC Heading"/>
    <w:basedOn w:val="Normal"/>
    <w:next w:val="Normal"/>
    <w:uiPriority w:val="39"/>
    <w:unhideWhenUsed/>
    <w:qFormat/>
    <w:rsid w:val="0017660f"/>
    <w:pPr>
      <w:keepNext w:val="true"/>
      <w:keepLines/>
      <w:spacing w:lineRule="auto" w:line="276" w:before="480" w:after="0"/>
    </w:pPr>
    <w:rPr>
      <w:rFonts w:ascii="Aptos Display" w:hAnsi="Aptos Display" w:eastAsia="" w:cs="" w:asciiTheme="majorHAnsi" w:cstheme="majorBidi" w:eastAsiaTheme="majorEastAsia" w:hAnsiTheme="majorHAnsi"/>
      <w:b/>
      <w:bCs/>
      <w:color w:themeColor="accent1" w:themeShade="bf" w:val="0F4761"/>
      <w:kern w:val="0"/>
      <w:sz w:val="28"/>
      <w:szCs w:val="28"/>
      <w:lang w:eastAsia="pt-PT"/>
      <w14:ligatures w14:val="none"/>
    </w:rPr>
  </w:style>
  <w:style w:type="paragraph" w:styleId="TOC1">
    <w:name w:val="toc 1"/>
    <w:basedOn w:val="Normal"/>
    <w:next w:val="Normal"/>
    <w:autoRedefine/>
    <w:uiPriority w:val="39"/>
    <w:unhideWhenUsed/>
    <w:qFormat/>
    <w:rsid w:val="0017660f"/>
    <w:pPr>
      <w:tabs>
        <w:tab w:val="clear" w:pos="708"/>
        <w:tab w:val="right" w:pos="8204" w:leader="dot"/>
      </w:tabs>
      <w:spacing w:lineRule="auto" w:line="312" w:before="0" w:after="0"/>
      <w:ind w:hanging="0"/>
      <w:contextualSpacing/>
      <w:jc w:val="start"/>
    </w:pPr>
    <w:rPr>
      <w:rFonts w:ascii="Arial" w:hAnsi="Arial"/>
      <w:caps/>
      <w:sz w:val="18"/>
    </w:rPr>
  </w:style>
  <w:style w:type="paragraph" w:styleId="TOC2">
    <w:name w:val="toc 2"/>
    <w:basedOn w:val="Normal"/>
    <w:next w:val="Normal"/>
    <w:autoRedefine/>
    <w:uiPriority w:val="39"/>
    <w:unhideWhenUsed/>
    <w:qFormat/>
    <w:rsid w:val="0017660f"/>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3">
    <w:name w:val="toc 3"/>
    <w:basedOn w:val="Normal"/>
    <w:next w:val="Normal"/>
    <w:autoRedefine/>
    <w:uiPriority w:val="39"/>
    <w:unhideWhenUsed/>
    <w:qFormat/>
    <w:rsid w:val="0017660f"/>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17660f"/>
    <w:pPr>
      <w:ind w:start="720"/>
    </w:pPr>
    <w:rPr>
      <w:rFonts w:ascii="Aptos" w:hAnsi="Aptos" w:asciiTheme="minorHAnsi" w:hAnsiTheme="minorHAnsi"/>
      <w:sz w:val="18"/>
      <w:szCs w:val="18"/>
    </w:rPr>
  </w:style>
  <w:style w:type="paragraph" w:styleId="TOC5">
    <w:name w:val="toc 5"/>
    <w:basedOn w:val="Normal"/>
    <w:next w:val="Normal"/>
    <w:autoRedefine/>
    <w:uiPriority w:val="39"/>
    <w:unhideWhenUsed/>
    <w:qFormat/>
    <w:rsid w:val="0017660f"/>
    <w:pPr>
      <w:ind w:start="960"/>
    </w:pPr>
    <w:rPr>
      <w:rFonts w:ascii="Aptos" w:hAnsi="Aptos" w:asciiTheme="minorHAnsi" w:hAnsiTheme="minorHAnsi"/>
      <w:sz w:val="18"/>
      <w:szCs w:val="18"/>
    </w:rPr>
  </w:style>
  <w:style w:type="paragraph" w:styleId="TOC6">
    <w:name w:val="toc 6"/>
    <w:basedOn w:val="Normal"/>
    <w:next w:val="Normal"/>
    <w:autoRedefine/>
    <w:uiPriority w:val="39"/>
    <w:unhideWhenUsed/>
    <w:rsid w:val="0017660f"/>
    <w:pPr>
      <w:ind w:start="1200"/>
    </w:pPr>
    <w:rPr>
      <w:rFonts w:ascii="Aptos" w:hAnsi="Aptos" w:asciiTheme="minorHAnsi" w:hAnsiTheme="minorHAnsi"/>
      <w:sz w:val="18"/>
      <w:szCs w:val="18"/>
    </w:rPr>
  </w:style>
  <w:style w:type="paragraph" w:styleId="TOC7">
    <w:name w:val="toc 7"/>
    <w:basedOn w:val="Normal"/>
    <w:next w:val="Normal"/>
    <w:autoRedefine/>
    <w:uiPriority w:val="39"/>
    <w:unhideWhenUsed/>
    <w:rsid w:val="0017660f"/>
    <w:pPr>
      <w:ind w:start="1440"/>
    </w:pPr>
    <w:rPr>
      <w:rFonts w:ascii="Aptos" w:hAnsi="Aptos" w:asciiTheme="minorHAnsi" w:hAnsiTheme="minorHAnsi"/>
      <w:sz w:val="18"/>
      <w:szCs w:val="18"/>
    </w:rPr>
  </w:style>
  <w:style w:type="paragraph" w:styleId="TOC8">
    <w:name w:val="toc 8"/>
    <w:basedOn w:val="Normal"/>
    <w:next w:val="Normal"/>
    <w:autoRedefine/>
    <w:uiPriority w:val="39"/>
    <w:unhideWhenUsed/>
    <w:rsid w:val="0017660f"/>
    <w:pPr>
      <w:ind w:start="1680"/>
    </w:pPr>
    <w:rPr>
      <w:rFonts w:ascii="Aptos" w:hAnsi="Aptos" w:asciiTheme="minorHAnsi" w:hAnsiTheme="minorHAnsi"/>
      <w:sz w:val="18"/>
      <w:szCs w:val="18"/>
    </w:rPr>
  </w:style>
  <w:style w:type="paragraph" w:styleId="TOC9">
    <w:name w:val="toc 9"/>
    <w:basedOn w:val="Normal"/>
    <w:next w:val="Normal"/>
    <w:autoRedefine/>
    <w:uiPriority w:val="39"/>
    <w:unhideWhenUsed/>
    <w:rsid w:val="0017660f"/>
    <w:pPr>
      <w:ind w:start="1920"/>
    </w:pPr>
    <w:rPr>
      <w:rFonts w:ascii="Aptos" w:hAnsi="Aptos" w:asciiTheme="minorHAnsi" w:hAnsiTheme="minorHAnsi"/>
      <w:sz w:val="18"/>
      <w:szCs w:val="18"/>
    </w:rPr>
  </w:style>
  <w:style w:type="paragraph" w:styleId="TableofFigures">
    <w:name w:val="table of figures"/>
    <w:basedOn w:val="Normal"/>
    <w:next w:val="Normal"/>
    <w:uiPriority w:val="99"/>
    <w:unhideWhenUsed/>
    <w:qFormat/>
    <w:rsid w:val="00c83306"/>
    <w:pPr>
      <w:tabs>
        <w:tab w:val="clear" w:pos="708"/>
        <w:tab w:val="right" w:pos="8204" w:leader="dot"/>
      </w:tabs>
    </w:pPr>
    <w:rPr>
      <w:rFonts w:ascii="Arial" w:hAnsi="Arial"/>
    </w:rPr>
  </w:style>
  <w:style w:type="paragraph" w:styleId="CommentText">
    <w:name w:val="annotation text"/>
    <w:basedOn w:val="Normal"/>
    <w:link w:val="TextodecomentrioCarter"/>
    <w:uiPriority w:val="99"/>
    <w:semiHidden/>
    <w:unhideWhenUsed/>
    <w:rsid w:val="00ce3ca2"/>
    <w:pPr>
      <w:suppressAutoHyphens w:val="true"/>
      <w:spacing w:before="0" w:after="200"/>
    </w:pPr>
    <w:rPr>
      <w:rFonts w:ascii="Aptos" w:hAnsi="Aptos" w:asciiTheme="minorHAnsi" w:hAnsiTheme="minorHAnsi"/>
      <w:sz w:val="20"/>
      <w:szCs w:val="20"/>
    </w:rPr>
  </w:style>
  <w:style w:type="paragraph" w:styleId="FootnoteText">
    <w:name w:val="footnote text"/>
    <w:basedOn w:val="Normal"/>
    <w:link w:val="TextodenotaderodapCarter"/>
    <w:uiPriority w:val="99"/>
    <w:semiHidden/>
    <w:unhideWhenUsed/>
    <w:qFormat/>
    <w:rsid w:val="00ce3ca2"/>
    <w:pPr>
      <w:suppressAutoHyphens w:val="true"/>
      <w:ind w:firstLine="340"/>
      <w:jc w:val="both"/>
    </w:pPr>
    <w:rPr>
      <w:rFonts w:cs="Times New Roman"/>
      <w:color w:themeColor="accent2" w:themeShade="bf" w:val="BF4E14"/>
      <w:sz w:val="20"/>
      <w:szCs w:val="20"/>
    </w:rPr>
  </w:style>
  <w:style w:type="paragraph" w:styleId="NoSpacing">
    <w:name w:val="No Spacing"/>
    <w:uiPriority w:val="1"/>
    <w:qFormat/>
    <w:rsid w:val="00ce3ca2"/>
    <w:pPr>
      <w:widowControl/>
      <w:suppressAutoHyphens w:val="true"/>
      <w:bidi w:val="0"/>
      <w:spacing w:before="0" w:after="0"/>
      <w:ind w:firstLine="340"/>
      <w:jc w:val="both"/>
    </w:pPr>
    <w:rPr>
      <w:rFonts w:ascii="Times New Roman" w:hAnsi="Times New Roman" w:eastAsia="Calibri" w:cs="Times New Roman"/>
      <w:color w:themeColor="accent2" w:themeShade="bf" w:val="BF4E14"/>
      <w:kern w:val="0"/>
      <w:sz w:val="20"/>
      <w:szCs w:val="24"/>
      <w:lang w:val="pt-PT" w:eastAsia="en-US" w:bidi="ar-SA"/>
      <w14:ligatures w14:val="none"/>
    </w:rPr>
  </w:style>
  <w:style w:type="paragraph" w:styleId="Pargrafo-Objetos-IPCA" w:customStyle="1">
    <w:name w:val="Parágrafo - Objetos - IPCA"/>
    <w:basedOn w:val="Normal"/>
    <w:autoRedefine/>
    <w:uiPriority w:val="1"/>
    <w:qFormat/>
    <w:rsid w:val="00ce3ca2"/>
    <w:pPr>
      <w:suppressAutoHyphens w:val="true"/>
      <w:spacing w:before="120" w:after="120"/>
      <w:jc w:val="center"/>
    </w:pPr>
    <w:rPr>
      <w:rFonts w:cs="Times New Roman"/>
      <w:kern w:val="0"/>
      <w:sz w:val="20"/>
      <w14:ligatures w14:val="none"/>
    </w:rPr>
  </w:style>
  <w:style w:type="paragraph" w:styleId="Nota-IPCA" w:customStyle="1">
    <w:name w:val="Nota - IPCA"/>
    <w:basedOn w:val="Caption"/>
    <w:autoRedefine/>
    <w:uiPriority w:val="1"/>
    <w:qFormat/>
    <w:rsid w:val="008b7106"/>
    <w:pPr>
      <w:spacing w:before="0" w:after="120"/>
      <w:contextualSpacing/>
    </w:pPr>
    <w:rPr>
      <w:b w:val="false"/>
    </w:rPr>
  </w:style>
  <w:style w:type="paragraph" w:styleId="Cabealho11" w:customStyle="1">
    <w:name w:val="Cabeçalho 11"/>
    <w:basedOn w:val="Normal"/>
    <w:next w:val="Normal"/>
    <w:link w:val="Heading1Char"/>
    <w:uiPriority w:val="9"/>
    <w:qFormat/>
    <w:rsid w:val="00ce3ca2"/>
    <w:pPr>
      <w:keepNext w:val="true"/>
      <w:keepLines/>
      <w:suppressAutoHyphens w:val="true"/>
      <w:spacing w:lineRule="auto" w:line="276" w:before="480" w:after="0"/>
      <w:outlineLvl w:val="0"/>
    </w:pPr>
    <w:rPr>
      <w:rFonts w:ascii="Aptos Display" w:hAnsi="Aptos Display" w:eastAsia="" w:cs="" w:asciiTheme="majorHAnsi" w:cstheme="majorBidi" w:eastAsiaTheme="majorEastAsia" w:hAnsiTheme="majorHAnsi"/>
      <w:b/>
      <w:bCs/>
      <w:color w:themeColor="accent1" w:themeShade="bf" w:val="0F4761"/>
      <w:sz w:val="28"/>
      <w:szCs w:val="28"/>
      <w:lang w:eastAsia="pt-PT"/>
    </w:rPr>
  </w:style>
  <w:style w:type="paragraph" w:styleId="CitaesLinha-IPCA" w:customStyle="1">
    <w:name w:val="Citações &gt;+ Linha - IPCA"/>
    <w:basedOn w:val="TextoNormal-IPCA"/>
    <w:autoRedefine/>
    <w:uiPriority w:val="1"/>
    <w:qFormat/>
    <w:rsid w:val="00ce3ca2"/>
    <w:pPr>
      <w:suppressAutoHyphens w:val="true"/>
      <w:ind w:start="851" w:end="851"/>
    </w:pPr>
    <w:rPr>
      <w:i/>
      <w:sz w:val="20"/>
    </w:rPr>
  </w:style>
  <w:style w:type="paragraph" w:styleId="RodapRomano-IPCA" w:customStyle="1">
    <w:name w:val="Rodapé Romano - IPCA"/>
    <w:basedOn w:val="Footer"/>
    <w:autoRedefine/>
    <w:uiPriority w:val="1"/>
    <w:qFormat/>
    <w:rsid w:val="00ce3ca2"/>
    <w:pPr>
      <w:suppressAutoHyphens w:val="true"/>
      <w:jc w:val="center"/>
    </w:pPr>
    <w:rPr>
      <w:rFonts w:ascii="Lucida Sans Unicode" w:hAnsi="Lucida Sans Unicode" w:cs="Times New Roman"/>
      <w:kern w:val="0"/>
      <w:sz w:val="20"/>
      <w14:ligatures w14:val="none"/>
    </w:rPr>
  </w:style>
  <w:style w:type="paragraph" w:styleId="BalloonText">
    <w:name w:val="Balloon Text"/>
    <w:basedOn w:val="Normal"/>
    <w:link w:val="TextodebaloCarter"/>
    <w:uiPriority w:val="99"/>
    <w:semiHidden/>
    <w:unhideWhenUsed/>
    <w:qFormat/>
    <w:rsid w:val="00ce3ca2"/>
    <w:pPr>
      <w:suppressAutoHyphens w:val="true"/>
      <w:ind w:firstLine="340"/>
      <w:jc w:val="both"/>
    </w:pPr>
    <w:rPr>
      <w:rFonts w:cs="Times New Roman"/>
      <w:sz w:val="26"/>
      <w:szCs w:val="26"/>
    </w:rPr>
  </w:style>
  <w:style w:type="paragraph" w:styleId="EndnoteText">
    <w:name w:val="endnote text"/>
    <w:basedOn w:val="Normal"/>
    <w:link w:val="TextodenotadefimCarter"/>
    <w:uiPriority w:val="99"/>
    <w:semiHidden/>
    <w:unhideWhenUsed/>
    <w:rsid w:val="00ce3ca2"/>
    <w:pPr>
      <w:suppressAutoHyphens w:val="true"/>
      <w:ind w:firstLine="340"/>
      <w:jc w:val="both"/>
    </w:pPr>
    <w:rPr>
      <w:rFonts w:cs="Times New Roman"/>
      <w:sz w:val="20"/>
      <w:szCs w:val="20"/>
    </w:rPr>
  </w:style>
  <w:style w:type="paragraph" w:styleId="ndicedoAnexo2" w:customStyle="1">
    <w:name w:val="Índice do Anexo 2"/>
    <w:basedOn w:val="Normal"/>
    <w:next w:val="Normal"/>
    <w:autoRedefine/>
    <w:uiPriority w:val="39"/>
    <w:unhideWhenUsed/>
    <w:qFormat/>
    <w:rsid w:val="00ce3ca2"/>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customStyle="1">
    <w:name w:val="Índice do Anexo 3"/>
    <w:basedOn w:val="Normal"/>
    <w:next w:val="Normal"/>
    <w:autoRedefine/>
    <w:uiPriority w:val="39"/>
    <w:unhideWhenUsed/>
    <w:qFormat/>
    <w:rsid w:val="00ce3ca2"/>
    <w:pPr>
      <w:spacing w:lineRule="auto" w:line="360" w:before="0" w:after="60"/>
      <w:ind w:hanging="0" w:start="170"/>
      <w:contextualSpacing/>
      <w:jc w:val="start"/>
    </w:pPr>
    <w:rPr>
      <w:rFonts w:ascii="Arial" w:hAnsi="Arial"/>
      <w:caps/>
      <w:sz w:val="16"/>
    </w:rPr>
  </w:style>
  <w:style w:type="paragraph" w:styleId="ndicedoAnexo4" w:customStyle="1">
    <w:name w:val="Índice do Anexo 4"/>
    <w:basedOn w:val="Normal"/>
    <w:next w:val="Normal"/>
    <w:autoRedefine/>
    <w:uiPriority w:val="39"/>
    <w:unhideWhenUsed/>
    <w:qFormat/>
    <w:rsid w:val="00ce3ca2"/>
    <w:pPr>
      <w:spacing w:lineRule="auto" w:line="360" w:before="0" w:after="60"/>
      <w:ind w:hanging="0" w:start="340"/>
      <w:contextualSpacing/>
      <w:jc w:val="start"/>
    </w:pPr>
    <w:rPr>
      <w:rFonts w:ascii="Arial" w:hAnsi="Arial"/>
      <w:b/>
      <w:sz w:val="16"/>
    </w:rPr>
  </w:style>
  <w:style w:type="paragraph" w:styleId="ndicedoAnexo5" w:customStyle="1">
    <w:name w:val="Índice do Anexo 5"/>
    <w:basedOn w:val="Normal"/>
    <w:next w:val="Normal"/>
    <w:autoRedefine/>
    <w:uiPriority w:val="39"/>
    <w:unhideWhenUsed/>
    <w:qFormat/>
    <w:rsid w:val="00ce3ca2"/>
    <w:pPr>
      <w:suppressAutoHyphens w:val="true"/>
      <w:spacing w:lineRule="auto" w:line="360" w:before="0" w:after="60"/>
      <w:ind w:start="680"/>
    </w:pPr>
    <w:rPr>
      <w:rFonts w:ascii="Arial" w:hAnsi="Arial" w:cs="Times New Roman"/>
      <w:i/>
      <w:kern w:val="0"/>
      <w:sz w:val="16"/>
      <w14:ligatures w14:val="none"/>
    </w:rPr>
  </w:style>
  <w:style w:type="paragraph" w:styleId="Comment" w:customStyle="1">
    <w:name w:val="Comment"/>
    <w:basedOn w:val="Normal"/>
    <w:qFormat/>
    <w:rsid w:val="00ce3ca2"/>
    <w:pPr>
      <w:suppressAutoHyphens w:val="true"/>
      <w:spacing w:before="56" w:after="0"/>
      <w:ind w:start="57" w:end="57"/>
      <w:jc w:val="both"/>
    </w:pPr>
    <w:rPr>
      <w:rFonts w:cs="Times New Roman"/>
      <w:kern w:val="0"/>
      <w:sz w:val="20"/>
      <w:szCs w:val="20"/>
      <w14:ligatures w14:val="none"/>
    </w:rPr>
  </w:style>
  <w:style w:type="paragraph" w:styleId="TableContents" w:customStyle="1">
    <w:name w:val="Table Contents"/>
    <w:basedOn w:val="Normal"/>
    <w:qFormat/>
    <w:rsid w:val="00ce3ca2"/>
    <w:pPr>
      <w:widowControl w:val="false"/>
      <w:suppressLineNumbers/>
    </w:pPr>
    <w:rPr/>
  </w:style>
  <w:style w:type="paragraph" w:styleId="TableHeading" w:customStyle="1">
    <w:name w:val="Table Heading"/>
    <w:basedOn w:val="TableContents"/>
    <w:qFormat/>
    <w:rsid w:val="00ce3ca2"/>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e3ca2"/>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c8330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10.xml"/><Relationship Id="rId19" Type="http://schemas.openxmlformats.org/officeDocument/2006/relationships/header" Target="header11.xml"/><Relationship Id="rId20" Type="http://schemas.openxmlformats.org/officeDocument/2006/relationships/header" Target="header12.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header" Target="header13.xml"/><Relationship Id="rId24" Type="http://schemas.openxmlformats.org/officeDocument/2006/relationships/header" Target="header14.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header" Target="header15.xml"/><Relationship Id="rId28" Type="http://schemas.openxmlformats.org/officeDocument/2006/relationships/header" Target="header16.xml"/><Relationship Id="rId29" Type="http://schemas.openxmlformats.org/officeDocument/2006/relationships/footer" Target="footer12.xml"/><Relationship Id="rId30" Type="http://schemas.openxmlformats.org/officeDocument/2006/relationships/footer" Target="footer13.xml"/><Relationship Id="rId31" Type="http://schemas.openxmlformats.org/officeDocument/2006/relationships/header" Target="header17.xml"/><Relationship Id="rId32" Type="http://schemas.openxmlformats.org/officeDocument/2006/relationships/header" Target="header18.xml"/><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header" Target="header19.xml"/><Relationship Id="rId36" Type="http://schemas.openxmlformats.org/officeDocument/2006/relationships/header" Target="header20.xml"/><Relationship Id="rId37" Type="http://schemas.openxmlformats.org/officeDocument/2006/relationships/footer" Target="footer16.xml"/><Relationship Id="rId38" Type="http://schemas.openxmlformats.org/officeDocument/2006/relationships/footer" Target="footer17.xml"/><Relationship Id="rId39" Type="http://schemas.openxmlformats.org/officeDocument/2006/relationships/header" Target="header21.xml"/><Relationship Id="rId40" Type="http://schemas.openxmlformats.org/officeDocument/2006/relationships/header" Target="header22.xml"/><Relationship Id="rId41" Type="http://schemas.openxmlformats.org/officeDocument/2006/relationships/footer" Target="footer18.xml"/><Relationship Id="rId42" Type="http://schemas.openxmlformats.org/officeDocument/2006/relationships/footer" Target="footer19.xml"/><Relationship Id="rId43" Type="http://schemas.openxmlformats.org/officeDocument/2006/relationships/header" Target="header23.xml"/><Relationship Id="rId44" Type="http://schemas.openxmlformats.org/officeDocument/2006/relationships/header" Target="header24.xml"/><Relationship Id="rId45" Type="http://schemas.openxmlformats.org/officeDocument/2006/relationships/footer" Target="footer20.xml"/><Relationship Id="rId46" Type="http://schemas.openxmlformats.org/officeDocument/2006/relationships/footer" Target="footer21.xml"/><Relationship Id="rId47" Type="http://schemas.openxmlformats.org/officeDocument/2006/relationships/header" Target="header25.xml"/><Relationship Id="rId48" Type="http://schemas.openxmlformats.org/officeDocument/2006/relationships/header" Target="header26.xml"/><Relationship Id="rId49" Type="http://schemas.openxmlformats.org/officeDocument/2006/relationships/footer" Target="footer22.xml"/><Relationship Id="rId50" Type="http://schemas.openxmlformats.org/officeDocument/2006/relationships/footer" Target="footer23.xml"/><Relationship Id="rId51" Type="http://schemas.openxmlformats.org/officeDocument/2006/relationships/header" Target="header27.xml"/><Relationship Id="rId52" Type="http://schemas.openxmlformats.org/officeDocument/2006/relationships/header" Target="header28.xml"/><Relationship Id="rId53" Type="http://schemas.openxmlformats.org/officeDocument/2006/relationships/footer" Target="footer24.xml"/><Relationship Id="rId54" Type="http://schemas.openxmlformats.org/officeDocument/2006/relationships/footer" Target="footer25.xml"/><Relationship Id="rId55" Type="http://schemas.openxmlformats.org/officeDocument/2006/relationships/header" Target="header29.xml"/><Relationship Id="rId56" Type="http://schemas.openxmlformats.org/officeDocument/2006/relationships/header" Target="header30.xml"/><Relationship Id="rId57" Type="http://schemas.openxmlformats.org/officeDocument/2006/relationships/footer" Target="footer26.xml"/><Relationship Id="rId58" Type="http://schemas.openxmlformats.org/officeDocument/2006/relationships/footer" Target="footer27.xml"/><Relationship Id="rId59" Type="http://schemas.openxmlformats.org/officeDocument/2006/relationships/image" Target="media/image3.jpeg"/><Relationship Id="rId60" Type="http://schemas.openxmlformats.org/officeDocument/2006/relationships/hyperlink" Target="https://enablingthefuture.org/2020/11/13/introducing-the-new-3d-printed-kinetic-hand-design/" TargetMode="External"/><Relationship Id="rId61" Type="http://schemas.openxmlformats.org/officeDocument/2006/relationships/image" Target="media/image4.png"/><Relationship Id="rId62" Type="http://schemas.openxmlformats.org/officeDocument/2006/relationships/image" Target="media/image5.jpeg"/><Relationship Id="rId63" Type="http://schemas.openxmlformats.org/officeDocument/2006/relationships/image" Target="media/image6.png"/><Relationship Id="rId64" Type="http://schemas.openxmlformats.org/officeDocument/2006/relationships/image" Target="media/image7.png"/><Relationship Id="rId65" Type="http://schemas.openxmlformats.org/officeDocument/2006/relationships/image" Target="media/image8.png"/><Relationship Id="rId66" Type="http://schemas.openxmlformats.org/officeDocument/2006/relationships/image" Target="media/image9.png"/><Relationship Id="rId67" Type="http://schemas.openxmlformats.org/officeDocument/2006/relationships/image" Target="media/image10.png"/><Relationship Id="rId68" Type="http://schemas.openxmlformats.org/officeDocument/2006/relationships/image" Target="media/image11.png"/><Relationship Id="rId69" Type="http://schemas.openxmlformats.org/officeDocument/2006/relationships/image" Target="media/image12.png"/><Relationship Id="rId70" Type="http://schemas.openxmlformats.org/officeDocument/2006/relationships/image" Target="media/image13.png"/><Relationship Id="rId71" Type="http://schemas.openxmlformats.org/officeDocument/2006/relationships/image" Target="media/image14.png"/><Relationship Id="rId72" Type="http://schemas.openxmlformats.org/officeDocument/2006/relationships/image" Target="media/image15.png"/><Relationship Id="rId73" Type="http://schemas.openxmlformats.org/officeDocument/2006/relationships/image" Target="media/image16.png"/><Relationship Id="rId74" Type="http://schemas.openxmlformats.org/officeDocument/2006/relationships/image" Target="media/image17.png"/><Relationship Id="rId75" Type="http://schemas.openxmlformats.org/officeDocument/2006/relationships/image" Target="media/image18.png"/><Relationship Id="rId76" Type="http://schemas.openxmlformats.org/officeDocument/2006/relationships/image" Target="media/image19.png"/><Relationship Id="rId77" Type="http://schemas.openxmlformats.org/officeDocument/2006/relationships/image" Target="media/image20.png"/><Relationship Id="rId78" Type="http://schemas.openxmlformats.org/officeDocument/2006/relationships/image" Target="media/image21.png"/><Relationship Id="rId79" Type="http://schemas.openxmlformats.org/officeDocument/2006/relationships/image" Target="media/image22.png"/><Relationship Id="rId80" Type="http://schemas.openxmlformats.org/officeDocument/2006/relationships/image" Target="media/image23.png"/><Relationship Id="rId81" Type="http://schemas.openxmlformats.org/officeDocument/2006/relationships/image" Target="media/image24.png"/><Relationship Id="rId82" Type="http://schemas.openxmlformats.org/officeDocument/2006/relationships/image" Target="media/image25.png"/><Relationship Id="rId83" Type="http://schemas.openxmlformats.org/officeDocument/2006/relationships/image" Target="media/image26.png"/><Relationship Id="rId84" Type="http://schemas.openxmlformats.org/officeDocument/2006/relationships/image" Target="media/image27.png"/><Relationship Id="rId85" Type="http://schemas.openxmlformats.org/officeDocument/2006/relationships/image" Target="media/image28.png"/><Relationship Id="rId86" Type="http://schemas.openxmlformats.org/officeDocument/2006/relationships/image" Target="media/image29.png"/><Relationship Id="rId87" Type="http://schemas.openxmlformats.org/officeDocument/2006/relationships/image" Target="media/image30.png"/><Relationship Id="rId88" Type="http://schemas.openxmlformats.org/officeDocument/2006/relationships/image" Target="media/image31.png"/><Relationship Id="rId89" Type="http://schemas.openxmlformats.org/officeDocument/2006/relationships/image" Target="media/image32.jpeg"/><Relationship Id="rId90" Type="http://schemas.openxmlformats.org/officeDocument/2006/relationships/image" Target="media/image33.jpeg"/><Relationship Id="rId91" Type="http://schemas.openxmlformats.org/officeDocument/2006/relationships/image" Target="media/image34.jpeg"/><Relationship Id="rId92" Type="http://schemas.openxmlformats.org/officeDocument/2006/relationships/image" Target="media/image35.png"/><Relationship Id="rId93" Type="http://schemas.openxmlformats.org/officeDocument/2006/relationships/hyperlink" Target="https://doi.org/10.1017/dsj.2022.22" TargetMode="External"/><Relationship Id="rId94" Type="http://schemas.openxmlformats.org/officeDocument/2006/relationships/hyperlink" Target="https://doi.org/10.1145/3411763.3451716" TargetMode="External"/><Relationship Id="rId95" Type="http://schemas.openxmlformats.org/officeDocument/2006/relationships/hyperlink" Target="https://doi.org/10.1109/TNSRE.2023.3236217" TargetMode="External"/><Relationship Id="rId96" Type="http://schemas.openxmlformats.org/officeDocument/2006/relationships/hyperlink" Target="https://doi.org/10.1016/j.ergon.2023.103473" TargetMode="External"/><Relationship Id="rId97" Type="http://schemas.openxmlformats.org/officeDocument/2006/relationships/hyperlink" Target="https://link.springer.com/content/pdf/10.1007/s11831-025-10264-1.pdf" TargetMode="External"/><Relationship Id="rId98" Type="http://schemas.openxmlformats.org/officeDocument/2006/relationships/hyperlink" Target="https://www.astm.org/f3661-24.html" TargetMode="External"/><Relationship Id="rId99" Type="http://schemas.openxmlformats.org/officeDocument/2006/relationships/hyperlink" Target="https://doi.org/10.3390/jfb16100370" TargetMode="External"/><Relationship Id="rId100" Type="http://schemas.openxmlformats.org/officeDocument/2006/relationships/hyperlink" Target="https://doi.org/10.1186/s12984-024-01475-x" TargetMode="External"/><Relationship Id="rId101" Type="http://schemas.openxmlformats.org/officeDocument/2006/relationships/hyperlink" Target="https://doi.org/10.3390/prosthesis2040021" TargetMode="External"/><Relationship Id="rId102" Type="http://schemas.openxmlformats.org/officeDocument/2006/relationships/hyperlink" Target="https://doi.org/10.1007/s12178-020-09656-6" TargetMode="External"/><Relationship Id="rId103" Type="http://schemas.openxmlformats.org/officeDocument/2006/relationships/hyperlink" Target="https://doi.org/10.1080/17483100701714733" TargetMode="External"/><Relationship Id="rId104" Type="http://schemas.openxmlformats.org/officeDocument/2006/relationships/hyperlink" Target="https://doi.org/10.1016/j.jor.2020.12.009" TargetMode="External"/><Relationship Id="rId105" Type="http://schemas.openxmlformats.org/officeDocument/2006/relationships/hyperlink" Target="https://doi.org/10.3233/WOR-211106" TargetMode="External"/><Relationship Id="rId106" Type="http://schemas.openxmlformats.org/officeDocument/2006/relationships/hyperlink" Target="https://github.com/CameronBrooks11/openscad-web" TargetMode="External"/><Relationship Id="rId107" Type="http://schemas.openxmlformats.org/officeDocument/2006/relationships/hyperlink" Target="https://doi.org/10.2139/ssrn.3421771" TargetMode="External"/><Relationship Id="rId108" Type="http://schemas.openxmlformats.org/officeDocument/2006/relationships/hyperlink" Target="https://doi.org/10.3389/frobt.2020.594196" TargetMode="External"/><Relationship Id="rId109" Type="http://schemas.openxmlformats.org/officeDocument/2006/relationships/hyperlink" Target="https://doi.org/10.1109/ACCESS.2018.2831907" TargetMode="External"/><Relationship Id="rId110" Type="http://schemas.openxmlformats.org/officeDocument/2006/relationships/hyperlink" Target="https://doi.org/10.1186/s12984-020-00711-4" TargetMode="External"/><Relationship Id="rId111" Type="http://schemas.openxmlformats.org/officeDocument/2006/relationships/hyperlink" Target="https://doi.org/10.3390/prosthesis7020026" TargetMode="External"/><Relationship Id="rId112" Type="http://schemas.openxmlformats.org/officeDocument/2006/relationships/hyperlink" Target="https://doi.org/10.1080/10810730.2025.2462679" TargetMode="External"/><Relationship Id="rId113" Type="http://schemas.openxmlformats.org/officeDocument/2006/relationships/hyperlink" Target="https://doi.org/10.5115/acb.23.310" TargetMode="External"/><Relationship Id="rId114" Type="http://schemas.openxmlformats.org/officeDocument/2006/relationships/hyperlink" Target="https://www.cambridge.org/core/services/aop-cambridge-core/content/view/36E8736EEB55F0B38C2C9AB47EF381FE/S2732527X25100771a.pdf/div-class-title-artificial-intelligence-ai-in-the-design-process-a-review-and-analysis-on-generative-ai-perspectives-div.pdf" TargetMode="External"/><Relationship Id="rId115" Type="http://schemas.openxmlformats.org/officeDocument/2006/relationships/hyperlink" Target="https://sei.ardascience.com/index.php/journal/article/download/185/169" TargetMode="External"/><Relationship Id="rId116" Type="http://schemas.openxmlformats.org/officeDocument/2006/relationships/hyperlink" Target="https://doi.org/10.1080/09544821003693689" TargetMode="External"/><Relationship Id="rId117" Type="http://schemas.openxmlformats.org/officeDocument/2006/relationships/hyperlink" Target="https://doi.org/10.1007/978-3-319-21067-436" TargetMode="External"/><Relationship Id="rId118" Type="http://schemas.openxmlformats.org/officeDocument/2006/relationships/hyperlink" Target="https://doi.org/10.3389/fnins.2016.00209" TargetMode="External"/><Relationship Id="rId119" Type="http://schemas.openxmlformats.org/officeDocument/2006/relationships/hyperlink" Target="https://doi.org/10.1016/0142-694X(82)90040-0" TargetMode="External"/><Relationship Id="rId120" Type="http://schemas.openxmlformats.org/officeDocument/2006/relationships/hyperlink" Target="https://doi.org/10.1109/TIPTEKNO56568.2022.9960218" TargetMode="External"/><Relationship Id="rId121" Type="http://schemas.openxmlformats.org/officeDocument/2006/relationships/hyperlink" Target="https://doi.org/10.3390/app15084467" TargetMode="External"/><Relationship Id="rId122" Type="http://schemas.openxmlformats.org/officeDocument/2006/relationships/hyperlink" Target="https://github.com/daprice/Flexy-Beast/blob/master/README.md" TargetMode="External"/><Relationship Id="rId123" Type="http://schemas.openxmlformats.org/officeDocument/2006/relationships/hyperlink" Target="https://www.designcouncil.org.uk/our-resources/framework-for-innovation/" TargetMode="External"/><Relationship Id="rId124" Type="http://schemas.openxmlformats.org/officeDocument/2006/relationships/hyperlink" Target="https://doi.org/10.1177/0309364617704803" TargetMode="External"/><Relationship Id="rId125" Type="http://schemas.openxmlformats.org/officeDocument/2006/relationships/hyperlink" Target="https://doi.org/10.1109/ICEMIS56295.2022.9914291" TargetMode="External"/><Relationship Id="rId126" Type="http://schemas.openxmlformats.org/officeDocument/2006/relationships/hyperlink" Target="https://jneuroengrehab.biomedcentral.com/counter/pdf/10.1186/s12984-024-01436-4" TargetMode="External"/><Relationship Id="rId127" Type="http://schemas.openxmlformats.org/officeDocument/2006/relationships/hyperlink" Target="https://dl.designresearchsociety.org/cgi/viewcontent.cgi?article=2915&amp;context=drs-conference-papers" TargetMode="External"/><Relationship Id="rId128" Type="http://schemas.openxmlformats.org/officeDocument/2006/relationships/hyperlink" Target="https://doi.org/10.1016/j.oto.2023.101061" TargetMode="External"/><Relationship Id="rId129" Type="http://schemas.openxmlformats.org/officeDocument/2006/relationships/hyperlink" Target="https://doi.org/10.15641/ghi.v3i1.762" TargetMode="External"/><Relationship Id="rId130" Type="http://schemas.openxmlformats.org/officeDocument/2006/relationships/hyperlink" Target="https://doi.org/10.1016/S0048-7333(03)00049-0" TargetMode="External"/><Relationship Id="rId131" Type="http://schemas.openxmlformats.org/officeDocument/2006/relationships/hyperlink" Target="https://arxiv.org/abs/2408.01796" TargetMode="External"/><Relationship Id="rId132" Type="http://schemas.openxmlformats.org/officeDocument/2006/relationships/hyperlink" Target="https://doi.org/10.1088/1742-6596/2198/1/012040" TargetMode="External"/><Relationship Id="rId133" Type="http://schemas.openxmlformats.org/officeDocument/2006/relationships/hyperlink" Target="https://doi.org/10.1109/TNSRE.2024.3430070" TargetMode="External"/><Relationship Id="rId134" Type="http://schemas.openxmlformats.org/officeDocument/2006/relationships/hyperlink" Target="https://doi.org/10.1016/j.jht.2025.01.004" TargetMode="External"/><Relationship Id="rId135" Type="http://schemas.openxmlformats.org/officeDocument/2006/relationships/hyperlink" Target="https://doi.org/10.1109/CASE49439.2021.9551649" TargetMode="External"/><Relationship Id="rId136" Type="http://schemas.openxmlformats.org/officeDocument/2006/relationships/hyperlink" Target="https://doi.org/10.1109/IROS58592.2024.10801868" TargetMode="External"/><Relationship Id="rId137" Type="http://schemas.openxmlformats.org/officeDocument/2006/relationships/hyperlink" Target="https://doi.org/10.1287/mnsc.48.7.821.2817" TargetMode="External"/><Relationship Id="rId138" Type="http://schemas.openxmlformats.org/officeDocument/2006/relationships/hyperlink" Target="https://doi.org/10.1145/2858036.2858346" TargetMode="External"/><Relationship Id="rId139" Type="http://schemas.openxmlformats.org/officeDocument/2006/relationships/hyperlink" Target="https://doi.org/10.1080/17483107.2020.1788181" TargetMode="External"/><Relationship Id="rId140" Type="http://schemas.openxmlformats.org/officeDocument/2006/relationships/hyperlink" Target="https://doi.org/10.3390/polym13111758" TargetMode="External"/><Relationship Id="rId141" Type="http://schemas.openxmlformats.org/officeDocument/2006/relationships/hyperlink" Target="https://doi.org/10.1016/j.ergon.2006.11.006" TargetMode="External"/><Relationship Id="rId142" Type="http://schemas.openxmlformats.org/officeDocument/2006/relationships/hyperlink" Target="https://www.mdpi.com/2076-3417/14/6/2594/pdf?version=1710932396" TargetMode="External"/><Relationship Id="rId143" Type="http://schemas.openxmlformats.org/officeDocument/2006/relationships/hyperlink" Target="https://ebpj.e-iph.co.uk/index.php/EBProceedings/article/download/6348/3640" TargetMode="External"/><Relationship Id="rId144" Type="http://schemas.openxmlformats.org/officeDocument/2006/relationships/hyperlink" Target="https://webstore.iec.ch/en/publication/21863" TargetMode="External"/><Relationship Id="rId145" Type="http://schemas.openxmlformats.org/officeDocument/2006/relationships/hyperlink" Target="https://www.iso.org/committee/53630.html" TargetMode="External"/><Relationship Id="rId146" Type="http://schemas.openxmlformats.org/officeDocument/2006/relationships/hyperlink" Target="https://www.iso.org/standard/65246.html" TargetMode="External"/><Relationship Id="rId147" Type="http://schemas.openxmlformats.org/officeDocument/2006/relationships/hyperlink" Target="https://www.iso.org/standard/79495.html" TargetMode="External"/><Relationship Id="rId148" Type="http://schemas.openxmlformats.org/officeDocument/2006/relationships/hyperlink" Target="https://doi.org/10.3389/frhs.2023.1213752" TargetMode="External"/><Relationship Id="rId149" Type="http://schemas.openxmlformats.org/officeDocument/2006/relationships/hyperlink" Target="https://doi.org/10.1609/aaaiss.v6i1.36061" TargetMode="External"/><Relationship Id="rId150" Type="http://schemas.openxmlformats.org/officeDocument/2006/relationships/hyperlink" Target="https://doi.org/10.1016/j.matpr.2022.10.124" TargetMode="External"/><Relationship Id="rId151" Type="http://schemas.openxmlformats.org/officeDocument/2006/relationships/hyperlink" Target="https://doi.org/10.3389/fresc.2024.1354069" TargetMode="External"/><Relationship Id="rId152" Type="http://schemas.openxmlformats.org/officeDocument/2006/relationships/hyperlink" Target="https://doi.org/10.1080/14606925.2024.2420152" TargetMode="External"/><Relationship Id="rId153" Type="http://schemas.openxmlformats.org/officeDocument/2006/relationships/hyperlink" Target="https://doi.org/10.1017/S0890060423000203" TargetMode="External"/><Relationship Id="rId154" Type="http://schemas.openxmlformats.org/officeDocument/2006/relationships/hyperlink" Target="https://doi.org/10.1016/j.procir.2020.01.135" TargetMode="External"/><Relationship Id="rId155" Type="http://schemas.openxmlformats.org/officeDocument/2006/relationships/hyperlink" Target="https://doi.org/10.1080/09544828.2016.1228101" TargetMode="External"/><Relationship Id="rId156" Type="http://schemas.openxmlformats.org/officeDocument/2006/relationships/hyperlink" Target="https://doi.org/10.1080/17483107.2025.2483953" TargetMode="External"/><Relationship Id="rId157" Type="http://schemas.openxmlformats.org/officeDocument/2006/relationships/hyperlink" Target="https://peer.asee.org/38349.pdf" TargetMode="External"/><Relationship Id="rId158" Type="http://schemas.openxmlformats.org/officeDocument/2006/relationships/hyperlink" Target="https://doi.org/10.1115/DETC2018-85645" TargetMode="External"/><Relationship Id="rId159" Type="http://schemas.openxmlformats.org/officeDocument/2006/relationships/hyperlink" Target="https://sciendo.com/pdf/10.2478/aut-2021-0007" TargetMode="External"/><Relationship Id="rId160" Type="http://schemas.openxmlformats.org/officeDocument/2006/relationships/hyperlink" Target="https://doi.org/10.1371/journal.pone.0225795" TargetMode="External"/><Relationship Id="rId161" Type="http://schemas.openxmlformats.org/officeDocument/2006/relationships/hyperlink" Target="https://doi.org/10.3390/ijerph16091641" TargetMode="External"/><Relationship Id="rId162" Type="http://schemas.openxmlformats.org/officeDocument/2006/relationships/hyperlink" Target="https://doi.org/10.1186/s12984-022-01097-1" TargetMode="External"/><Relationship Id="rId163" Type="http://schemas.openxmlformats.org/officeDocument/2006/relationships/hyperlink" Target="https://doi.org/10.3390/polym16131868" TargetMode="External"/><Relationship Id="rId164" Type="http://schemas.openxmlformats.org/officeDocument/2006/relationships/hyperlink" Target="https://ijamjournal.org/ijam/publication/index.php/ijam/article/download/341/311" TargetMode="External"/><Relationship Id="rId165" Type="http://schemas.openxmlformats.org/officeDocument/2006/relationships/hyperlink" Target="https://hal.science/hal-01938985" TargetMode="External"/><Relationship Id="rId166" Type="http://schemas.openxmlformats.org/officeDocument/2006/relationships/hyperlink" Target="https://doi.org/10.1016/j.dib.2020.105420" TargetMode="External"/><Relationship Id="rId167" Type="http://schemas.openxmlformats.org/officeDocument/2006/relationships/hyperlink" Target="https://dined.io.tudelft.nl/" TargetMode="External"/><Relationship Id="rId168" Type="http://schemas.openxmlformats.org/officeDocument/2006/relationships/hyperlink" Target="https://doi.org/10.1080/0014013031000085635" TargetMode="External"/><Relationship Id="rId169" Type="http://schemas.openxmlformats.org/officeDocument/2006/relationships/hyperlink" Target="https://doi.org/10.1080/01942638.2017.1337661" TargetMode="External"/><Relationship Id="rId170" Type="http://schemas.openxmlformats.org/officeDocument/2006/relationships/hyperlink" Target="https://doi.org/10.3390/designs1010005" TargetMode="External"/><Relationship Id="rId171" Type="http://schemas.openxmlformats.org/officeDocument/2006/relationships/hyperlink" Target="https://doi.org/10.1109/BioRob60516.2024.10719909" TargetMode="External"/><Relationship Id="rId172" Type="http://schemas.openxmlformats.org/officeDocument/2006/relationships/hyperlink" Target="https://doi.org/10.1097/PXR.0000000000000351" TargetMode="External"/><Relationship Id="rId173" Type="http://schemas.openxmlformats.org/officeDocument/2006/relationships/hyperlink" Target="https://doi.org/10.3109/17483107.2011.635405" TargetMode="External"/><Relationship Id="rId174" Type="http://schemas.openxmlformats.org/officeDocument/2006/relationships/hyperlink" Target="https://openscad.org/" TargetMode="External"/><Relationship Id="rId175" Type="http://schemas.openxmlformats.org/officeDocument/2006/relationships/hyperlink" Target="https://doi.org/10.1017/dsj.2022.3" TargetMode="External"/><Relationship Id="rId176" Type="http://schemas.openxmlformats.org/officeDocument/2006/relationships/hyperlink" Target="https://doi.org/10.1115/1.4044690" TargetMode="External"/><Relationship Id="rId177" Type="http://schemas.openxmlformats.org/officeDocument/2006/relationships/hyperlink" Target="https://doi.org/10.1682/JRRD.2010.08.0161" TargetMode="External"/><Relationship Id="rId178" Type="http://schemas.openxmlformats.org/officeDocument/2006/relationships/hyperlink" Target="https://doi.org/10.3390/designs9020039" TargetMode="External"/><Relationship Id="rId179" Type="http://schemas.openxmlformats.org/officeDocument/2006/relationships/hyperlink" Target="https://doi.org/10.1109/JTEHM.2018.2880199" TargetMode="External"/><Relationship Id="rId180" Type="http://schemas.openxmlformats.org/officeDocument/2006/relationships/hyperlink" Target="https://doi.org/10.1115/DETC2019-97378" TargetMode="External"/><Relationship Id="rId181" Type="http://schemas.openxmlformats.org/officeDocument/2006/relationships/hyperlink" Target="https://doi.org/10.1097/JPO.0b013e3181d427b7" TargetMode="External"/><Relationship Id="rId182" Type="http://schemas.openxmlformats.org/officeDocument/2006/relationships/hyperlink" Target="https://arxiv.org/pdf/2204.13217" TargetMode="External"/><Relationship Id="rId183" Type="http://schemas.openxmlformats.org/officeDocument/2006/relationships/hyperlink" Target="https://doi.org/10.1177/0309364616631343" TargetMode="External"/><Relationship Id="rId184" Type="http://schemas.openxmlformats.org/officeDocument/2006/relationships/hyperlink" Target="https://doi.org/10.31637/epsir-2024-932" TargetMode="External"/><Relationship Id="rId185" Type="http://schemas.openxmlformats.org/officeDocument/2006/relationships/hyperlink" Target="https://doi.org/10.1109/ACCESS.2025.3596475" TargetMode="External"/><Relationship Id="rId186" Type="http://schemas.openxmlformats.org/officeDocument/2006/relationships/hyperlink" Target="https://doi.org/10.61186/ist.202401.01.09" TargetMode="External"/><Relationship Id="rId187" Type="http://schemas.openxmlformats.org/officeDocument/2006/relationships/hyperlink" Target="https://doi.org/10.1109/CoDIT62066.2024.10708382" TargetMode="External"/><Relationship Id="rId188" Type="http://schemas.openxmlformats.org/officeDocument/2006/relationships/hyperlink" Target="https://doi.org/10.3390/prosthesis6020022" TargetMode="External"/><Relationship Id="rId189" Type="http://schemas.openxmlformats.org/officeDocument/2006/relationships/hyperlink" Target="https://doi.org/10.1108/09526860610687619" TargetMode="External"/><Relationship Id="rId190" Type="http://schemas.openxmlformats.org/officeDocument/2006/relationships/hyperlink" Target="https://pmc.ncbi.nlm.nih.gov/articles/PMC10935386/pdf/sensors-24-01373.pdf" TargetMode="External"/><Relationship Id="rId191" Type="http://schemas.openxmlformats.org/officeDocument/2006/relationships/hyperlink" Target="https://doi.org/10.1080/17483107.2020.1738567" TargetMode="External"/><Relationship Id="rId192" Type="http://schemas.openxmlformats.org/officeDocument/2006/relationships/hyperlink" Target="https://pjms.com.pk/index.php/pjms/article/view/9922/4660" TargetMode="External"/><Relationship Id="rId193" Type="http://schemas.openxmlformats.org/officeDocument/2006/relationships/hyperlink" Target="https://journals.plos.org/plosone/article/file?id=10.1371/journal.pone.0301619&amp;type=printable" TargetMode="External"/><Relationship Id="rId194" Type="http://schemas.openxmlformats.org/officeDocument/2006/relationships/hyperlink" Target="https://doi.org/10.5151/sigradi2018-1770" TargetMode="External"/><Relationship Id="rId195" Type="http://schemas.openxmlformats.org/officeDocument/2006/relationships/hyperlink" Target="https://www.medrxiv.org/content/medrxiv/early/2024/11/30/2024.11.27.24317622.full.pdf" TargetMode="External"/><Relationship Id="rId196" Type="http://schemas.openxmlformats.org/officeDocument/2006/relationships/hyperlink" Target="https://doi.org/10.1080/17483107.2016.1253117" TargetMode="External"/><Relationship Id="rId197" Type="http://schemas.openxmlformats.org/officeDocument/2006/relationships/hyperlink" Target="https://onlinelibrary.wiley.com/doi/pdfdirect/10.1111/jpim.12523" TargetMode="External"/><Relationship Id="rId198" Type="http://schemas.openxmlformats.org/officeDocument/2006/relationships/hyperlink" Target="https://doi.org/10.1115/DETC2021-67619" TargetMode="External"/><Relationship Id="rId199" Type="http://schemas.openxmlformats.org/officeDocument/2006/relationships/hyperlink" Target="https://doi.org/10.1007/s11948-019-00168-2" TargetMode="External"/><Relationship Id="rId200" Type="http://schemas.openxmlformats.org/officeDocument/2006/relationships/hyperlink" Target="https://doi.org/10.3389/fresc.2025.1610336" TargetMode="External"/><Relationship Id="rId201" Type="http://schemas.openxmlformats.org/officeDocument/2006/relationships/hyperlink" Target="https://doi.org/10.1109/ACCESS.2024.3442085" TargetMode="External"/><Relationship Id="rId202" Type="http://schemas.openxmlformats.org/officeDocument/2006/relationships/hyperlink" Target="https://doi.org/10.3390/machines10060413" TargetMode="External"/><Relationship Id="rId203" Type="http://schemas.openxmlformats.org/officeDocument/2006/relationships/hyperlink" Target="https://doi.org/10.3233/SHTI220858" TargetMode="External"/><Relationship Id="rId204" Type="http://schemas.openxmlformats.org/officeDocument/2006/relationships/hyperlink" Target="https://doi.org/10.1108/RPJ-10-2018-0262" TargetMode="External"/><Relationship Id="rId205" Type="http://schemas.openxmlformats.org/officeDocument/2006/relationships/hyperlink" Target="https://doi.org/10.1017/dsd.2020.133" TargetMode="External"/><Relationship Id="rId206" Type="http://schemas.openxmlformats.org/officeDocument/2006/relationships/hyperlink" Target="https://doi.org/10.1109/ICAC55051.2022.9911138" TargetMode="External"/><Relationship Id="rId207" Type="http://schemas.openxmlformats.org/officeDocument/2006/relationships/hyperlink" Target="https://www.tandfonline.com/doi/pdf/10.1080/17434440.2023.2244418" TargetMode="External"/><Relationship Id="rId208" Type="http://schemas.openxmlformats.org/officeDocument/2006/relationships/hyperlink" Target="https://doi.org/10.1016/j.engappai.2022.105697" TargetMode="External"/><Relationship Id="rId209" Type="http://schemas.openxmlformats.org/officeDocument/2006/relationships/hyperlink" Target="https://doi.org/10.1145/1240624.1240704" TargetMode="External"/><Relationship Id="rId210" Type="http://schemas.openxmlformats.org/officeDocument/2006/relationships/hyperlink" Target="https://doi.org/10.1186/s13104-015-0971-9" TargetMode="External"/><Relationship Id="rId211" Type="http://schemas.openxmlformats.org/officeDocument/2006/relationships/image" Target="media/image36.png"/><Relationship Id="rId212" Type="http://schemas.openxmlformats.org/officeDocument/2006/relationships/header" Target="header31.xml"/><Relationship Id="rId213" Type="http://schemas.openxmlformats.org/officeDocument/2006/relationships/header" Target="header32.xml"/><Relationship Id="rId214" Type="http://schemas.openxmlformats.org/officeDocument/2006/relationships/header" Target="header33.xml"/><Relationship Id="rId215" Type="http://schemas.openxmlformats.org/officeDocument/2006/relationships/footer" Target="footer28.xml"/><Relationship Id="rId216" Type="http://schemas.openxmlformats.org/officeDocument/2006/relationships/footer" Target="footer29.xml"/><Relationship Id="rId217" Type="http://schemas.openxmlformats.org/officeDocument/2006/relationships/footer" Target="footer30.xml"/><Relationship Id="rId218" Type="http://schemas.openxmlformats.org/officeDocument/2006/relationships/header" Target="header34.xml"/><Relationship Id="rId219" Type="http://schemas.openxmlformats.org/officeDocument/2006/relationships/header" Target="header35.xml"/><Relationship Id="rId220" Type="http://schemas.openxmlformats.org/officeDocument/2006/relationships/footer" Target="footer31.xml"/><Relationship Id="rId221" Type="http://schemas.openxmlformats.org/officeDocument/2006/relationships/footer" Target="footer32.xml"/><Relationship Id="rId222" Type="http://schemas.openxmlformats.org/officeDocument/2006/relationships/footer" Target="footer33.xml"/><Relationship Id="rId223" Type="http://schemas.openxmlformats.org/officeDocument/2006/relationships/footnotes" Target="footnotes.xml"/><Relationship Id="rId224" Type="http://schemas.openxmlformats.org/officeDocument/2006/relationships/numbering" Target="numbering.xml"/><Relationship Id="rId225" Type="http://schemas.openxmlformats.org/officeDocument/2006/relationships/fontTable" Target="fontTable.xml"/><Relationship Id="rId226" Type="http://schemas.openxmlformats.org/officeDocument/2006/relationships/settings" Target="settings.xml"/><Relationship Id="rId227" Type="http://schemas.openxmlformats.org/officeDocument/2006/relationships/theme" Target="theme/theme1.xml"/><Relationship Id="rId228" Type="http://schemas.openxmlformats.org/officeDocument/2006/relationships/glossaryDocument" Target="glossary/document.xml"/><Relationship Id="rId229"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9.xml.rels><?xml version="1.0" encoding="UTF-8"?>
<Relationships xmlns="http://schemas.openxmlformats.org/package/2006/relationships"><Relationship Id="rId1" Type="http://schemas.openxmlformats.org/officeDocument/2006/relationships/image" Target="media/image1.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07A83A42D4C148AE0B9570A0A782CC"/>
        <w:category>
          <w:name w:val="Geral"/>
          <w:gallery w:val="placeholder"/>
        </w:category>
        <w:types>
          <w:type w:val="bbPlcHdr"/>
        </w:types>
        <w:behaviors>
          <w:behavior w:val="content"/>
        </w:behaviors>
        <w:guid w:val="{3EEB13C2-B8D3-3C4B-8616-C80FCF65D830}"/>
      </w:docPartPr>
      <w:docPartBody>
        <w:p w:rsidR="00AC77EE" w:rsidRDefault="0022759D" w:rsidP="0022759D">
          <w:pPr>
            <w:pStyle w:val="AD07A83A42D4C148AE0B9570A0A782CC"/>
          </w:pPr>
          <w:r>
            <w:rPr>
              <w:rStyle w:val="TtulodeCapaefolhaderosto-IPCACarter"/>
            </w:rPr>
            <w:t>Título do Tema</w:t>
          </w:r>
        </w:p>
      </w:docPartBody>
    </w:docPart>
    <w:docPart>
      <w:docPartPr>
        <w:name w:val="397CFD3FBF5AD342BBB2B0839E862268"/>
        <w:category>
          <w:name w:val="Geral"/>
          <w:gallery w:val="placeholder"/>
        </w:category>
        <w:types>
          <w:type w:val="bbPlcHdr"/>
        </w:types>
        <w:behaviors>
          <w:behavior w:val="content"/>
        </w:behaviors>
        <w:guid w:val="{9274AC73-7695-8D42-B572-AC4D3C73F3A2}"/>
      </w:docPartPr>
      <w:docPartBody>
        <w:p w:rsidR="00AC77EE" w:rsidRDefault="0022759D" w:rsidP="0022759D">
          <w:pPr>
            <w:pStyle w:val="397CFD3FBF5AD342BBB2B0839E862268"/>
          </w:pPr>
          <w:r>
            <w:rPr>
              <w:rStyle w:val="TextodoMarcadordePosio"/>
            </w:rPr>
            <w:t>Nome completo do mestrando</w:t>
          </w:r>
        </w:p>
      </w:docPartBody>
    </w:docPart>
    <w:docPart>
      <w:docPartPr>
        <w:name w:val="5D177C66921F5B44A758D84CB5CDF240"/>
        <w:category>
          <w:name w:val="Geral"/>
          <w:gallery w:val="placeholder"/>
        </w:category>
        <w:types>
          <w:type w:val="bbPlcHdr"/>
        </w:types>
        <w:behaviors>
          <w:behavior w:val="content"/>
        </w:behaviors>
        <w:guid w:val="{A15DBA7B-382C-5940-B0A0-9E2A4CEB11BA}"/>
      </w:docPartPr>
      <w:docPartBody>
        <w:p w:rsidR="00AC77EE" w:rsidRDefault="0022759D" w:rsidP="0022759D">
          <w:pPr>
            <w:pStyle w:val="5D177C66921F5B44A758D84CB5CDF240"/>
          </w:pPr>
          <w:r w:rsidRPr="007569E6">
            <w:rPr>
              <w:rStyle w:val="TextodoMarcadordePosio"/>
            </w:rPr>
            <w:t>Clique ou toque aqui para introduzir texto.</w:t>
          </w:r>
        </w:p>
      </w:docPartBody>
    </w:docPart>
    <w:docPart>
      <w:docPartPr>
        <w:name w:val="157D746FD4EC6C42B5ACEAE0BDC6B9C0"/>
        <w:category>
          <w:name w:val="Geral"/>
          <w:gallery w:val="placeholder"/>
        </w:category>
        <w:types>
          <w:type w:val="bbPlcHdr"/>
        </w:types>
        <w:behaviors>
          <w:behavior w:val="content"/>
        </w:behaviors>
        <w:guid w:val="{80E6B4A3-C1FE-7340-B777-595C5B2C44DC}"/>
      </w:docPartPr>
      <w:docPartBody>
        <w:p w:rsidR="00AC77EE" w:rsidRDefault="0022759D" w:rsidP="0022759D">
          <w:pPr>
            <w:pStyle w:val="157D746FD4EC6C42B5ACEAE0BDC6B9C0"/>
          </w:pPr>
          <w:r w:rsidRPr="007569E6">
            <w:rPr>
              <w:rStyle w:val="TextodoMarcadordePosio"/>
            </w:rPr>
            <w:t>Escolha um item.</w:t>
          </w:r>
        </w:p>
      </w:docPartBody>
    </w:docPart>
    <w:docPart>
      <w:docPartPr>
        <w:name w:val="1A2B23454CF2C1489A85C874D2C1B824"/>
        <w:category>
          <w:name w:val="Geral"/>
          <w:gallery w:val="placeholder"/>
        </w:category>
        <w:types>
          <w:type w:val="bbPlcHdr"/>
        </w:types>
        <w:behaviors>
          <w:behavior w:val="content"/>
        </w:behaviors>
        <w:guid w:val="{FCA61B0A-CD91-DD48-8E87-DCC27437BADA}"/>
      </w:docPartPr>
      <w:docPartBody>
        <w:p w:rsidR="00AC77EE" w:rsidRDefault="0022759D" w:rsidP="0022759D">
          <w:pPr>
            <w:pStyle w:val="1A2B23454CF2C1489A85C874D2C1B824"/>
          </w:pPr>
          <w:r w:rsidRPr="007569E6">
            <w:rPr>
              <w:rStyle w:val="TextodoMarcadordePosio"/>
            </w:rPr>
            <w:t>Clique ou toque para introduzir uma data.</w:t>
          </w:r>
        </w:p>
      </w:docPartBody>
    </w:docPart>
    <w:docPart>
      <w:docPartPr>
        <w:name w:val="C8AFE9ECB29E7542B9AACE44C7222ED0"/>
        <w:category>
          <w:name w:val="Geral"/>
          <w:gallery w:val="placeholder"/>
        </w:category>
        <w:types>
          <w:type w:val="bbPlcHdr"/>
        </w:types>
        <w:behaviors>
          <w:behavior w:val="content"/>
        </w:behaviors>
        <w:guid w:val="{E8723769-DC49-054C-BA51-EE880524B6A5}"/>
      </w:docPartPr>
      <w:docPartBody>
        <w:p w:rsidR="00AC77EE" w:rsidRDefault="0022759D" w:rsidP="0022759D">
          <w:pPr>
            <w:pStyle w:val="C8AFE9ECB29E7542B9AACE44C7222ED0"/>
          </w:pPr>
          <w:r>
            <w:rPr>
              <w:rStyle w:val="TtulodeCapaefolhaderosto-IPCACarter"/>
            </w:rPr>
            <w:t>Título do Tema</w:t>
          </w:r>
        </w:p>
      </w:docPartBody>
    </w:docPart>
    <w:docPart>
      <w:docPartPr>
        <w:name w:val="A63241E135B510489CEE83C13C0117C5"/>
        <w:category>
          <w:name w:val="Geral"/>
          <w:gallery w:val="placeholder"/>
        </w:category>
        <w:types>
          <w:type w:val="bbPlcHdr"/>
        </w:types>
        <w:behaviors>
          <w:behavior w:val="content"/>
        </w:behaviors>
        <w:guid w:val="{699D81F5-925B-4148-979F-14EBDE6AB39A}"/>
      </w:docPartPr>
      <w:docPartBody>
        <w:p w:rsidR="00AC77EE" w:rsidRDefault="0022759D" w:rsidP="0022759D">
          <w:pPr>
            <w:pStyle w:val="A63241E135B510489CEE83C13C0117C5"/>
          </w:pPr>
          <w:r>
            <w:rPr>
              <w:rStyle w:val="TextodoMarcadordePosio"/>
            </w:rPr>
            <w:t>Nome completo do mestrando</w:t>
          </w:r>
        </w:p>
      </w:docPartBody>
    </w:docPart>
    <w:docPart>
      <w:docPartPr>
        <w:name w:val="3905910296F7AD4684605D0BA979D5BB"/>
        <w:category>
          <w:name w:val="Geral"/>
          <w:gallery w:val="placeholder"/>
        </w:category>
        <w:types>
          <w:type w:val="bbPlcHdr"/>
        </w:types>
        <w:behaviors>
          <w:behavior w:val="content"/>
        </w:behaviors>
        <w:guid w:val="{F7649BC0-246B-DD4D-A656-27C23A656069}"/>
      </w:docPartPr>
      <w:docPartBody>
        <w:p w:rsidR="00AC77EE" w:rsidRDefault="0022759D" w:rsidP="0022759D">
          <w:pPr>
            <w:pStyle w:val="3905910296F7AD4684605D0BA979D5BB"/>
          </w:pPr>
          <w:r w:rsidRPr="007569E6">
            <w:rPr>
              <w:rStyle w:val="TextodoMarcadordePosio"/>
            </w:rPr>
            <w:t>Clique ou toque aqui para introduzir texto.</w:t>
          </w:r>
        </w:p>
      </w:docPartBody>
    </w:docPart>
    <w:docPart>
      <w:docPartPr>
        <w:name w:val="25E5F8B3BE1C9D479B149C52FBBC0CE1"/>
        <w:category>
          <w:name w:val="Geral"/>
          <w:gallery w:val="placeholder"/>
        </w:category>
        <w:types>
          <w:type w:val="bbPlcHdr"/>
        </w:types>
        <w:behaviors>
          <w:behavior w:val="content"/>
        </w:behaviors>
        <w:guid w:val="{E7ADF1C1-9576-1C43-97F4-6112997FBAA5}"/>
      </w:docPartPr>
      <w:docPartBody>
        <w:p w:rsidR="00AC77EE" w:rsidRDefault="0022759D" w:rsidP="0022759D">
          <w:pPr>
            <w:pStyle w:val="25E5F8B3BE1C9D479B149C52FBBC0CE1"/>
          </w:pPr>
          <w:r w:rsidRPr="007569E6">
            <w:rPr>
              <w:rStyle w:val="TextodoMarcadordePosio"/>
            </w:rPr>
            <w:t>Escolha um item.</w:t>
          </w:r>
        </w:p>
      </w:docPartBody>
    </w:docPart>
    <w:docPart>
      <w:docPartPr>
        <w:name w:val="D9F927F1005A044AA50A5C9C4BE16E95"/>
        <w:category>
          <w:name w:val="Geral"/>
          <w:gallery w:val="placeholder"/>
        </w:category>
        <w:types>
          <w:type w:val="bbPlcHdr"/>
        </w:types>
        <w:behaviors>
          <w:behavior w:val="content"/>
        </w:behaviors>
        <w:guid w:val="{59417225-EE11-924C-BDF8-9BE60A7FDACA}"/>
      </w:docPartPr>
      <w:docPartBody>
        <w:p w:rsidR="00AC77EE" w:rsidRDefault="0022759D" w:rsidP="0022759D">
          <w:pPr>
            <w:pStyle w:val="D9F927F1005A044AA50A5C9C4BE16E95"/>
          </w:pPr>
          <w:r w:rsidRPr="007569E6">
            <w:rPr>
              <w:rStyle w:val="TextodoMarcadordePosio"/>
            </w:rPr>
            <w:t>Clique ou toque para introduzir uma data.</w:t>
          </w:r>
        </w:p>
      </w:docPartBody>
    </w:docPart>
    <w:docPart>
      <w:docPartPr>
        <w:name w:val="C218B68FB8ED2F47886FE332E05FDCDF"/>
        <w:category>
          <w:name w:val="Geral"/>
          <w:gallery w:val="placeholder"/>
        </w:category>
        <w:types>
          <w:type w:val="bbPlcHdr"/>
        </w:types>
        <w:behaviors>
          <w:behavior w:val="content"/>
        </w:behaviors>
        <w:guid w:val="{D58F8399-916D-BE4E-BF51-3E59C8D58A1F}"/>
      </w:docPartPr>
      <w:docPartBody>
        <w:p w:rsidR="00AC77EE" w:rsidRDefault="0022759D" w:rsidP="0022759D">
          <w:pPr>
            <w:pStyle w:val="C218B68FB8ED2F47886FE332E05FDCDF"/>
          </w:pPr>
          <w:r w:rsidRPr="007569E6">
            <w:rPr>
              <w:rStyle w:val="TextodoMarcadordePosio"/>
            </w:rPr>
            <w:t>Clique ou toque aqui para introduzir texto.</w:t>
          </w:r>
        </w:p>
      </w:docPartBody>
    </w:docPart>
    <w:docPart>
      <w:docPartPr>
        <w:name w:val="14AE31C8F78AAE4AB8CACFE6031CB5D1"/>
        <w:category>
          <w:name w:val="Geral"/>
          <w:gallery w:val="placeholder"/>
        </w:category>
        <w:types>
          <w:type w:val="bbPlcHdr"/>
        </w:types>
        <w:behaviors>
          <w:behavior w:val="content"/>
        </w:behaviors>
        <w:guid w:val="{2774AA39-0BEF-5942-9E31-F00DF3DB3F6D}"/>
      </w:docPartPr>
      <w:docPartBody>
        <w:p w:rsidR="00AC77EE" w:rsidRDefault="0022759D" w:rsidP="0022759D">
          <w:pPr>
            <w:pStyle w:val="14AE31C8F78AAE4AB8CACFE6031CB5D1"/>
          </w:pPr>
          <w:r w:rsidRPr="0072215A">
            <w:rPr>
              <w:rStyle w:val="TextodoMarcadordePosio"/>
              <w:color w:val="7F7F7F" w:themeColor="text1" w:themeTint="80"/>
            </w:rPr>
            <w:t>Nome completo do mestrando (OBRIGATÓRIO)</w:t>
          </w:r>
        </w:p>
      </w:docPartBody>
    </w:docPart>
    <w:docPart>
      <w:docPartPr>
        <w:name w:val="9CBBA03CAC278E47AFE5F6129B1B0AFE"/>
        <w:category>
          <w:name w:val="Geral"/>
          <w:gallery w:val="placeholder"/>
        </w:category>
        <w:types>
          <w:type w:val="bbPlcHdr"/>
        </w:types>
        <w:behaviors>
          <w:behavior w:val="content"/>
        </w:behaviors>
        <w:guid w:val="{B860E8EF-D7AF-674B-8935-85718F46BDB1}"/>
      </w:docPartPr>
      <w:docPartBody>
        <w:p w:rsidR="00AC77EE" w:rsidRDefault="0022759D" w:rsidP="0022759D">
          <w:pPr>
            <w:pStyle w:val="9CBBA03CAC278E47AFE5F6129B1B0AFE"/>
          </w:pPr>
          <w:r w:rsidRPr="0072215A">
            <w:rPr>
              <w:rStyle w:val="TextodoMarcadordePosio"/>
              <w:color w:val="808080" w:themeColor="background1" w:themeShade="80"/>
            </w:rPr>
            <w:t>Endereço Eletrónico (OPCIONAL)</w:t>
          </w:r>
        </w:p>
      </w:docPartBody>
    </w:docPart>
    <w:docPart>
      <w:docPartPr>
        <w:name w:val="EB032F39C977754F8FA6424C49A2438A"/>
        <w:category>
          <w:name w:val="Geral"/>
          <w:gallery w:val="placeholder"/>
        </w:category>
        <w:types>
          <w:type w:val="bbPlcHdr"/>
        </w:types>
        <w:behaviors>
          <w:behavior w:val="content"/>
        </w:behaviors>
        <w:guid w:val="{03B9D8C7-972F-A949-9676-D727F4B805D2}"/>
      </w:docPartPr>
      <w:docPartBody>
        <w:p w:rsidR="00AC77EE" w:rsidRDefault="0022759D" w:rsidP="0022759D">
          <w:pPr>
            <w:pStyle w:val="EB032F39C977754F8FA6424C49A2438A"/>
          </w:pPr>
          <w:r w:rsidRPr="0072215A">
            <w:rPr>
              <w:rStyle w:val="TextodoMarcadordePosio"/>
              <w:color w:val="808080" w:themeColor="background1" w:themeShade="80"/>
            </w:rPr>
            <w:t>Título do Tema (OBRIGATÓRIO)</w:t>
          </w:r>
        </w:p>
      </w:docPartBody>
    </w:docPart>
    <w:docPart>
      <w:docPartPr>
        <w:name w:val="D5D4978801436E49A82226A64AE29CEB"/>
        <w:category>
          <w:name w:val="Geral"/>
          <w:gallery w:val="placeholder"/>
        </w:category>
        <w:types>
          <w:type w:val="bbPlcHdr"/>
        </w:types>
        <w:behaviors>
          <w:behavior w:val="content"/>
        </w:behaviors>
        <w:guid w:val="{00CA1F1B-D4F5-7E4B-ACDC-824EA6DC57BD}"/>
      </w:docPartPr>
      <w:docPartBody>
        <w:p w:rsidR="00AC77EE" w:rsidRDefault="0022759D" w:rsidP="0022759D">
          <w:pPr>
            <w:pStyle w:val="D5D4978801436E49A82226A64AE29CEB"/>
          </w:pPr>
          <w:r w:rsidRPr="00243591">
            <w:rPr>
              <w:rStyle w:val="TextodoMarcadordePosio"/>
              <w:color w:val="808080" w:themeColor="background1" w:themeShade="80"/>
            </w:rPr>
            <w:t>Nome do Orientador (OBRIGATÓRIO)</w:t>
          </w:r>
        </w:p>
      </w:docPartBody>
    </w:docPart>
    <w:docPart>
      <w:docPartPr>
        <w:name w:val="E75989939FF96B4FB5DEF7EAD07C5058"/>
        <w:category>
          <w:name w:val="Geral"/>
          <w:gallery w:val="placeholder"/>
        </w:category>
        <w:types>
          <w:type w:val="bbPlcHdr"/>
        </w:types>
        <w:behaviors>
          <w:behavior w:val="content"/>
        </w:behaviors>
        <w:guid w:val="{D04301B6-5581-C84F-9ADF-DE0E5465A70A}"/>
      </w:docPartPr>
      <w:docPartBody>
        <w:p w:rsidR="00AC77EE" w:rsidRDefault="0022759D" w:rsidP="0022759D">
          <w:pPr>
            <w:pStyle w:val="E75989939FF96B4FB5DEF7EAD07C5058"/>
          </w:pPr>
          <w:r>
            <w:rPr>
              <w:rStyle w:val="TextodoMarcadordePosio"/>
            </w:rPr>
            <w:t>mês, ano</w:t>
          </w:r>
        </w:p>
      </w:docPartBody>
    </w:docPart>
    <w:docPart>
      <w:docPartPr>
        <w:name w:val="A7FC8085A2749743B4F693B4B36C71EB"/>
        <w:category>
          <w:name w:val="Geral"/>
          <w:gallery w:val="placeholder"/>
        </w:category>
        <w:types>
          <w:type w:val="bbPlcHdr"/>
        </w:types>
        <w:behaviors>
          <w:behavior w:val="content"/>
        </w:behaviors>
        <w:guid w:val="{F213E512-2559-6042-8C9B-E52A0FD088DA}"/>
      </w:docPartPr>
      <w:docPartBody>
        <w:p w:rsidR="00AC77EE" w:rsidRDefault="0022759D" w:rsidP="0022759D">
          <w:pPr>
            <w:pStyle w:val="A7FC8085A2749743B4F693B4B36C71EB"/>
          </w:pPr>
          <w:r>
            <w:rPr>
              <w:rStyle w:val="TextodoMarcadordePosio"/>
            </w:rPr>
            <w:t>Nome do Mestrado</w:t>
          </w:r>
          <w:r w:rsidRPr="007569E6">
            <w:rPr>
              <w:rStyle w:val="TextodoMarcadordePosio"/>
            </w:rPr>
            <w:t>.</w:t>
          </w:r>
        </w:p>
      </w:docPartBody>
    </w:docPart>
    <w:docPart>
      <w:docPartPr>
        <w:name w:val="AA69E897C6B58A4F9771B0B722E3FFD7"/>
        <w:category>
          <w:name w:val="Geral"/>
          <w:gallery w:val="placeholder"/>
        </w:category>
        <w:types>
          <w:type w:val="bbPlcHdr"/>
        </w:types>
        <w:behaviors>
          <w:behavior w:val="content"/>
        </w:behaviors>
        <w:guid w:val="{BF385E48-CEE7-6D48-99F1-C16253998E9A}"/>
      </w:docPartPr>
      <w:docPartBody>
        <w:p w:rsidR="00AC77EE" w:rsidRDefault="0022759D" w:rsidP="0022759D">
          <w:pPr>
            <w:pStyle w:val="AA69E897C6B58A4F9771B0B722E3FFD7"/>
          </w:pPr>
          <w:r w:rsidRPr="007569E6">
            <w:rPr>
              <w:rStyle w:val="TextodoMarcadordePosio"/>
            </w:rPr>
            <w:t>Clique ou toque para introduzir uma data.</w:t>
          </w:r>
        </w:p>
      </w:docPartBody>
    </w:docPart>
    <w:docPart>
      <w:docPartPr>
        <w:name w:val="DefaultPlaceholder_-1854013440"/>
        <w:category>
          <w:name w:val="Geral"/>
          <w:gallery w:val="placeholder"/>
        </w:category>
        <w:types>
          <w:type w:val="bbPlcHdr"/>
        </w:types>
        <w:behaviors>
          <w:behavior w:val="content"/>
        </w:behaviors>
        <w:guid w:val="{FC8F024B-47E3-4F16-A240-D9CB41FFEAFA}"/>
      </w:docPartPr>
      <w:docPartBody>
        <w:p w:rsidR="00C83A3E" w:rsidRDefault="006D7A9E">
          <w:r w:rsidRPr="005872AF">
            <w:rPr>
              <w:rStyle w:val="TextodoMarcadordePosio"/>
            </w:rPr>
            <w:t>Clique ou toque aqui para introduzir texto.</w:t>
          </w:r>
        </w:p>
      </w:docPartBody>
    </w:docPart>
    <w:docPart>
      <w:docPartPr>
        <w:name w:val="54198A89CB7741099E2012955C9C944E"/>
        <w:category>
          <w:name w:val="Geral"/>
          <w:gallery w:val="placeholder"/>
        </w:category>
        <w:types>
          <w:type w:val="bbPlcHdr"/>
        </w:types>
        <w:behaviors>
          <w:behavior w:val="content"/>
        </w:behaviors>
        <w:guid w:val="{1D3806BC-DDEA-4995-ADCC-793D37966648}"/>
      </w:docPartPr>
      <w:docPartBody>
        <w:p w:rsidR="00EA0D95" w:rsidRDefault="007632B2" w:rsidP="007632B2">
          <w:pPr>
            <w:pStyle w:val="54198A89CB7741099E2012955C9C944E"/>
          </w:pPr>
          <w:r w:rsidRPr="005872AF">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imes New Roman (Cabeçalho CS)">
    <w:altName w:val="Times New Roman"/>
    <w:charset w:val="00"/>
    <w:family w:val="roman"/>
    <w:pitch w:val="variable"/>
    <w:sig w:usb0="E0002AEF" w:usb1="C0007841" w:usb2="00000009" w:usb3="00000000" w:csb0="000001FF" w:csb1="00000000"/>
  </w:font>
  <w:font w:name="Liberation Mono">
    <w:altName w:val="Courier New"/>
    <w:charset w:val="01"/>
    <w:family w:val="roman"/>
    <w:pitch w:val="variable"/>
  </w:font>
  <w:font w:name="OpenSymbol">
    <w:altName w:val="Segoe UI Symbol"/>
    <w:charset w:val="02"/>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59D"/>
    <w:rsid w:val="001041DD"/>
    <w:rsid w:val="0022759D"/>
    <w:rsid w:val="00295D5A"/>
    <w:rsid w:val="002969E2"/>
    <w:rsid w:val="00330594"/>
    <w:rsid w:val="00352901"/>
    <w:rsid w:val="00395572"/>
    <w:rsid w:val="004C7458"/>
    <w:rsid w:val="005D37FA"/>
    <w:rsid w:val="006116B7"/>
    <w:rsid w:val="006B17D7"/>
    <w:rsid w:val="006D7A9E"/>
    <w:rsid w:val="00726B72"/>
    <w:rsid w:val="00753867"/>
    <w:rsid w:val="007632B2"/>
    <w:rsid w:val="007F1060"/>
    <w:rsid w:val="00952333"/>
    <w:rsid w:val="00A31047"/>
    <w:rsid w:val="00A707AF"/>
    <w:rsid w:val="00AC77EE"/>
    <w:rsid w:val="00B04909"/>
    <w:rsid w:val="00B418BE"/>
    <w:rsid w:val="00B460DB"/>
    <w:rsid w:val="00BC7BC1"/>
    <w:rsid w:val="00C83A3E"/>
    <w:rsid w:val="00D26329"/>
    <w:rsid w:val="00DE1C98"/>
    <w:rsid w:val="00E116BE"/>
    <w:rsid w:val="00E675D9"/>
    <w:rsid w:val="00EA0D95"/>
    <w:rsid w:val="00EC330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deCapaefolhaderosto-IPCA">
    <w:name w:val="Título de Capa e folha de rosto- IPCA"/>
    <w:basedOn w:val="Normal"/>
    <w:link w:val="TtulodeCapaefolhaderosto-IPCACarter"/>
    <w:uiPriority w:val="1"/>
    <w:qFormat/>
    <w:rsid w:val="0022759D"/>
    <w:pPr>
      <w:tabs>
        <w:tab w:val="left" w:pos="3740"/>
        <w:tab w:val="left" w:pos="4253"/>
      </w:tabs>
      <w:spacing w:after="0" w:line="360" w:lineRule="exact"/>
    </w:pPr>
    <w:rPr>
      <w:rFonts w:ascii="Lucida Sans Unicode" w:eastAsiaTheme="minorHAnsi" w:hAnsi="Lucida Sans Unicode" w:cs="Lucida Sans Unicode"/>
      <w:b/>
      <w:caps/>
      <w:kern w:val="0"/>
      <w:sz w:val="28"/>
      <w:szCs w:val="28"/>
      <w:lang w:eastAsia="en-US"/>
      <w14:ligatures w14:val="none"/>
    </w:rPr>
  </w:style>
  <w:style w:type="character" w:customStyle="1" w:styleId="TtulodeCapaefolhaderosto-IPCACarter">
    <w:name w:val="Título de Capa e folha de rosto- IPCA Caráter"/>
    <w:basedOn w:val="Tipodeletrapredefinidodopargrafo"/>
    <w:link w:val="TtulodeCapaefolhaderosto-IPCA"/>
    <w:uiPriority w:val="1"/>
    <w:rsid w:val="0022759D"/>
    <w:rPr>
      <w:rFonts w:ascii="Lucida Sans Unicode" w:eastAsiaTheme="minorHAnsi" w:hAnsi="Lucida Sans Unicode" w:cs="Lucida Sans Unicode"/>
      <w:b/>
      <w:caps/>
      <w:kern w:val="0"/>
      <w:sz w:val="28"/>
      <w:szCs w:val="28"/>
      <w:lang w:eastAsia="en-US"/>
      <w14:ligatures w14:val="none"/>
    </w:rPr>
  </w:style>
  <w:style w:type="paragraph" w:customStyle="1" w:styleId="AD07A83A42D4C148AE0B9570A0A782CC">
    <w:name w:val="AD07A83A42D4C148AE0B9570A0A782CC"/>
    <w:rsid w:val="0022759D"/>
  </w:style>
  <w:style w:type="character" w:styleId="TextodoMarcadordePosio">
    <w:name w:val="Placeholder Text"/>
    <w:basedOn w:val="Tipodeletrapredefinidodopargrafo"/>
    <w:uiPriority w:val="99"/>
    <w:semiHidden/>
    <w:qFormat/>
    <w:rsid w:val="007632B2"/>
    <w:rPr>
      <w:color w:val="808080"/>
    </w:rPr>
  </w:style>
  <w:style w:type="paragraph" w:customStyle="1" w:styleId="397CFD3FBF5AD342BBB2B0839E862268">
    <w:name w:val="397CFD3FBF5AD342BBB2B0839E862268"/>
    <w:rsid w:val="0022759D"/>
  </w:style>
  <w:style w:type="paragraph" w:customStyle="1" w:styleId="5D177C66921F5B44A758D84CB5CDF240">
    <w:name w:val="5D177C66921F5B44A758D84CB5CDF240"/>
    <w:rsid w:val="0022759D"/>
  </w:style>
  <w:style w:type="paragraph" w:customStyle="1" w:styleId="157D746FD4EC6C42B5ACEAE0BDC6B9C0">
    <w:name w:val="157D746FD4EC6C42B5ACEAE0BDC6B9C0"/>
    <w:rsid w:val="0022759D"/>
  </w:style>
  <w:style w:type="paragraph" w:customStyle="1" w:styleId="1A2B23454CF2C1489A85C874D2C1B824">
    <w:name w:val="1A2B23454CF2C1489A85C874D2C1B824"/>
    <w:rsid w:val="0022759D"/>
  </w:style>
  <w:style w:type="paragraph" w:customStyle="1" w:styleId="C8AFE9ECB29E7542B9AACE44C7222ED0">
    <w:name w:val="C8AFE9ECB29E7542B9AACE44C7222ED0"/>
    <w:rsid w:val="0022759D"/>
  </w:style>
  <w:style w:type="paragraph" w:customStyle="1" w:styleId="A63241E135B510489CEE83C13C0117C5">
    <w:name w:val="A63241E135B510489CEE83C13C0117C5"/>
    <w:rsid w:val="0022759D"/>
  </w:style>
  <w:style w:type="paragraph" w:customStyle="1" w:styleId="3905910296F7AD4684605D0BA979D5BB">
    <w:name w:val="3905910296F7AD4684605D0BA979D5BB"/>
    <w:rsid w:val="0022759D"/>
  </w:style>
  <w:style w:type="paragraph" w:customStyle="1" w:styleId="25E5F8B3BE1C9D479B149C52FBBC0CE1">
    <w:name w:val="25E5F8B3BE1C9D479B149C52FBBC0CE1"/>
    <w:rsid w:val="0022759D"/>
  </w:style>
  <w:style w:type="paragraph" w:customStyle="1" w:styleId="D9F927F1005A044AA50A5C9C4BE16E95">
    <w:name w:val="D9F927F1005A044AA50A5C9C4BE16E95"/>
    <w:rsid w:val="0022759D"/>
  </w:style>
  <w:style w:type="paragraph" w:customStyle="1" w:styleId="C218B68FB8ED2F47886FE332E05FDCDF">
    <w:name w:val="C218B68FB8ED2F47886FE332E05FDCDF"/>
    <w:rsid w:val="0022759D"/>
  </w:style>
  <w:style w:type="paragraph" w:customStyle="1" w:styleId="14AE31C8F78AAE4AB8CACFE6031CB5D1">
    <w:name w:val="14AE31C8F78AAE4AB8CACFE6031CB5D1"/>
    <w:rsid w:val="0022759D"/>
  </w:style>
  <w:style w:type="paragraph" w:customStyle="1" w:styleId="9CBBA03CAC278E47AFE5F6129B1B0AFE">
    <w:name w:val="9CBBA03CAC278E47AFE5F6129B1B0AFE"/>
    <w:rsid w:val="0022759D"/>
  </w:style>
  <w:style w:type="paragraph" w:customStyle="1" w:styleId="EB032F39C977754F8FA6424C49A2438A">
    <w:name w:val="EB032F39C977754F8FA6424C49A2438A"/>
    <w:rsid w:val="0022759D"/>
  </w:style>
  <w:style w:type="paragraph" w:customStyle="1" w:styleId="D5D4978801436E49A82226A64AE29CEB">
    <w:name w:val="D5D4978801436E49A82226A64AE29CEB"/>
    <w:rsid w:val="0022759D"/>
  </w:style>
  <w:style w:type="paragraph" w:customStyle="1" w:styleId="E75989939FF96B4FB5DEF7EAD07C5058">
    <w:name w:val="E75989939FF96B4FB5DEF7EAD07C5058"/>
    <w:rsid w:val="0022759D"/>
  </w:style>
  <w:style w:type="paragraph" w:customStyle="1" w:styleId="A7FC8085A2749743B4F693B4B36C71EB">
    <w:name w:val="A7FC8085A2749743B4F693B4B36C71EB"/>
    <w:rsid w:val="0022759D"/>
  </w:style>
  <w:style w:type="paragraph" w:customStyle="1" w:styleId="AA69E897C6B58A4F9771B0B722E3FFD7">
    <w:name w:val="AA69E897C6B58A4F9771B0B722E3FFD7"/>
    <w:rsid w:val="0022759D"/>
  </w:style>
  <w:style w:type="paragraph" w:customStyle="1" w:styleId="54198A89CB7741099E2012955C9C944E">
    <w:name w:val="54198A89CB7741099E2012955C9C944E"/>
    <w:rsid w:val="007632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8B334-9917-4F42-8905-9FE25572A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Application>LibreOffice/26.2.5.2$Linux_X86_64 LibreOffice_project/6d2b0d33fb0f5da53a12f98bed3e9973e56ff1f0</Application>
  <AppVersion>15.0000</AppVersion>
  <Pages>223</Pages>
  <Words>67244</Words>
  <Characters>399220</Characters>
  <CharactersWithSpaces>463328</CharactersWithSpaces>
  <Paragraphs>3473</Paragraphs>
  <Company>ESD - IPCA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2026-07-21T22:03:00Z</dcterms:created>
  <dc:creator>Demétrio Matos</dc:creator>
  <dc:description/>
  <dc:language>pt-PT</dc:language>
  <cp:lastModifiedBy/>
  <cp:lastPrinted>2024-11-27T19:04:00Z</cp:lastPrinted>
  <dcterms:modified xsi:type="dcterms:W3CDTF">2026-09-14T17:50:31Z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d1d7dbfd-1dc5-4a6a-b747-6c5f8f78f6f7</vt:lpwstr>
  </property>
</Properties>
</file>