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40</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47</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59</w:t>
      </w:r>
    </w:p>
    <w:p>
      <w:pPr>
        <w:pStyle w:val="TOC1"/>
        <w:rPr/>
      </w:pPr>
      <w:r>
        <w:rPr/>
        <w:t>Tabela 4.11 — Cronologia das principais iterações paramétricas</w:t>
        <w:tab/>
        <w:t>60</w:t>
      </w:r>
    </w:p>
    <w:p>
      <w:pPr>
        <w:pStyle w:val="TOC1"/>
        <w:rPr/>
      </w:pPr>
      <w:r>
        <w:rPr/>
        <w:t>Tabela 5.1 — Fluxo de dados e responsabilidades da plataforma</w:t>
        <w:tab/>
        <w:t>65</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81</w:t>
      </w:r>
    </w:p>
    <w:p>
      <w:pPr>
        <w:pStyle w:val="TOC1"/>
        <w:rPr/>
      </w:pPr>
      <w:r>
        <w:rPr/>
        <w:t>Tabela 6.2 — Distribuição de tarefas entre regras, IA e supervisão humana</w:t>
        <w:tab/>
        <w:t>84</w:t>
      </w:r>
    </w:p>
    <w:p>
      <w:pPr>
        <w:pStyle w:val="TOC1"/>
        <w:rPr/>
      </w:pPr>
      <w:r>
        <w:rPr/>
        <w:t>Tabela 8.1 — Evidência do funcionamento da plataforma no processo de projeto</w:t>
        <w:tab/>
        <w:t>90</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94</w:t>
      </w:r>
    </w:p>
    <w:p>
      <w:pPr>
        <w:pStyle w:val="TOC1"/>
        <w:rPr/>
      </w:pPr>
      <w:r>
        <w:rPr/>
        <w:t>Tabela 8.4 — Descrições submetidas nos cenários de avaliação da IA</w:t>
        <w:tab/>
        <w:t>98</w:t>
      </w:r>
    </w:p>
    <w:p>
      <w:pPr>
        <w:pStyle w:val="TOC1"/>
        <w:rPr/>
      </w:pPr>
      <w:r>
        <w:rPr/>
        <w:t>Tabela 8.5 — Síntese da avaliação das sugestões de IA</w:t>
        <w:tab/>
        <w:t>99</w:t>
      </w:r>
    </w:p>
    <w:p>
      <w:pPr>
        <w:pStyle w:val="TOC1"/>
        <w:rPr/>
      </w:pPr>
      <w:r>
        <w:rPr/>
        <w:t>Tabela 8.6 — Modelos e mecanismos de escala avaliados</w:t>
        <w:tab/>
        <w:t>101</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105</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5</w:t>
      </w:r>
    </w:p>
    <w:p>
      <w:pPr>
        <w:pStyle w:val="TOC1"/>
        <w:rPr/>
      </w:pPr>
      <w:r>
        <w:rPr/>
        <w:t>Figura 2.2 — Utilização, rejeição primária e rejeição secundária de próteses do membro superior adquiridas.</w:t>
        <w:tab/>
        <w:t>7</w:t>
      </w:r>
    </w:p>
    <w:p>
      <w:pPr>
        <w:pStyle w:val="TOC1"/>
        <w:rPr/>
      </w:pPr>
      <w:r>
        <w:rPr/>
        <w:t>Figura 2.3 — Fluxo digital entre aquisição, CAD/CAM e fabrico aditivo em próteses e ortóteses.</w:t>
        <w:tab/>
        <w:t>12</w:t>
      </w:r>
    </w:p>
    <w:p>
      <w:pPr>
        <w:pStyle w:val="TOC1"/>
        <w:rPr/>
      </w:pPr>
      <w:r>
        <w:rPr/>
        <w:t>Figura 2.4 — Exemplo de configurador digital para personalização de uma prótese impressa em 3D.</w:t>
        <w:tab/>
        <w:t>14</w:t>
      </w:r>
    </w:p>
    <w:p>
      <w:pPr>
        <w:pStyle w:val="TOC1"/>
        <w:rPr/>
      </w:pPr>
      <w:r>
        <w:rPr/>
        <w:t>Figura 2.5 — Marcos anatómicos e medidas de referência da mão para fins de personalização.</w:t>
        <w:tab/>
        <w:t>18</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26</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HandFab</w:t>
        <w:tab/>
        <w:t>63</w:t>
      </w:r>
    </w:p>
    <w:p>
      <w:pPr>
        <w:pStyle w:val="TOC1"/>
        <w:rPr/>
      </w:pPr>
      <w:r>
        <w:rPr/>
        <w:t>Figura 5.2 — Painel de configuração dos perfis de utilizador na plataforma HandFab.</w:t>
        <w:tab/>
        <w:t>64</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67</w:t>
      </w:r>
    </w:p>
    <w:p>
      <w:pPr>
        <w:pStyle w:val="TOC1"/>
        <w:rPr/>
      </w:pPr>
      <w:r>
        <w:rPr/>
        <w:t>Figura 5.5 — Fluxo geral de produção personalizada de próteses a partir de digitalização, CAD adaptativo e fabrico aditivo.</w:t>
        <w:tab/>
        <w:t>69</w:t>
      </w:r>
    </w:p>
    <w:p>
      <w:pPr>
        <w:pStyle w:val="TOC1"/>
        <w:rPr/>
      </w:pPr>
      <w:r>
        <w:rPr/>
        <w:t>Figura 5.6 — Visualização do código OpenSCAD e da geometria correspondente na plataforma HandFab.</w:t>
        <w:tab/>
        <w:t>72</w:t>
      </w:r>
    </w:p>
    <w:p>
      <w:pPr>
        <w:pStyle w:val="TOC1"/>
        <w:rPr/>
      </w:pPr>
      <w:r>
        <w:rPr/>
        <w:t>Figura 5.7 — Ferramenta paramétrica para configuração de ajudas técnicas com variação de dimensões, materiais e peso.</w:t>
        <w:tab/>
        <w:t>73</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85</w:t>
      </w:r>
    </w:p>
    <w:p>
      <w:pPr>
        <w:pStyle w:val="TOC1"/>
        <w:rPr/>
      </w:pPr>
      <w:r>
        <w:rPr/>
        <w:t>Figura 7.1 — Exemplo publicado de teste de uma prótese impressa em 3D com um utilizador.</w:t>
        <w:tab/>
        <w:t>88</w:t>
      </w:r>
    </w:p>
    <w:p>
      <w:pPr>
        <w:pStyle w:val="TOC1"/>
        <w:rPr/>
      </w:pPr>
      <w:r>
        <w:rPr/>
        <w:t>Figura 8.1 — Componentes impressos e estados preliminares de montagem: segmentos digitais articulados, palma e elementos separados.</w:t>
        <w:tab/>
        <w:t>96</w:t>
      </w:r>
    </w:p>
    <w:p>
      <w:pPr>
        <w:pStyle w:val="TOC1"/>
        <w:rPr/>
      </w:pPr>
      <w:r>
        <w:rPr/>
        <w:t>Figura 8.2 — Séries físicas de segmentos identificados pelos perfis de ensaio de 8, 15, 28 e 70 anos.</w:t>
        <w:tab/>
        <w:t>96</w:t>
      </w:r>
    </w:p>
    <w:p>
      <w:pPr>
        <w:pStyle w:val="TOC1"/>
        <w:rPr/>
      </w:pPr>
      <w:r>
        <w:rPr/>
        <w:t>Figura 8.3 — UnLimbited Phoenix configurada para o perfil de ensaio de 15 anos, apresentada em sete vistas da montagem física.</w:t>
        <w:tab/>
        <w:t>96</w:t>
      </w:r>
    </w:p>
    <w:p>
      <w:pPr>
        <w:pStyle w:val="TOC1"/>
        <w:rPr/>
      </w:pPr>
      <w:r>
        <w:rPr/>
        <w:t>Figura 8.4 — Tarefas funcionais usadas em avaliação de prótese personalizada de membro superior.</w:t>
        <w:tab/>
        <w:t>97</w:t>
      </w:r>
    </w:p>
    <w:p>
      <w:pPr>
        <w:pStyle w:val="TOC1"/>
        <w:rPr/>
      </w:pPr>
      <w:r>
        <w:rPr/>
        <w:t>Figura C.1 — Fluxo entre dados de entrada, mapa comum, regras específicas dos modelos e geometria exportável. Produção própria.</w:t>
        <w:tab/>
        <w:t>147</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1</w:t>
      </w:r>
    </w:p>
    <w:p>
      <w:pPr>
        <w:pStyle w:val="TOC2"/>
        <w:rPr/>
      </w:pPr>
      <w:r>
        <w:rPr/>
        <w:t>1.3 Objetivos da investigação</w:t>
        <w:tab/>
        <w:t>1</w:t>
      </w:r>
    </w:p>
    <w:p>
      <w:pPr>
        <w:pStyle w:val="TOC3"/>
        <w:tabs>
          <w:tab w:val="clear" w:pos="708"/>
          <w:tab w:val="right" w:pos="8204" w:leader="dot"/>
        </w:tabs>
        <w:rPr/>
      </w:pPr>
      <w:r>
        <w:rPr/>
        <w:t>1.3.1 Objetivo geral</w:t>
        <w:tab/>
        <w:t>1</w:t>
      </w:r>
    </w:p>
    <w:p>
      <w:pPr>
        <w:pStyle w:val="TOC3"/>
        <w:tabs>
          <w:tab w:val="clear" w:pos="708"/>
          <w:tab w:val="right" w:pos="8204" w:leader="dot"/>
        </w:tabs>
        <w:rPr/>
      </w:pPr>
      <w:r>
        <w:rPr/>
        <w:t>1.3.2 Objetivos específicos</w:t>
        <w:tab/>
        <w:t>1</w:t>
      </w:r>
    </w:p>
    <w:p>
      <w:pPr>
        <w:pStyle w:val="TOC2"/>
        <w:rPr/>
      </w:pPr>
      <w:r>
        <w:rPr/>
        <w:t>1.4 Abordagem metodológica geral</w:t>
        <w:tab/>
        <w:t>2</w:t>
      </w:r>
    </w:p>
    <w:p>
      <w:pPr>
        <w:pStyle w:val="TOC2"/>
        <w:rPr/>
      </w:pPr>
      <w:r>
        <w:rPr/>
        <w:t>1.5 Estrutura da INVESTIGAção</w:t>
        <w:tab/>
        <w:t>2</w:t>
      </w:r>
    </w:p>
    <w:p>
      <w:pPr>
        <w:pStyle w:val="TOC1"/>
        <w:rPr/>
      </w:pPr>
      <w:r>
        <w:rPr/>
        <w:t>Capítulo 2 — Enquadramento Teórico e Estado da Arte</w:t>
        <w:tab/>
        <w:t>3</w:t>
      </w:r>
    </w:p>
    <w:p>
      <w:pPr>
        <w:pStyle w:val="TOC2"/>
        <w:rPr/>
      </w:pPr>
      <w:r>
        <w:rPr/>
        <w:t>2.1 Prótese de membro superior e dispositivos médicos</w:t>
        <w:tab/>
        <w:t>3</w:t>
      </w:r>
    </w:p>
    <w:p>
      <w:pPr>
        <w:pStyle w:val="TOC2"/>
        <w:rPr/>
      </w:pPr>
      <w:r>
        <w:rPr/>
        <w:t>Tipologias de próteses de membro superior</w:t>
        <w:tab/>
        <w:t>3</w:t>
      </w:r>
    </w:p>
    <w:p>
      <w:pPr>
        <w:pStyle w:val="TOC2"/>
        <w:rPr/>
      </w:pPr>
      <w:r>
        <w:rPr/>
        <w:t>Próteses mecânicas acionadas pelo corpo (body-powered)</w:t>
        <w:tab/>
        <w:t>3</w:t>
      </w:r>
    </w:p>
    <w:p>
      <w:pPr>
        <w:pStyle w:val="TOC2"/>
        <w:rPr/>
      </w:pPr>
      <w:r>
        <w:rPr/>
        <w:t>Próteses mioeléctricas</w:t>
        <w:tab/>
        <w:t>4</w:t>
      </w:r>
    </w:p>
    <w:p>
      <w:pPr>
        <w:pStyle w:val="TOC2"/>
        <w:rPr/>
      </w:pPr>
      <w:r>
        <w:rPr/>
        <w:t>Sistemas híbridos</w:t>
        <w:tab/>
        <w:t>4</w:t>
      </w:r>
    </w:p>
    <w:p>
      <w:pPr>
        <w:pStyle w:val="TOC2"/>
        <w:rPr/>
      </w:pPr>
      <w:r>
        <w:rPr/>
        <w:t>Considerações clínicas e funcionais</w:t>
        <w:tab/>
        <w:t>5</w:t>
      </w:r>
    </w:p>
    <w:p>
      <w:pPr>
        <w:pStyle w:val="TOC2"/>
        <w:rPr/>
      </w:pPr>
      <w:r>
        <w:rPr/>
        <w:t>Medição de resultados e abandono protésico</w:t>
        <w:tab/>
        <w:t>6</w:t>
      </w:r>
    </w:p>
    <w:p>
      <w:pPr>
        <w:pStyle w:val="TOC2"/>
        <w:rPr/>
      </w:pPr>
      <w:r>
        <w:rPr/>
        <w:t>Enquadramento regulatório enquanto dispositivo médico</w:t>
        <w:tab/>
        <w:t>7</w:t>
      </w:r>
    </w:p>
    <w:p>
      <w:pPr>
        <w:pStyle w:val="TOC2"/>
        <w:rPr/>
      </w:pPr>
      <w:r>
        <w:rPr/>
        <w:t>2.2 design industrial, design inclusivo e design centrado no utilizador</w:t>
        <w:tab/>
        <w:t>8</w:t>
      </w:r>
    </w:p>
    <w:p>
      <w:pPr>
        <w:pStyle w:val="TOC2"/>
        <w:rPr/>
      </w:pPr>
      <w:r>
        <w:rPr/>
        <w:t>Design industrial em dispositivos médicos</w:t>
        <w:tab/>
        <w:t>8</w:t>
      </w:r>
    </w:p>
    <w:p>
      <w:pPr>
        <w:pStyle w:val="TOC2"/>
        <w:rPr/>
      </w:pPr>
      <w:r>
        <w:rPr/>
        <w:t>design inclusivo e design universal</w:t>
        <w:tab/>
        <w:t>9</w:t>
      </w:r>
    </w:p>
    <w:p>
      <w:pPr>
        <w:pStyle w:val="TOC2"/>
        <w:rPr/>
      </w:pPr>
      <w:r>
        <w:rPr/>
        <w:t>design centrado no utilizador e design centrado no humano</w:t>
        <w:tab/>
        <w:t>9</w:t>
      </w:r>
    </w:p>
    <w:p>
      <w:pPr>
        <w:pStyle w:val="TOC2"/>
        <w:rPr/>
      </w:pPr>
      <w:r>
        <w:rPr/>
        <w:t>Design Participativo e Co-design</w:t>
        <w:tab/>
        <w:t>10</w:t>
      </w:r>
    </w:p>
    <w:p>
      <w:pPr>
        <w:pStyle w:val="TOC2"/>
        <w:rPr/>
      </w:pPr>
      <w:r>
        <w:rPr/>
        <w:t>Metodologias, instrumentos e avaliação</w:t>
        <w:tab/>
        <w:t>10</w:t>
      </w:r>
    </w:p>
    <w:p>
      <w:pPr>
        <w:pStyle w:val="TOC2"/>
        <w:rPr/>
      </w:pPr>
      <w:r>
        <w:rPr/>
        <w:t>Desafios e lacunas</w:t>
        <w:tab/>
        <w:t>11</w:t>
      </w:r>
    </w:p>
    <w:p>
      <w:pPr>
        <w:pStyle w:val="TOC2"/>
        <w:rPr/>
      </w:pPr>
      <w:r>
        <w:rPr/>
        <w:t>2.3 Fabrico Aditivo e parametrização no design de produto</w:t>
        <w:tab/>
        <w:t>11</w:t>
      </w:r>
    </w:p>
    <w:p>
      <w:pPr>
        <w:pStyle w:val="TOC2"/>
        <w:rPr/>
      </w:pPr>
      <w:r>
        <w:rPr/>
        <w:t>Modelação Paramétrica e Espaços de Variação</w:t>
        <w:tab/>
        <w:t>12</w:t>
      </w:r>
    </w:p>
    <w:p>
      <w:pPr>
        <w:pStyle w:val="TOC2"/>
        <w:rPr/>
      </w:pPr>
      <w:r>
        <w:rPr/>
        <w:t>Integração com Fabrico Aditivo e Design for Additive Manufacturing</w:t>
        <w:tab/>
        <w:t>13</w:t>
      </w:r>
    </w:p>
    <w:p>
      <w:pPr>
        <w:pStyle w:val="TOC2"/>
        <w:rPr/>
      </w:pPr>
      <w:r>
        <w:rPr/>
        <w:t>Configuradores e Cocriação Digital</w:t>
        <w:tab/>
        <w:t>13</w:t>
      </w:r>
    </w:p>
    <w:p>
      <w:pPr>
        <w:pStyle w:val="TOC2"/>
        <w:rPr/>
      </w:pPr>
      <w:r>
        <w:rPr/>
        <w:t>Otimização, Geração e Avaliação de Desempenho</w:t>
        <w:tab/>
        <w:t>15</w:t>
      </w:r>
    </w:p>
    <w:p>
      <w:pPr>
        <w:pStyle w:val="TOC2"/>
        <w:rPr/>
      </w:pPr>
      <w:r>
        <w:rPr/>
        <w:t>Implicações para o design industrial</w:t>
        <w:tab/>
        <w:t>15</w:t>
      </w:r>
    </w:p>
    <w:p>
      <w:pPr>
        <w:pStyle w:val="TOC2"/>
        <w:rPr/>
      </w:pPr>
      <w:r>
        <w:rPr/>
        <w:t>2.4 Próteses open source de membro superior passíveis de impressão 3D</w:t>
        <w:tab/>
        <w:t>15</w:t>
      </w:r>
    </w:p>
    <w:p>
      <w:pPr>
        <w:pStyle w:val="TOC2"/>
        <w:rPr/>
      </w:pPr>
      <w:r>
        <w:rPr/>
        <w:t>2.5 Antropometria aplicada ao design protésico</w:t>
        <w:tab/>
        <w:t>17</w:t>
      </w:r>
    </w:p>
    <w:p>
      <w:pPr>
        <w:pStyle w:val="TOC2"/>
        <w:rPr/>
      </w:pPr>
      <w:r>
        <w:rPr/>
        <w:t>Da dimensão linear à “forma” como dado de projeto</w:t>
        <w:tab/>
        <w:t>18</w:t>
      </w:r>
    </w:p>
    <w:p>
      <w:pPr>
        <w:pStyle w:val="TOC2"/>
        <w:rPr/>
      </w:pPr>
      <w:r>
        <w:rPr/>
        <w:t>Métodos de recolha antropométrica em próteses e tecnologias de apoio</w:t>
        <w:tab/>
        <w:t>18</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20</w:t>
      </w:r>
    </w:p>
    <w:p>
      <w:pPr>
        <w:pStyle w:val="TOC2"/>
        <w:rPr/>
      </w:pPr>
      <w:r>
        <w:rPr/>
        <w:t>Estruturação de dados</w:t>
        <w:tab/>
        <w:t>21</w:t>
      </w:r>
    </w:p>
    <w:p>
      <w:pPr>
        <w:pStyle w:val="TOC2"/>
        <w:rPr/>
      </w:pPr>
      <w:r>
        <w:rPr/>
        <w:t>2.6 Inteligência Artificial no processo de design</w:t>
        <w:tab/>
        <w:t>21</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23</w:t>
      </w:r>
    </w:p>
    <w:p>
      <w:pPr>
        <w:pStyle w:val="TOC2"/>
        <w:rPr/>
      </w:pPr>
      <w:r>
        <w:rPr/>
        <w:t>IA ao longo do processo de design</w:t>
        <w:tab/>
        <w:t>24</w:t>
      </w:r>
    </w:p>
    <w:p>
      <w:pPr>
        <w:pStyle w:val="TOC2"/>
        <w:rPr/>
      </w:pPr>
      <w:r>
        <w:rPr/>
        <w:t>Papel do designer, riscos e necessidade de supervisão humana</w:t>
        <w:tab/>
        <w:t>24</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27</w:t>
      </w:r>
    </w:p>
    <w:p>
      <w:pPr>
        <w:pStyle w:val="TOC2"/>
        <w:rPr/>
      </w:pPr>
      <w:r>
        <w:rPr/>
        <w:t>Fluxos participativos e infra-estruturas remotas</w:t>
        <w:tab/>
        <w:t>28</w:t>
      </w:r>
    </w:p>
    <w:p>
      <w:pPr>
        <w:pStyle w:val="TOC2"/>
        <w:rPr/>
      </w:pPr>
      <w:r>
        <w:rPr/>
        <w:t>Aplicações em saúde, reabilitação e próteses</w:t>
        <w:tab/>
        <w:t>28</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31</w:t>
      </w:r>
    </w:p>
    <w:p>
      <w:pPr>
        <w:pStyle w:val="TOC2"/>
        <w:rPr/>
      </w:pPr>
      <w:r>
        <w:rPr/>
        <w:t>Lacuna 2 — Desalinhamento entre necessidades identificadas, métricas objetivas, e qualidade de vida</w:t>
        <w:tab/>
        <w:t>31</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33</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41</w:t>
      </w:r>
    </w:p>
    <w:p>
      <w:pPr>
        <w:pStyle w:val="TOC2"/>
        <w:rPr/>
      </w:pPr>
      <w:r>
        <w:rPr/>
        <w:t>3.5 Critérios de avaliação e limitações metodológicas</w:t>
        <w:tab/>
        <w:t>43</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55</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62</w:t>
      </w:r>
    </w:p>
    <w:p>
      <w:pPr>
        <w:pStyle w:val="TOC2"/>
        <w:rPr/>
      </w:pPr>
      <w:r>
        <w:rPr/>
        <w:t>5.1 Enquadramento conceptual e perfis de utilizador</w:t>
        <w:tab/>
        <w:t>62</w:t>
      </w:r>
    </w:p>
    <w:p>
      <w:pPr>
        <w:pStyle w:val="TOC2"/>
        <w:rPr/>
      </w:pPr>
      <w:r>
        <w:rPr/>
        <w:t>5.2 Arquitetura geral do sistema</w:t>
        <w:tab/>
        <w:t>63</w:t>
      </w:r>
    </w:p>
    <w:p>
      <w:pPr>
        <w:pStyle w:val="TOC2"/>
        <w:rPr/>
      </w:pPr>
      <w:r>
        <w:rPr/>
        <w:t>5.3 Integração OpenSCAD via WebAssembly (WASM)</w:t>
        <w:tab/>
        <w:t>70</w:t>
      </w:r>
    </w:p>
    <w:p>
      <w:pPr>
        <w:pStyle w:val="TOC2"/>
        <w:rPr/>
      </w:pPr>
      <w:r>
        <w:rPr/>
        <w:t>5.4 Estrutura funcional da plataforma</w:t>
        <w:tab/>
        <w:t>72</w:t>
      </w:r>
    </w:p>
    <w:p>
      <w:pPr>
        <w:pStyle w:val="TOC2"/>
        <w:rPr/>
      </w:pPr>
      <w:r>
        <w:rPr/>
        <w:t>5.5 Gestão de parâmetros, versões e expansão</w:t>
        <w:tab/>
        <w:t>78</w:t>
      </w:r>
    </w:p>
    <w:p>
      <w:pPr>
        <w:pStyle w:val="TOC1"/>
        <w:rPr/>
      </w:pPr>
      <w:r>
        <w:rPr/>
        <w:t>Capítulo 6 — Integração da Inteligência Artificial</w:t>
        <w:tab/>
        <w:t>80</w:t>
      </w:r>
    </w:p>
    <w:p>
      <w:pPr>
        <w:pStyle w:val="TOC2"/>
        <w:rPr/>
      </w:pPr>
      <w:r>
        <w:rPr/>
        <w:t>6.1 Papel da IA no sistema proposto</w:t>
        <w:tab/>
        <w:t>80</w:t>
      </w:r>
    </w:p>
    <w:p>
      <w:pPr>
        <w:pStyle w:val="TOC2"/>
        <w:rPr/>
      </w:pPr>
      <w:r>
        <w:rPr/>
        <w:t>6.2 IA na parametrização, personalização e apoio à decisão</w:t>
        <w:tab/>
        <w:t>80</w:t>
      </w:r>
    </w:p>
    <w:p>
      <w:pPr>
        <w:pStyle w:val="TOC2"/>
        <w:rPr/>
      </w:pPr>
      <w:r>
        <w:rPr/>
        <w:t>6.3 Avaliação das sugestões paramétricas apoiadas por IA</w:t>
        <w:tab/>
        <w:t>83</w:t>
      </w:r>
    </w:p>
    <w:p>
      <w:pPr>
        <w:pStyle w:val="TOC2"/>
        <w:rPr/>
      </w:pPr>
      <w:r>
        <w:rPr/>
        <w:t>6.4 Ajuste, verificação e limitações éticas e técnicas</w:t>
        <w:tab/>
        <w:t>84</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86</w:t>
      </w:r>
    </w:p>
    <w:p>
      <w:pPr>
        <w:pStyle w:val="TOC2"/>
        <w:rPr/>
      </w:pPr>
      <w:r>
        <w:rPr/>
        <w:t>7.3 Mediação do processo de design e reflexão crítica</w:t>
        <w:tab/>
        <w:t>88</w:t>
      </w:r>
    </w:p>
    <w:p>
      <w:pPr>
        <w:pStyle w:val="TOC1"/>
        <w:rPr/>
      </w:pPr>
      <w:r>
        <w:rPr/>
        <w:t>Capítulo 8 — Avaliação e Discussão</w:t>
        <w:tab/>
        <w:t>90</w:t>
      </w:r>
    </w:p>
    <w:p>
      <w:pPr>
        <w:pStyle w:val="TOC2"/>
        <w:rPr/>
      </w:pPr>
      <w:r>
        <w:rPr/>
        <w:t>8.1 Estratégia e critérios de avaliação</w:t>
        <w:tab/>
        <w:t>90</w:t>
      </w:r>
    </w:p>
    <w:p>
      <w:pPr>
        <w:pStyle w:val="TOC3"/>
        <w:tabs>
          <w:tab w:val="clear" w:pos="708"/>
          <w:tab w:val="right" w:pos="8204" w:leader="dot"/>
        </w:tabs>
        <w:rPr/>
      </w:pPr>
      <w:r>
        <w:rPr/>
        <w:t>8.1.1 Verificação técnica da plataforma</w:t>
        <w:tab/>
        <w:t>90</w:t>
      </w:r>
    </w:p>
    <w:p>
      <w:pPr>
        <w:pStyle w:val="TOC3"/>
        <w:tabs>
          <w:tab w:val="clear" w:pos="708"/>
          <w:tab w:val="right" w:pos="8204" w:leader="dot"/>
        </w:tabs>
        <w:rPr/>
      </w:pPr>
      <w:r>
        <w:rPr/>
        <w:t>8.1.2 Avaliação complementar da consistência da geração, recuperação e acessibilidade</w:t>
        <w:tab/>
        <w:t>91</w:t>
      </w:r>
    </w:p>
    <w:p>
      <w:pPr>
        <w:pStyle w:val="TOC3"/>
        <w:tabs>
          <w:tab w:val="clear" w:pos="708"/>
          <w:tab w:val="right" w:pos="8204" w:leader="dot"/>
        </w:tabs>
        <w:rPr/>
      </w:pPr>
      <w:r>
        <w:rPr/>
        <w:t>8.1.3 Preparação para impressão e protótipos físicos</w:t>
        <w:tab/>
        <w:t>92</w:t>
      </w:r>
    </w:p>
    <w:p>
      <w:pPr>
        <w:pStyle w:val="TOC2"/>
        <w:rPr/>
      </w:pPr>
      <w:r>
        <w:rPr/>
        <w:t>8.2 Avaliação da coerência das sugestões de IA</w:t>
        <w:tab/>
        <w:t>97</w:t>
      </w:r>
    </w:p>
    <w:p>
      <w:pPr>
        <w:pStyle w:val="TOC2"/>
        <w:rPr/>
      </w:pPr>
      <w:r>
        <w:rPr/>
        <w:t>8.3 Verificação geométrica entre modelos</w:t>
        <w:tab/>
        <w:t>100</w:t>
      </w:r>
    </w:p>
    <w:p>
      <w:pPr>
        <w:pStyle w:val="TOC2"/>
        <w:rPr/>
      </w:pPr>
      <w:r>
        <w:rPr/>
        <w:t>8.4 Discussão dos resultados face aos objetivos</w:t>
        <w:tab/>
        <w:t>102</w:t>
      </w:r>
    </w:p>
    <w:p>
      <w:pPr>
        <w:pStyle w:val="TOC1"/>
        <w:rPr/>
      </w:pPr>
      <w:r>
        <w:rPr/>
        <w:t>Capítulo 9 — Conclusões e Trabalhos Futuros</w:t>
        <w:tab/>
        <w:t>104</w:t>
      </w:r>
    </w:p>
    <w:p>
      <w:pPr>
        <w:pStyle w:val="TOC2"/>
        <w:rPr/>
      </w:pPr>
      <w:r>
        <w:rPr/>
        <w:t>9.1 Resposta ao problema e às perguntas de investigação</w:t>
        <w:tab/>
        <w:t>104</w:t>
      </w:r>
    </w:p>
    <w:p>
      <w:pPr>
        <w:pStyle w:val="TOC2"/>
        <w:rPr/>
      </w:pPr>
      <w:r>
        <w:rPr/>
        <w:t>9.2 Contributos da investigação</w:t>
        <w:tab/>
        <w:t>106</w:t>
      </w:r>
    </w:p>
    <w:p>
      <w:pPr>
        <w:pStyle w:val="TOC2"/>
        <w:rPr/>
      </w:pPr>
      <w:r>
        <w:rPr/>
        <w:t>9.3 Limitações</w:t>
        <w:tab/>
        <w:t>106</w:t>
      </w:r>
    </w:p>
    <w:p>
      <w:pPr>
        <w:pStyle w:val="TOC2"/>
        <w:rPr/>
      </w:pPr>
      <w:r>
        <w:rPr/>
        <w:t>9.4 Trabalho futuro</w:t>
        <w:tab/>
        <w:t>107</w:t>
      </w:r>
    </w:p>
    <w:p>
      <w:pPr>
        <w:pStyle w:val="TOC1"/>
        <w:rPr/>
      </w:pPr>
      <w:r>
        <w:rPr/>
        <w:t>Referências Bibliográficas</w:t>
        <w:tab/>
        <w:t>108</w:t>
      </w:r>
    </w:p>
    <w:p>
      <w:pPr>
        <w:pStyle w:val="TOC1"/>
        <w:rPr/>
      </w:pPr>
      <w:r>
        <w:rPr/>
        <w:t>Anexo A — Metodologia de extração e codificação de dados antropométricos</w:t>
        <w:tab/>
        <w:t>121</w:t>
      </w:r>
    </w:p>
    <w:p>
      <w:pPr>
        <w:pStyle w:val="TOC1"/>
        <w:rPr/>
      </w:pPr>
      <w:r>
        <w:rPr/>
        <w:t>Anexo B — Avaliação do processo paramétrico e da interface da plataforma HandFab</w:t>
        <w:tab/>
        <w:t>137</w:t>
      </w:r>
    </w:p>
    <w:p>
      <w:pPr>
        <w:pStyle w:val="TOC1"/>
        <w:rPr/>
      </w:pPr>
      <w:r>
        <w:rPr/>
        <w:t>Anexo C — Adaptação paramétrica dos modelos de mão protésica</w:t>
        <w:tab/>
        <w:t>144</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162</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122</w:t>
      </w:r>
    </w:p>
    <w:p>
      <w:pPr>
        <w:pStyle w:val="ndicedoAnexo2"/>
        <w:rPr/>
      </w:pPr>
      <w:r>
        <w:rPr/>
        <w:t>A.2 Estratégia de Pesquisa Bibliográfica</w:t>
        <w:tab/>
        <w:t>122</w:t>
      </w:r>
    </w:p>
    <w:p>
      <w:pPr>
        <w:pStyle w:val="ndicedoAnexo3"/>
        <w:tabs>
          <w:tab w:val="clear" w:pos="708"/>
          <w:tab w:val="right" w:pos="8204" w:leader="dot"/>
        </w:tabs>
        <w:rPr/>
      </w:pPr>
      <w:r>
        <w:rPr/>
        <w:t>A.2.1 Pesquisa bibliográfica orientada</w:t>
        <w:tab/>
        <w:t>122</w:t>
      </w:r>
    </w:p>
    <w:p>
      <w:pPr>
        <w:pStyle w:val="ndicedoAnexo3"/>
        <w:tabs>
          <w:tab w:val="clear" w:pos="708"/>
          <w:tab w:val="right" w:pos="8204" w:leader="dot"/>
        </w:tabs>
        <w:rPr/>
      </w:pPr>
      <w:r>
        <w:rPr/>
        <w:t>A.2.2 Base ANSUR 1988</w:t>
        <w:tab/>
        <w:t>122</w:t>
      </w:r>
    </w:p>
    <w:p>
      <w:pPr>
        <w:pStyle w:val="ndicedoAnexo2"/>
        <w:rPr/>
      </w:pPr>
      <w:r>
        <w:rPr/>
        <w:t>A.3 Critérios de Inclusão e Exclusão de Estudos</w:t>
        <w:tab/>
        <w:t>123</w:t>
      </w:r>
    </w:p>
    <w:p>
      <w:pPr>
        <w:pStyle w:val="ndicedoAnexo3"/>
        <w:tabs>
          <w:tab w:val="clear" w:pos="708"/>
          <w:tab w:val="right" w:pos="8204" w:leader="dot"/>
        </w:tabs>
        <w:rPr/>
      </w:pPr>
      <w:r>
        <w:rPr/>
        <w:t>A.3.1 Critérios de inclusão</w:t>
        <w:tab/>
        <w:t>123</w:t>
      </w:r>
    </w:p>
    <w:p>
      <w:pPr>
        <w:pStyle w:val="ndicedoAnexo3"/>
        <w:tabs>
          <w:tab w:val="clear" w:pos="708"/>
          <w:tab w:val="right" w:pos="8204" w:leader="dot"/>
        </w:tabs>
        <w:rPr/>
      </w:pPr>
      <w:r>
        <w:rPr/>
        <w:t>A.3.2 Critérios de exclusão</w:t>
        <w:tab/>
        <w:t>123</w:t>
      </w:r>
    </w:p>
    <w:p>
      <w:pPr>
        <w:pStyle w:val="ndicedoAnexo2"/>
        <w:rPr/>
      </w:pPr>
      <w:r>
        <w:rPr/>
        <w:t>A.4 Processo de Extracção de Dados</w:t>
        <w:tab/>
        <w:t>124</w:t>
      </w:r>
    </w:p>
    <w:p>
      <w:pPr>
        <w:pStyle w:val="ndicedoAnexo3"/>
        <w:tabs>
          <w:tab w:val="clear" w:pos="708"/>
          <w:tab w:val="right" w:pos="8204" w:leader="dot"/>
        </w:tabs>
        <w:rPr/>
      </w:pPr>
      <w:r>
        <w:rPr/>
        <w:t>A.4.1 Leitura dos PDFs e localização das tabelas</w:t>
        <w:tab/>
        <w:t>124</w:t>
      </w:r>
    </w:p>
    <w:p>
      <w:pPr>
        <w:pStyle w:val="ndicedoAnexo3"/>
        <w:tabs>
          <w:tab w:val="clear" w:pos="708"/>
          <w:tab w:val="right" w:pos="8204" w:leader="dot"/>
        </w:tabs>
        <w:rPr/>
      </w:pPr>
      <w:r>
        <w:rPr/>
        <w:t>A.4.2 Identificação das unidades e conversão</w:t>
        <w:tab/>
        <w:t>124</w:t>
      </w:r>
    </w:p>
    <w:p>
      <w:pPr>
        <w:pStyle w:val="ndicedoAnexo3"/>
        <w:tabs>
          <w:tab w:val="clear" w:pos="708"/>
          <w:tab w:val="right" w:pos="8204" w:leader="dot"/>
        </w:tabs>
        <w:rPr/>
      </w:pPr>
      <w:r>
        <w:rPr/>
        <w:t>A.4.3 Decomposição em linhas atómicas</w:t>
        <w:tab/>
        <w:t>124</w:t>
      </w:r>
    </w:p>
    <w:p>
      <w:pPr>
        <w:pStyle w:val="ndicedoAnexo3"/>
        <w:tabs>
          <w:tab w:val="clear" w:pos="708"/>
          <w:tab w:val="right" w:pos="8204" w:leader="dot"/>
        </w:tabs>
        <w:rPr/>
      </w:pPr>
      <w:r>
        <w:rPr/>
        <w:t>A.4.4 Registo fiel do contexto da medição</w:t>
        <w:tab/>
        <w:t>121</w:t>
      </w:r>
    </w:p>
    <w:p>
      <w:pPr>
        <w:pStyle w:val="ndicedoAnexo2"/>
        <w:rPr/>
      </w:pPr>
      <w:r>
        <w:rPr/>
        <w:t>A.5 Decisões por Estudo</w:t>
        <w:tab/>
        <w:t>125</w:t>
      </w:r>
    </w:p>
    <w:p>
      <w:pPr>
        <w:pStyle w:val="ndicedoAnexo3"/>
        <w:tabs>
          <w:tab w:val="clear" w:pos="708"/>
          <w:tab w:val="right" w:pos="8204" w:leader="dot"/>
        </w:tabs>
        <w:rPr/>
      </w:pPr>
      <w:r>
        <w:rPr/>
        <w:t>A.5.1 ANSUR 1988 — EUA, militares (Gordon et al., 1989)</w:t>
        <w:tab/>
        <w:t>125</w:t>
      </w:r>
    </w:p>
    <w:p>
      <w:pPr>
        <w:pStyle w:val="ndicedoAnexo3"/>
        <w:tabs>
          <w:tab w:val="clear" w:pos="708"/>
          <w:tab w:val="right" w:pos="8204" w:leader="dot"/>
        </w:tabs>
        <w:rPr/>
      </w:pPr>
      <w:r>
        <w:rPr/>
        <w:t>A.5.2 Turquia — jovens adultos (Chatzioglou et al., 2024)</w:t>
        <w:tab/>
        <w:t>125</w:t>
      </w:r>
    </w:p>
    <w:p>
      <w:pPr>
        <w:pStyle w:val="ndicedoAnexo3"/>
        <w:tabs>
          <w:tab w:val="clear" w:pos="708"/>
          <w:tab w:val="right" w:pos="8204" w:leader="dot"/>
        </w:tabs>
        <w:rPr/>
      </w:pPr>
      <w:r>
        <w:rPr/>
        <w:t>A.5.3 México — população geral (Rodríguez-Vega &amp; Rodríguez-Vega, 2024)</w:t>
        <w:tab/>
        <w:t>125</w:t>
      </w:r>
    </w:p>
    <w:p>
      <w:pPr>
        <w:pStyle w:val="ndicedoAnexo3"/>
        <w:tabs>
          <w:tab w:val="clear" w:pos="708"/>
          <w:tab w:val="right" w:pos="8204" w:leader="dot"/>
        </w:tabs>
        <w:rPr/>
      </w:pPr>
      <w:r>
        <w:rPr/>
        <w:t>A.5.4 Índia — mulheres trabalhadoras (Nag et al., 2003)</w:t>
        <w:tab/>
        <w:t>126</w:t>
      </w:r>
    </w:p>
    <w:p>
      <w:pPr>
        <w:pStyle w:val="ndicedoAnexo3"/>
        <w:tabs>
          <w:tab w:val="clear" w:pos="708"/>
          <w:tab w:val="right" w:pos="8204" w:leader="dot"/>
        </w:tabs>
        <w:rPr/>
      </w:pPr>
      <w:r>
        <w:rPr/>
        <w:t>A.5.5 Portugal — trabalhadores industriais (Anacleto Filho et al., 2023)</w:t>
        <w:tab/>
        <w:t>126</w:t>
      </w:r>
    </w:p>
    <w:p>
      <w:pPr>
        <w:pStyle w:val="ndicedoAnexo3"/>
        <w:tabs>
          <w:tab w:val="clear" w:pos="708"/>
          <w:tab w:val="right" w:pos="8204" w:leader="dot"/>
        </w:tabs>
        <w:rPr/>
      </w:pPr>
      <w:r>
        <w:rPr/>
        <w:t>A.5.6 Nigéria — atletas universitários (Ibiwari et al., 2025)</w:t>
        <w:tab/>
        <w:t>126</w:t>
      </w:r>
    </w:p>
    <w:p>
      <w:pPr>
        <w:pStyle w:val="ndicedoAnexo3"/>
        <w:tabs>
          <w:tab w:val="clear" w:pos="708"/>
          <w:tab w:val="right" w:pos="8204" w:leader="dot"/>
        </w:tabs>
        <w:rPr/>
      </w:pPr>
      <w:r>
        <w:rPr/>
        <w:t>A.5.7 Jordânia — trabalhadores com deficiência (Mistarihi, 2020)</w:t>
        <w:tab/>
        <w:t>127</w:t>
      </w:r>
    </w:p>
    <w:p>
      <w:pPr>
        <w:pStyle w:val="ndicedoAnexo3"/>
        <w:tabs>
          <w:tab w:val="clear" w:pos="708"/>
          <w:tab w:val="right" w:pos="8204" w:leader="dot"/>
        </w:tabs>
        <w:rPr/>
      </w:pPr>
      <w:r>
        <w:rPr/>
        <w:t>A.5.8 EUA — dedo indicador (Lim et al., 2018)</w:t>
        <w:tab/>
        <w:t>127</w:t>
      </w:r>
    </w:p>
    <w:p>
      <w:pPr>
        <w:pStyle w:val="ndicedoAnexo3"/>
        <w:tabs>
          <w:tab w:val="clear" w:pos="708"/>
          <w:tab w:val="right" w:pos="8204" w:leader="dot"/>
        </w:tabs>
        <w:rPr/>
      </w:pPr>
      <w:r>
        <w:rPr/>
        <w:t>A.5.9 Estudo excluído: Moreo (2016)</w:t>
        <w:tab/>
        <w:t>127</w:t>
      </w:r>
    </w:p>
    <w:p>
      <w:pPr>
        <w:pStyle w:val="ndicedoAnexo3"/>
        <w:tabs>
          <w:tab w:val="clear" w:pos="708"/>
          <w:tab w:val="right" w:pos="8204" w:leader="dot"/>
        </w:tabs>
        <w:rPr/>
      </w:pPr>
      <w:r>
        <w:rPr/>
        <w:t>A.5.10 EUA — militares ANSUR II (Gordon et al., 2015)</w:t>
        <w:tab/>
        <w:t>127</w:t>
      </w:r>
    </w:p>
    <w:p>
      <w:pPr>
        <w:pStyle w:val="ndicedoAnexo3"/>
        <w:tabs>
          <w:tab w:val="clear" w:pos="708"/>
          <w:tab w:val="right" w:pos="8204" w:leader="dot"/>
        </w:tabs>
        <w:rPr/>
      </w:pPr>
      <w:r>
        <w:rPr/>
        <w:t>A.5.11 Países Baixos — DINED (TU Delft, 1993–2004)</w:t>
        <w:tab/>
        <w:t>128</w:t>
      </w:r>
    </w:p>
    <w:p>
      <w:pPr>
        <w:pStyle w:val="ndicedoAnexo3"/>
        <w:tabs>
          <w:tab w:val="clear" w:pos="708"/>
          <w:tab w:val="right" w:pos="8204" w:leader="dot"/>
        </w:tabs>
        <w:rPr/>
      </w:pPr>
      <w:r>
        <w:rPr/>
        <w:t>A.5.12 China — idosos de Pequim (Hu et al., 2007)</w:t>
        <w:tab/>
        <w:t>128</w:t>
      </w:r>
    </w:p>
    <w:p>
      <w:pPr>
        <w:pStyle w:val="ndicedoAnexo3"/>
        <w:tabs>
          <w:tab w:val="clear" w:pos="708"/>
          <w:tab w:val="right" w:pos="8204" w:leader="dot"/>
        </w:tabs>
        <w:rPr/>
      </w:pPr>
      <w:r>
        <w:rPr/>
        <w:t>A.5.13 Estudo excluído: reconstrução corporal 3D a partir de fotografias ortogonais</w:t>
        <w:tab/>
        <w:t>129</w:t>
      </w:r>
    </w:p>
    <w:p>
      <w:pPr>
        <w:pStyle w:val="ndicedoAnexo2"/>
        <w:rPr/>
      </w:pPr>
      <w:r>
        <w:rPr/>
        <w:t>A.6 Estrutura do CSV e esquema de dados</w:t>
        <w:tab/>
        <w:t>129</w:t>
      </w:r>
    </w:p>
    <w:p>
      <w:pPr>
        <w:pStyle w:val="ndicedoAnexo3"/>
        <w:tabs>
          <w:tab w:val="clear" w:pos="708"/>
          <w:tab w:val="right" w:pos="8204" w:leader="dot"/>
        </w:tabs>
        <w:rPr/>
      </w:pPr>
      <w:r>
        <w:rPr/>
        <w:t>A.6.1 Campos</w:t>
        <w:tab/>
        <w:t>129</w:t>
      </w:r>
    </w:p>
    <w:p>
      <w:pPr>
        <w:pStyle w:val="ndicedoAnexo3"/>
        <w:tabs>
          <w:tab w:val="clear" w:pos="708"/>
          <w:tab w:val="right" w:pos="8204" w:leader="dot"/>
        </w:tabs>
        <w:rPr/>
      </w:pPr>
      <w:r>
        <w:rPr/>
        <w:t>A.6.2 Formato longo (long format)</w:t>
        <w:tab/>
        <w:t>130</w:t>
      </w:r>
    </w:p>
    <w:p>
      <w:pPr>
        <w:pStyle w:val="ndicedoAnexo2"/>
        <w:rPr/>
      </w:pPr>
      <w:r>
        <w:rPr/>
        <w:t>A.7 Controlo de Qualidade dos Dados</w:t>
        <w:tab/>
        <w:t>130</w:t>
      </w:r>
    </w:p>
    <w:p>
      <w:pPr>
        <w:pStyle w:val="ndicedoAnexo3"/>
        <w:tabs>
          <w:tab w:val="clear" w:pos="708"/>
          <w:tab w:val="right" w:pos="8204" w:leader="dot"/>
        </w:tabs>
        <w:rPr/>
      </w:pPr>
      <w:r>
        <w:rPr/>
        <w:t>A.7.1 Marcação inline de limitações</w:t>
        <w:tab/>
        <w:t>130</w:t>
      </w:r>
    </w:p>
    <w:p>
      <w:pPr>
        <w:pStyle w:val="ndicedoAnexo3"/>
        <w:tabs>
          <w:tab w:val="clear" w:pos="708"/>
          <w:tab w:val="right" w:pos="8204" w:leader="dot"/>
        </w:tabs>
        <w:rPr/>
      </w:pPr>
      <w:r>
        <w:rPr/>
        <w:t>A.7.2 Verificação de unidades</w:t>
        <w:tab/>
        <w:t>130</w:t>
      </w:r>
    </w:p>
    <w:p>
      <w:pPr>
        <w:pStyle w:val="ndicedoAnexo3"/>
        <w:tabs>
          <w:tab w:val="clear" w:pos="708"/>
          <w:tab w:val="right" w:pos="8204" w:leader="dot"/>
        </w:tabs>
        <w:rPr/>
      </w:pPr>
      <w:r>
        <w:rPr/>
        <w:t>A.7.3 Ligação à fonte</w:t>
        <w:tab/>
        <w:t>131</w:t>
      </w:r>
    </w:p>
    <w:p>
      <w:pPr>
        <w:pStyle w:val="ndicedoAnexo2"/>
        <w:rPr/>
      </w:pPr>
      <w:r>
        <w:rPr/>
        <w:t>A.8 Escrita do Código de Geração</w:t>
        <w:tab/>
        <w:t>131</w:t>
      </w:r>
    </w:p>
    <w:p>
      <w:pPr>
        <w:pStyle w:val="ndicedoAnexo3"/>
        <w:tabs>
          <w:tab w:val="clear" w:pos="708"/>
          <w:tab w:val="right" w:pos="8204" w:leader="dot"/>
        </w:tabs>
        <w:rPr/>
      </w:pPr>
      <w:r>
        <w:rPr/>
        <w:t>A.8.1 Correspondência entre os CSV e os parâmetros da plataforma</w:t>
        <w:tab/>
        <w:t>131</w:t>
      </w:r>
    </w:p>
    <w:p>
      <w:pPr>
        <w:pStyle w:val="ndicedoAnexo2"/>
        <w:rPr/>
      </w:pPr>
      <w:r>
        <w:rPr/>
        <w:t>A.9 Resultado Final</w:t>
        <w:tab/>
        <w:t>132</w:t>
      </w:r>
    </w:p>
    <w:p>
      <w:pPr>
        <w:pStyle w:val="ndicedoAnexo2"/>
        <w:rPr/>
      </w:pPr>
      <w:r>
        <w:rPr/>
        <w:t>A.10 Cobertura Global da Base de Dados e Lacunas</w:t>
        <w:tab/>
        <w:t>132</w:t>
      </w:r>
    </w:p>
    <w:p>
      <w:pPr>
        <w:pStyle w:val="ndicedoAnexo3"/>
        <w:tabs>
          <w:tab w:val="clear" w:pos="708"/>
          <w:tab w:val="right" w:pos="8204" w:leader="dot"/>
        </w:tabs>
        <w:rPr/>
      </w:pPr>
      <w:r>
        <w:rPr/>
        <w:t>A.10.1 O que está coberto</w:t>
        <w:tab/>
        <w:t>132</w:t>
      </w:r>
    </w:p>
    <w:p>
      <w:pPr>
        <w:pStyle w:val="ndicedoAnexo4"/>
        <w:tabs>
          <w:tab w:val="clear" w:pos="708"/>
          <w:tab w:val="right" w:pos="8204" w:leader="dot"/>
        </w:tabs>
        <w:rPr/>
      </w:pPr>
      <w:r>
        <w:rPr/>
        <w:t>A.10.1.1 Cobertura geográfica</w:t>
        <w:tab/>
        <w:t>132</w:t>
      </w:r>
    </w:p>
    <w:p>
      <w:pPr>
        <w:pStyle w:val="ndicedoAnexo4"/>
        <w:tabs>
          <w:tab w:val="clear" w:pos="708"/>
          <w:tab w:val="right" w:pos="8204" w:leader="dot"/>
        </w:tabs>
        <w:rPr/>
      </w:pPr>
      <w:r>
        <w:rPr/>
        <w:t>A.10.1.2 Cobertura etária</w:t>
        <w:tab/>
        <w:t>133</w:t>
      </w:r>
    </w:p>
    <w:p>
      <w:pPr>
        <w:pStyle w:val="ndicedoAnexo4"/>
        <w:tabs>
          <w:tab w:val="clear" w:pos="708"/>
          <w:tab w:val="right" w:pos="8204" w:leader="dot"/>
        </w:tabs>
        <w:rPr/>
      </w:pPr>
      <w:r>
        <w:rPr/>
        <w:t>A.10.1.3 Cobertura estatística</w:t>
        <w:tab/>
        <w:t>133</w:t>
      </w:r>
    </w:p>
    <w:p>
      <w:pPr>
        <w:pStyle w:val="ndicedoAnexo3"/>
        <w:tabs>
          <w:tab w:val="clear" w:pos="708"/>
          <w:tab w:val="right" w:pos="8204" w:leader="dot"/>
        </w:tabs>
        <w:rPr/>
      </w:pPr>
      <w:r>
        <w:rPr/>
        <w:t>A.10.2 Onde a cobertura falha</w:t>
        <w:tab/>
        <w:t>134</w:t>
      </w:r>
    </w:p>
    <w:p>
      <w:pPr>
        <w:pStyle w:val="ndicedoAnexo4"/>
        <w:tabs>
          <w:tab w:val="clear" w:pos="708"/>
          <w:tab w:val="right" w:pos="8204" w:leader="dot"/>
        </w:tabs>
        <w:rPr/>
      </w:pPr>
      <w:r>
        <w:rPr/>
        <w:t>A.10.2.1 Lacunas geográficas</w:t>
        <w:tab/>
        <w:t>134</w:t>
      </w:r>
    </w:p>
    <w:p>
      <w:pPr>
        <w:pStyle w:val="ndicedoAnexo4"/>
        <w:tabs>
          <w:tab w:val="clear" w:pos="708"/>
          <w:tab w:val="right" w:pos="8204" w:leader="dot"/>
        </w:tabs>
        <w:rPr/>
      </w:pPr>
      <w:r>
        <w:rPr/>
        <w:t>A.10.2.2 Lacunas demográficas</w:t>
        <w:tab/>
        <w:t>134</w:t>
      </w:r>
    </w:p>
    <w:p>
      <w:pPr>
        <w:pStyle w:val="ndicedoAnexo4"/>
        <w:tabs>
          <w:tab w:val="clear" w:pos="708"/>
          <w:tab w:val="right" w:pos="8204" w:leader="dot"/>
        </w:tabs>
        <w:rPr/>
      </w:pPr>
      <w:r>
        <w:rPr/>
        <w:t>A.10.2.3 Limitações qualitativas dos dados existentes</w:t>
        <w:tab/>
        <w:t>135</w:t>
      </w:r>
    </w:p>
    <w:p>
      <w:pPr>
        <w:pStyle w:val="ndicedoAnexo3"/>
        <w:tabs>
          <w:tab w:val="clear" w:pos="708"/>
          <w:tab w:val="right" w:pos="8204" w:leader="dot"/>
        </w:tabs>
        <w:rPr/>
      </w:pPr>
      <w:r>
        <w:rPr/>
        <w:t>A.10.3 PRIORIDADES identificadas para expansão futura</w:t>
        <w:tab/>
        <w:t>135</w:t>
      </w:r>
    </w:p>
    <w:p>
      <w:pPr>
        <w:pStyle w:val="ndicedoAnexo4"/>
        <w:tabs>
          <w:tab w:val="clear" w:pos="708"/>
          <w:tab w:val="right" w:pos="8204" w:leader="dot"/>
        </w:tabs>
        <w:rPr/>
      </w:pPr>
      <w:r>
        <w:rPr/>
        <w:t>A.10.3.1 Prioridade alta</w:t>
        <w:tab/>
        <w:t>135</w:t>
      </w:r>
    </w:p>
    <w:p>
      <w:pPr>
        <w:pStyle w:val="ndicedoAnexo4"/>
        <w:tabs>
          <w:tab w:val="clear" w:pos="708"/>
          <w:tab w:val="right" w:pos="8204" w:leader="dot"/>
        </w:tabs>
        <w:rPr/>
      </w:pPr>
      <w:r>
        <w:rPr/>
        <w:t>A.10.3.2 Prioridade média</w:t>
        <w:tab/>
        <w:t>136</w:t>
      </w:r>
    </w:p>
    <w:p>
      <w:pPr>
        <w:pStyle w:val="ndicedoAnexo4"/>
        <w:tabs>
          <w:tab w:val="clear" w:pos="708"/>
          <w:tab w:val="right" w:pos="8204" w:leader="dot"/>
        </w:tabs>
        <w:rPr/>
      </w:pPr>
      <w:r>
        <w:rPr/>
        <w:t>A.10.3.3 Pertinência directa para o tema da tese</w:t>
        <w:tab/>
        <w:t>122</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137</w:t>
      </w:r>
    </w:p>
    <w:p>
      <w:pPr>
        <w:pStyle w:val="ndicedoAnexo2"/>
        <w:rPr/>
      </w:pPr>
      <w:r>
        <w:rPr/>
        <w:t>B.2 Âmbito e limites</w:t>
        <w:tab/>
        <w:t>138</w:t>
      </w:r>
    </w:p>
    <w:p>
      <w:pPr>
        <w:pStyle w:val="ndicedoAnexo2"/>
        <w:rPr/>
      </w:pPr>
      <w:r>
        <w:rPr/>
        <w:t>B.3 Procedimento</w:t>
        <w:tab/>
        <w:t>138</w:t>
      </w:r>
    </w:p>
    <w:p>
      <w:pPr>
        <w:pStyle w:val="ndicedoAnexo2"/>
        <w:rPr/>
      </w:pPr>
      <w:r>
        <w:rPr/>
        <w:t>B.4 Resultados de consistência da geração</w:t>
        <w:tab/>
        <w:t>138</w:t>
      </w:r>
    </w:p>
    <w:p>
      <w:pPr>
        <w:pStyle w:val="ndicedoAnexo3"/>
        <w:tabs>
          <w:tab w:val="clear" w:pos="708"/>
          <w:tab w:val="right" w:pos="8204" w:leader="dot"/>
        </w:tabs>
        <w:rPr/>
      </w:pPr>
      <w:r>
        <w:rPr/>
        <w:t>B.4.1 Repetição da mesma configuração</w:t>
        <w:tab/>
        <w:t>138</w:t>
      </w:r>
    </w:p>
    <w:p>
      <w:pPr>
        <w:pStyle w:val="ndicedoAnexo3"/>
        <w:tabs>
          <w:tab w:val="clear" w:pos="708"/>
          <w:tab w:val="right" w:pos="8204" w:leader="dot"/>
        </w:tabs>
        <w:rPr/>
      </w:pPr>
      <w:r>
        <w:rPr/>
        <w:t>B.4.2 Comparação entre navegadores</w:t>
        <w:tab/>
        <w:t>139</w:t>
      </w:r>
    </w:p>
    <w:p>
      <w:pPr>
        <w:pStyle w:val="ndicedoAnexo2"/>
        <w:rPr/>
      </w:pPr>
      <w:r>
        <w:rPr/>
        <w:t>B.5 Resultados de recuperação e controlo</w:t>
        <w:tab/>
        <w:t>139</w:t>
      </w:r>
    </w:p>
    <w:p>
      <w:pPr>
        <w:pStyle w:val="ndicedoAnexo2"/>
        <w:rPr/>
      </w:pPr>
      <w:r>
        <w:rPr/>
        <w:t>B.6 Resultados da verificação de acessibilidade digital</w:t>
        <w:tab/>
        <w:t>140</w:t>
      </w:r>
    </w:p>
    <w:p>
      <w:pPr>
        <w:pStyle w:val="ndicedoAnexo3"/>
        <w:tabs>
          <w:tab w:val="clear" w:pos="708"/>
          <w:tab w:val="right" w:pos="8204" w:leader="dot"/>
        </w:tabs>
        <w:rPr/>
      </w:pPr>
      <w:r>
        <w:rPr/>
        <w:t>B.6.1 Percurso local autenticado</w:t>
        <w:tab/>
        <w:t>140</w:t>
      </w:r>
    </w:p>
    <w:p>
      <w:pPr>
        <w:pStyle w:val="ndicedoAnexo3"/>
        <w:tabs>
          <w:tab w:val="clear" w:pos="708"/>
          <w:tab w:val="right" w:pos="8204" w:leader="dot"/>
        </w:tabs>
        <w:rPr/>
      </w:pPr>
      <w:r>
        <w:rPr/>
        <w:t>B.6.2 Superfície pública</w:t>
        <w:tab/>
        <w:t>141</w:t>
      </w:r>
    </w:p>
    <w:p>
      <w:pPr>
        <w:pStyle w:val="ndicedoAnexo3"/>
        <w:tabs>
          <w:tab w:val="clear" w:pos="708"/>
          <w:tab w:val="right" w:pos="8204" w:leader="dot"/>
        </w:tabs>
        <w:rPr/>
      </w:pPr>
      <w:r>
        <w:rPr/>
        <w:t>B.6.3 Verificação manual complementar</w:t>
        <w:tab/>
        <w:t>141</w:t>
      </w:r>
    </w:p>
    <w:p>
      <w:pPr>
        <w:pStyle w:val="ndicedoAnexo2"/>
        <w:rPr/>
      </w:pPr>
      <w:r>
        <w:rPr/>
        <w:t>B.7 Aprendizagens para o Design Industrial</w:t>
        <w:tab/>
        <w:t>142</w:t>
      </w:r>
    </w:p>
    <w:p>
      <w:pPr>
        <w:pStyle w:val="ndicedoAnexo2"/>
        <w:rPr/>
      </w:pPr>
      <w:r>
        <w:rPr/>
        <w:t>B.8 Conclusão</w:t>
        <w:tab/>
        <w:t>143</w:t>
      </w:r>
    </w:p>
    <w:p>
      <w:pPr>
        <w:pStyle w:val="ndicedoAnexo2"/>
        <w:rPr/>
      </w:pPr>
      <w:r>
        <w:rPr/>
        <w:t>B.9 Referências normativas</w:t>
        <w:tab/>
        <w:t>143</w:t>
      </w:r>
    </w:p>
    <w:p>
      <w:pPr>
        <w:pStyle w:val="ndicedoAnexo2"/>
        <w:rPr/>
      </w:pPr>
      <w:r>
        <w:rPr/>
        <w:t>Tabela B.1 — Resultados da repetição da mesma configuração por modelo</w:t>
        <w:tab/>
        <w:t>138</w:t>
      </w:r>
    </w:p>
    <w:p>
      <w:pPr>
        <w:pStyle w:val="ndicedoAnexo2"/>
        <w:rPr/>
      </w:pPr>
      <w:r>
        <w:rPr/>
        <w:t>Tabela B.2 — Resultados do percurso examinado em três navegadores</w:t>
        <w:tab/>
        <w:t>139</w:t>
      </w:r>
    </w:p>
    <w:p>
      <w:pPr>
        <w:pStyle w:val="ndicedoAnexo2"/>
        <w:rPr/>
      </w:pPr>
      <w:r>
        <w:rPr/>
        <w:t>Tabela B.3 — Comportamento observado perante limites, entradas inválidas e falhas previstas</w:t>
        <w:tab/>
        <w:t>139</w:t>
      </w:r>
    </w:p>
    <w:p>
      <w:pPr>
        <w:pStyle w:val="ndicedoAnexo2"/>
        <w:rPr/>
      </w:pPr>
      <w:r>
        <w:rPr/>
        <w:t>Tabela B.4 — Categorias de problemas de acessibilidade digital detectadas automaticamente</w:t>
        <w:tab/>
        <w:t>141</w:t>
      </w:r>
    </w:p>
    <w:p>
      <w:pPr>
        <w:pStyle w:val="ndicedoAnexo2"/>
        <w:rPr>
          <w:b/>
        </w:rPr>
      </w:pPr>
      <w:r>
        <w:rPr/>
        <w:t>Tabela B.5 — Resultados da verificação manual complementar de acessibilidade</w:t>
        <w:tab/>
        <w:t>141</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146</w:t>
      </w:r>
    </w:p>
    <w:p>
      <w:pPr>
        <w:pStyle w:val="ndicedoAnexo2"/>
        <w:rPr/>
      </w:pPr>
      <w:r>
        <w:rPr/>
        <w:t>C.2 Princípio comum de adaptação</w:t>
        <w:tab/>
        <w:t>146</w:t>
      </w:r>
    </w:p>
    <w:p>
      <w:pPr>
        <w:pStyle w:val="ndicedoAnexo3"/>
        <w:tabs>
          <w:tab w:val="clear" w:pos="708"/>
          <w:tab w:val="right" w:pos="8204" w:leader="dot"/>
        </w:tabs>
        <w:rPr/>
      </w:pPr>
      <w:r>
        <w:rPr/>
        <w:t>C.2.1 Campos antropométricos comuns</w:t>
        <w:tab/>
        <w:t>147</w:t>
      </w:r>
    </w:p>
    <w:p>
      <w:pPr>
        <w:pStyle w:val="ndicedoAnexo3"/>
        <w:tabs>
          <w:tab w:val="clear" w:pos="708"/>
          <w:tab w:val="right" w:pos="8204" w:leader="dot"/>
        </w:tabs>
        <w:rPr/>
      </w:pPr>
      <w:r>
        <w:rPr/>
        <w:t>C.2.2 Tipos de parâmetros</w:t>
        <w:tab/>
        <w:t>147</w:t>
      </w:r>
    </w:p>
    <w:p>
      <w:pPr>
        <w:pStyle w:val="ndicedoAnexo3"/>
        <w:tabs>
          <w:tab w:val="clear" w:pos="708"/>
          <w:tab w:val="right" w:pos="8204" w:leader="dot"/>
        </w:tabs>
        <w:rPr/>
      </w:pPr>
      <w:r>
        <w:rPr/>
        <w:t>C.2.3 Coerência dos controlos no estado final examinado</w:t>
        <w:tab/>
        <w:t>148</w:t>
      </w:r>
    </w:p>
    <w:p>
      <w:pPr>
        <w:pStyle w:val="ndicedoAnexo2"/>
        <w:rPr/>
      </w:pPr>
      <w:r>
        <w:rPr/>
        <w:t>C.3 Flexy Beast</w:t>
        <w:tab/>
        <w:t>148</w:t>
      </w:r>
    </w:p>
    <w:p>
      <w:pPr>
        <w:pStyle w:val="ndicedoAnexo3"/>
        <w:tabs>
          <w:tab w:val="clear" w:pos="708"/>
          <w:tab w:val="right" w:pos="8204" w:leader="dot"/>
        </w:tabs>
        <w:rPr/>
      </w:pPr>
      <w:r>
        <w:rPr/>
        <w:t>C.3.1 Origem e estratégia de adaptação</w:t>
        <w:tab/>
        <w:t>148</w:t>
      </w:r>
    </w:p>
    <w:p>
      <w:pPr>
        <w:pStyle w:val="ndicedoAnexo3"/>
        <w:tabs>
          <w:tab w:val="clear" w:pos="708"/>
          <w:tab w:val="right" w:pos="8204" w:leader="dot"/>
        </w:tabs>
        <w:rPr/>
      </w:pPr>
      <w:r>
        <w:rPr/>
        <w:t>C.3.2 Entradas, limites e relações</w:t>
        <w:tab/>
        <w:t>148</w:t>
      </w:r>
    </w:p>
    <w:p>
      <w:pPr>
        <w:pStyle w:val="ndicedoAnexo3"/>
        <w:tabs>
          <w:tab w:val="clear" w:pos="708"/>
          <w:tab w:val="right" w:pos="8204" w:leader="dot"/>
        </w:tabs>
        <w:rPr/>
      </w:pPr>
      <w:r>
        <w:rPr/>
        <w:t>C.3.3 Braçadeira e interfaces confirmáveis</w:t>
        <w:tab/>
        <w:t>150</w:t>
      </w:r>
    </w:p>
    <w:p>
      <w:pPr>
        <w:pStyle w:val="ndicedoAnexo3"/>
        <w:tabs>
          <w:tab w:val="clear" w:pos="708"/>
          <w:tab w:val="right" w:pos="8204" w:leader="dot"/>
        </w:tabs>
        <w:rPr/>
      </w:pPr>
      <w:r>
        <w:rPr/>
        <w:t>C.3.4 PROpagação paramétrica documentada no perfil de ensaio</w:t>
        <w:tab/>
        <w:t>150</w:t>
      </w:r>
    </w:p>
    <w:p>
      <w:pPr>
        <w:pStyle w:val="ndicedoAnexo3"/>
        <w:tabs>
          <w:tab w:val="clear" w:pos="708"/>
          <w:tab w:val="right" w:pos="8204" w:leader="dot"/>
        </w:tabs>
        <w:rPr/>
      </w:pPr>
      <w:r>
        <w:rPr/>
        <w:t>C.3.5 Limitações específicas</w:t>
        <w:tab/>
        <w:t>151</w:t>
      </w:r>
    </w:p>
    <w:p>
      <w:pPr>
        <w:pStyle w:val="ndicedoAnexo2"/>
        <w:rPr/>
      </w:pPr>
      <w:r>
        <w:rPr/>
        <w:t>C.4 Cyborg Beast</w:t>
        <w:tab/>
        <w:t>151</w:t>
      </w:r>
    </w:p>
    <w:p>
      <w:pPr>
        <w:pStyle w:val="ndicedoAnexo3"/>
        <w:tabs>
          <w:tab w:val="clear" w:pos="708"/>
          <w:tab w:val="right" w:pos="8204" w:leader="dot"/>
        </w:tabs>
        <w:rPr/>
      </w:pPr>
      <w:r>
        <w:rPr/>
        <w:t>C.4.1 Origem e estratégia de adaptação</w:t>
        <w:tab/>
        <w:t>151</w:t>
      </w:r>
    </w:p>
    <w:p>
      <w:pPr>
        <w:pStyle w:val="ndicedoAnexo3"/>
        <w:tabs>
          <w:tab w:val="clear" w:pos="708"/>
          <w:tab w:val="right" w:pos="8204" w:leader="dot"/>
        </w:tabs>
        <w:rPr/>
      </w:pPr>
      <w:r>
        <w:rPr/>
        <w:t>C.4.2 Entradas e escala da mão</w:t>
        <w:tab/>
        <w:t>151</w:t>
      </w:r>
    </w:p>
    <w:p>
      <w:pPr>
        <w:pStyle w:val="ndicedoAnexo3"/>
        <w:tabs>
          <w:tab w:val="clear" w:pos="708"/>
          <w:tab w:val="right" w:pos="8204" w:leader="dot"/>
        </w:tabs>
        <w:rPr/>
      </w:pPr>
      <w:r>
        <w:rPr/>
        <w:t>C.4.3 Divisão proximal–distal</w:t>
        <w:tab/>
        <w:t>144</w:t>
      </w:r>
    </w:p>
    <w:p>
      <w:pPr>
        <w:pStyle w:val="ndicedoAnexo3"/>
        <w:tabs>
          <w:tab w:val="clear" w:pos="708"/>
          <w:tab w:val="right" w:pos="8204" w:leader="dot"/>
        </w:tabs>
        <w:rPr/>
      </w:pPr>
      <w:r>
        <w:rPr/>
        <w:t>C.4.4 Braçadeira, folgas e parâmetros fixos</w:t>
        <w:tab/>
        <w:t>144</w:t>
      </w:r>
    </w:p>
    <w:p>
      <w:pPr>
        <w:pStyle w:val="ndicedoAnexo3"/>
        <w:tabs>
          <w:tab w:val="clear" w:pos="708"/>
          <w:tab w:val="right" w:pos="8204" w:leader="dot"/>
        </w:tabs>
        <w:rPr/>
      </w:pPr>
      <w:r>
        <w:rPr/>
        <w:t>C.4.5 Exemplo de propagação</w:t>
        <w:tab/>
        <w:t>152</w:t>
      </w:r>
    </w:p>
    <w:p>
      <w:pPr>
        <w:pStyle w:val="ndicedoAnexo3"/>
        <w:tabs>
          <w:tab w:val="clear" w:pos="708"/>
          <w:tab w:val="right" w:pos="8204" w:leader="dot"/>
        </w:tabs>
        <w:rPr/>
      </w:pPr>
      <w:r>
        <w:rPr/>
        <w:t>C.4.6 Limitações específicas</w:t>
        <w:tab/>
        <w:t>153</w:t>
      </w:r>
    </w:p>
    <w:p>
      <w:pPr>
        <w:pStyle w:val="ndicedoAnexo2"/>
        <w:rPr/>
      </w:pPr>
      <w:r>
        <w:rPr/>
        <w:t>C.5 Paraglider Hand</w:t>
        <w:tab/>
        <w:t>153</w:t>
      </w:r>
    </w:p>
    <w:p>
      <w:pPr>
        <w:pStyle w:val="ndicedoAnexo3"/>
        <w:tabs>
          <w:tab w:val="clear" w:pos="708"/>
          <w:tab w:val="right" w:pos="8204" w:leader="dot"/>
        </w:tabs>
        <w:rPr/>
      </w:pPr>
      <w:r>
        <w:rPr/>
        <w:t>C.5.1 Origem e estratégia de adaptação</w:t>
        <w:tab/>
        <w:t>153</w:t>
      </w:r>
    </w:p>
    <w:p>
      <w:pPr>
        <w:pStyle w:val="ndicedoAnexo3"/>
        <w:tabs>
          <w:tab w:val="clear" w:pos="708"/>
          <w:tab w:val="right" w:pos="8204" w:leader="dot"/>
        </w:tabs>
        <w:rPr/>
      </w:pPr>
      <w:r>
        <w:rPr/>
        <w:t>C.5.2 Relações implementadas</w:t>
        <w:tab/>
        <w:t>153</w:t>
      </w:r>
    </w:p>
    <w:p>
      <w:pPr>
        <w:pStyle w:val="ndicedoAnexo3"/>
        <w:tabs>
          <w:tab w:val="clear" w:pos="708"/>
          <w:tab w:val="right" w:pos="8204" w:leader="dot"/>
        </w:tabs>
        <w:rPr/>
      </w:pPr>
      <w:r>
        <w:rPr/>
        <w:t>C.5.3 Hardware e limites confirmáveis</w:t>
        <w:tab/>
        <w:t>155</w:t>
      </w:r>
    </w:p>
    <w:p>
      <w:pPr>
        <w:pStyle w:val="ndicedoAnexo3"/>
        <w:tabs>
          <w:tab w:val="clear" w:pos="708"/>
          <w:tab w:val="right" w:pos="8204" w:leader="dot"/>
        </w:tabs>
        <w:rPr/>
      </w:pPr>
      <w:r>
        <w:rPr/>
        <w:t>C.5.4 Exemplo de propagação</w:t>
        <w:tab/>
        <w:t>155</w:t>
      </w:r>
    </w:p>
    <w:p>
      <w:pPr>
        <w:pStyle w:val="ndicedoAnexo3"/>
        <w:tabs>
          <w:tab w:val="clear" w:pos="708"/>
          <w:tab w:val="right" w:pos="8204" w:leader="dot"/>
        </w:tabs>
        <w:rPr/>
      </w:pPr>
      <w:r>
        <w:rPr/>
        <w:t>C.5.5 Limitações específicas</w:t>
        <w:tab/>
        <w:t>156</w:t>
      </w:r>
    </w:p>
    <w:p>
      <w:pPr>
        <w:pStyle w:val="ndicedoAnexo2"/>
        <w:rPr/>
      </w:pPr>
      <w:r>
        <w:rPr/>
        <w:t>C.6 UnLimbited Phoenix Hand</w:t>
        <w:tab/>
        <w:t>156</w:t>
      </w:r>
    </w:p>
    <w:p>
      <w:pPr>
        <w:pStyle w:val="ndicedoAnexo3"/>
        <w:tabs>
          <w:tab w:val="clear" w:pos="708"/>
          <w:tab w:val="right" w:pos="8204" w:leader="dot"/>
        </w:tabs>
        <w:rPr/>
      </w:pPr>
      <w:r>
        <w:rPr/>
        <w:t>C.6.1 Origem e estratégia de adaptação</w:t>
        <w:tab/>
        <w:t>156</w:t>
      </w:r>
    </w:p>
    <w:p>
      <w:pPr>
        <w:pStyle w:val="ndicedoAnexo3"/>
        <w:tabs>
          <w:tab w:val="clear" w:pos="708"/>
          <w:tab w:val="right" w:pos="8204" w:leader="dot"/>
        </w:tabs>
        <w:rPr/>
      </w:pPr>
      <w:r>
        <w:rPr/>
        <w:t>C.6.2 Escala global e limite dimensional mínimo</w:t>
        <w:tab/>
        <w:t>156</w:t>
      </w:r>
    </w:p>
    <w:p>
      <w:pPr>
        <w:pStyle w:val="ndicedoAnexo3"/>
        <w:tabs>
          <w:tab w:val="clear" w:pos="708"/>
          <w:tab w:val="right" w:pos="8204" w:leader="dot"/>
        </w:tabs>
        <w:rPr/>
      </w:pPr>
      <w:r>
        <w:rPr/>
        <w:t>C.6.3 Comprimentos digitais e preservação dos furos</w:t>
        <w:tab/>
        <w:t>157</w:t>
      </w:r>
    </w:p>
    <w:p>
      <w:pPr>
        <w:pStyle w:val="ndicedoAnexo3"/>
        <w:tabs>
          <w:tab w:val="clear" w:pos="708"/>
          <w:tab w:val="right" w:pos="8204" w:leader="dot"/>
        </w:tabs>
        <w:rPr/>
      </w:pPr>
      <w:r>
        <w:rPr/>
        <w:t>C.6.4 Dependência entre comprimento digital e escala global</w:t>
        <w:tab/>
        <w:t>144</w:t>
      </w:r>
    </w:p>
    <w:p>
      <w:pPr>
        <w:pStyle w:val="ndicedoAnexo3"/>
        <w:tabs>
          <w:tab w:val="clear" w:pos="708"/>
          <w:tab w:val="right" w:pos="8204" w:leader="dot"/>
        </w:tabs>
        <w:rPr/>
      </w:pPr>
      <w:r>
        <w:rPr/>
        <w:t>C.6.5 Exemplo de propagação</w:t>
        <w:tab/>
        <w:t>158</w:t>
      </w:r>
    </w:p>
    <w:p>
      <w:pPr>
        <w:pStyle w:val="ndicedoAnexo3"/>
        <w:tabs>
          <w:tab w:val="clear" w:pos="708"/>
          <w:tab w:val="right" w:pos="8204" w:leader="dot"/>
        </w:tabs>
        <w:rPr/>
      </w:pPr>
      <w:r>
        <w:rPr/>
        <w:t>C.6.6 Componentes fixos e tolerâncias confirmáveis</w:t>
        <w:tab/>
        <w:t>158</w:t>
      </w:r>
    </w:p>
    <w:p>
      <w:pPr>
        <w:pStyle w:val="ndicedoAnexo3"/>
        <w:tabs>
          <w:tab w:val="clear" w:pos="708"/>
          <w:tab w:val="right" w:pos="8204" w:leader="dot"/>
        </w:tabs>
        <w:rPr/>
      </w:pPr>
      <w:r>
        <w:rPr/>
        <w:t>C.6.7 Limitações específicas</w:t>
        <w:tab/>
        <w:t>159</w:t>
      </w:r>
    </w:p>
    <w:p>
      <w:pPr>
        <w:pStyle w:val="ndicedoAnexo2"/>
        <w:rPr/>
      </w:pPr>
      <w:r>
        <w:rPr/>
        <w:t>C.7 Síntese comparativa das estratégias</w:t>
        <w:tab/>
        <w:t>159</w:t>
      </w:r>
    </w:p>
    <w:p>
      <w:pPr>
        <w:pStyle w:val="ndicedoAnexo2"/>
        <w:rPr/>
      </w:pPr>
      <w:r>
        <w:rPr/>
        <w:t>C.8 Critérios de aceitação, limitação e rejeição</w:t>
        <w:tab/>
        <w:t>160</w:t>
      </w:r>
    </w:p>
    <w:p>
      <w:pPr>
        <w:pStyle w:val="ndicedoAnexo2"/>
        <w:rPr/>
      </w:pPr>
      <w:r>
        <w:rPr/>
        <w:t>C.9 Relação com o Suplemento 3</w:t>
        <w:tab/>
        <w:t>160</w:t>
      </w:r>
    </w:p>
    <w:p>
      <w:pPr>
        <w:pStyle w:val="ndicedoAnexo2"/>
        <w:rPr/>
      </w:pPr>
      <w:r>
        <w:rPr/>
        <w:t>C.10 Limite de interpretação</w:t>
        <w:tab/>
        <w:t>160</w:t>
      </w:r>
    </w:p>
    <w:p>
      <w:pPr>
        <w:pStyle w:val="ndicedoAnexo2"/>
        <w:rPr/>
      </w:pPr>
      <w:r>
        <w:rPr/>
        <w:t>C.11 Fontes técnicas consultadas</w:t>
        <w:tab/>
        <w:t>161</w:t>
      </w:r>
    </w:p>
    <w:p>
      <w:pPr>
        <w:pStyle w:val="ndicedoAnexo2"/>
        <w:rPr/>
      </w:pPr>
      <w:r>
        <w:rPr/>
        <w:t>C.12 Verificações executadas</w:t>
        <w:tab/>
        <w:t>161</w:t>
      </w:r>
    </w:p>
    <w:p>
      <w:pPr>
        <w:pStyle w:val="ndicedoAnexo2"/>
        <w:rPr/>
      </w:pPr>
      <w:r>
        <w:rPr/>
        <w:t>Tabela C.1 — Correspondência entre medidas normalizadas e parâmetros dos modelos</w:t>
        <w:tab/>
        <w:t>147</w:t>
      </w:r>
    </w:p>
    <w:p>
      <w:pPr>
        <w:pStyle w:val="ndicedoAnexo2"/>
        <w:rPr/>
      </w:pPr>
      <w:r>
        <w:rPr/>
        <w:t>Tabela C.2 — Parâmetros numéricos do Flexy Beast com efeito dimensional</w:t>
        <w:tab/>
        <w:t>148</w:t>
      </w:r>
    </w:p>
    <w:p>
      <w:pPr>
        <w:pStyle w:val="ndicedoAnexo2"/>
        <w:rPr/>
      </w:pPr>
      <w:r>
        <w:rPr/>
        <w:t>Tabela C.3 — Relações dimensionais do Paraglider Hand</w:t>
        <w:tab/>
        <w:t>153</w:t>
      </w:r>
    </w:p>
    <w:p>
      <w:pPr>
        <w:pStyle w:val="ndicedoAnexo2"/>
        <w:rPr/>
      </w:pPr>
      <w:r>
        <w:rPr/>
        <w:t>Tabela C.4 — Comparação das adaptações e excepções de escala</w:t>
        <w:tab/>
        <w:t>159</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163</w:t>
      </w:r>
    </w:p>
    <w:p>
      <w:pPr>
        <w:pStyle w:val="ndicedoAnexo2"/>
        <w:rPr/>
      </w:pPr>
      <w:r>
        <w:rPr/>
        <w:t>D.2 Distinção entre estimativa e medição real</w:t>
        <w:tab/>
        <w:t>163</w:t>
      </w:r>
    </w:p>
    <w:p>
      <w:pPr>
        <w:pStyle w:val="ndicedoAnexo2"/>
        <w:rPr/>
      </w:pPr>
      <w:r>
        <w:rPr/>
        <w:t>D.3 Variáveis, controlos e materiais</w:t>
        <w:tab/>
        <w:t>163</w:t>
      </w:r>
    </w:p>
    <w:p>
      <w:pPr>
        <w:pStyle w:val="ndicedoAnexo3"/>
        <w:tabs>
          <w:tab w:val="clear" w:pos="708"/>
          <w:tab w:val="right" w:pos="8204" w:leader="dot"/>
        </w:tabs>
        <w:rPr/>
      </w:pPr>
      <w:r>
        <w:rPr/>
        <w:t>D.3.1 Série A — projectos de preparação digital para impressão 3D com configuração analisada</w:t>
        <w:tab/>
        <w:t>164</w:t>
      </w:r>
    </w:p>
    <w:p>
      <w:pPr>
        <w:pStyle w:val="ndicedoAnexo3"/>
        <w:tabs>
          <w:tab w:val="clear" w:pos="708"/>
          <w:tab w:val="right" w:pos="8204" w:leader="dot"/>
        </w:tabs>
        <w:rPr/>
      </w:pPr>
      <w:r>
        <w:rPr/>
        <w:t>D.3.2 Série B — comparação digital controlada</w:t>
        <w:tab/>
        <w:t>164</w:t>
      </w:r>
    </w:p>
    <w:p>
      <w:pPr>
        <w:pStyle w:val="ndicedoAnexo2"/>
        <w:rPr/>
      </w:pPr>
      <w:r>
        <w:rPr/>
        <w:t>D.4 Resultados</w:t>
        <w:tab/>
        <w:t>165</w:t>
      </w:r>
    </w:p>
    <w:p>
      <w:pPr>
        <w:pStyle w:val="ndicedoAnexo3"/>
        <w:tabs>
          <w:tab w:val="clear" w:pos="708"/>
          <w:tab w:val="right" w:pos="8204" w:leader="dot"/>
        </w:tabs>
        <w:rPr/>
      </w:pPr>
      <w:r>
        <w:rPr/>
        <w:t>D.4.1 Série A</w:t>
        <w:tab/>
        <w:t>165</w:t>
      </w:r>
    </w:p>
    <w:p>
      <w:pPr>
        <w:pStyle w:val="ndicedoAnexo3"/>
        <w:tabs>
          <w:tab w:val="clear" w:pos="708"/>
          <w:tab w:val="right" w:pos="8204" w:leader="dot"/>
        </w:tabs>
        <w:rPr/>
      </w:pPr>
      <w:r>
        <w:rPr/>
        <w:t>D.4.2 Série B (condição comum)</w:t>
        <w:tab/>
        <w:t>165</w:t>
      </w:r>
    </w:p>
    <w:p>
      <w:pPr>
        <w:pStyle w:val="ndicedoAnexo3"/>
        <w:tabs>
          <w:tab w:val="clear" w:pos="708"/>
          <w:tab w:val="right" w:pos="8204" w:leader="dot"/>
        </w:tabs>
        <w:rPr/>
      </w:pPr>
      <w:r>
        <w:rPr/>
        <w:t>D.4.3 Geometria — tamanho do conjunto vs tamanho da peça</w:t>
        <w:tab/>
        <w:t>167</w:t>
      </w:r>
    </w:p>
    <w:p>
      <w:pPr>
        <w:pStyle w:val="ndicedoAnexo3"/>
        <w:tabs>
          <w:tab w:val="clear" w:pos="708"/>
          <w:tab w:val="right" w:pos="8204" w:leader="dot"/>
        </w:tabs>
        <w:rPr/>
      </w:pPr>
      <w:r>
        <w:rPr/>
        <w:t>D.4.4 Comparação entre entrada, malha e peça física</w:t>
        <w:tab/>
        <w:t>167</w:t>
      </w:r>
    </w:p>
    <w:p>
      <w:pPr>
        <w:pStyle w:val="ndicedoAnexo3"/>
        <w:tabs>
          <w:tab w:val="clear" w:pos="708"/>
          <w:tab w:val="right" w:pos="8204" w:leader="dot"/>
        </w:tabs>
        <w:rPr/>
      </w:pPr>
      <w:r>
        <w:rPr/>
        <w:t>D.4.5 Registo fotográfico dos protótipos</w:t>
        <w:tab/>
        <w:t>169</w:t>
      </w:r>
    </w:p>
    <w:p>
      <w:pPr>
        <w:pStyle w:val="ndicedoAnexo2"/>
        <w:rPr/>
      </w:pPr>
      <w:r>
        <w:rPr/>
        <w:t>D.5 Compatibilidade com orientações de dimensionamento</w:t>
        <w:tab/>
        <w:t>169</w:t>
      </w:r>
    </w:p>
    <w:p>
      <w:pPr>
        <w:pStyle w:val="ndicedoAnexo2"/>
        <w:rPr/>
      </w:pPr>
      <w:r>
        <w:rPr/>
        <w:t>D.6 Limites de comparabilidade</w:t>
        <w:tab/>
        <w:t>170</w:t>
      </w:r>
    </w:p>
    <w:p>
      <w:pPr>
        <w:pStyle w:val="ndicedoAnexo2"/>
        <w:rPr/>
      </w:pPr>
      <w:r>
        <w:rPr/>
        <w:t>D.7 Campos que não puderam ser obtidos</w:t>
        <w:tab/>
        <w:t>170</w:t>
      </w:r>
    </w:p>
    <w:p>
      <w:pPr>
        <w:pStyle w:val="ndicedoAnexo2"/>
        <w:rPr/>
      </w:pPr>
      <w:r>
        <w:rPr/>
        <w:t>D.8 O que pode e não pode ser afirmado na INVESTIGAÇÃO</w:t>
        <w:tab/>
        <w:t>170</w:t>
      </w:r>
    </w:p>
    <w:p>
      <w:pPr>
        <w:pStyle w:val="ndicedoAnexo2"/>
        <w:rPr/>
      </w:pPr>
      <w:r>
        <w:rPr/>
        <w:t>Tabela D.1 — Estimativas dos projetos de preparação digital para impressão 3D com configuração analisada</w:t>
        <w:tab/>
        <w:t>165</w:t>
      </w:r>
    </w:p>
    <w:p>
      <w:pPr>
        <w:pStyle w:val="ndicedoAnexo2"/>
        <w:rPr/>
      </w:pPr>
      <w:r>
        <w:rPr/>
        <w:t>Tabela D.2 — Estimativas de preparação para impressão na condição digital comum</w:t>
        <w:tab/>
        <w:t>165</w:t>
      </w:r>
    </w:p>
    <w:p>
      <w:pPr>
        <w:pStyle w:val="ndicedoAnexo2"/>
        <w:rPr/>
      </w:pPr>
      <w:r>
        <w:rPr/>
        <w:t>Tabela D.3 — Comparação dimensional da palma no eixo X em PLA e PETG</w:t>
        <w:tab/>
        <w:t>167</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