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39</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47</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57</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93</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102</w:t>
      </w:r>
    </w:p>
    <w:p>
      <w:pPr>
        <w:pStyle w:val="TOC1"/>
        <w:rPr/>
      </w:pPr>
      <w:r>
        <w:rPr/>
        <w:t>Tabela 8.8 — Discussão dos resultados face às lacunas selecionadas do estado da arte</w:t>
        <w:tab/>
        <w:t>104</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66</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75</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w:t>
        <w:tab/>
        <w:t>89</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148</w:t>
      </w:r>
      <w:r>
        <w:br w:type="page"/>
      </w:r>
    </w:p>
    <w:p>
      <w:pPr>
        <w:pStyle w:val="TtulosPrembulo-IPCA"/>
        <w:spacing w:before="0" w:after="120"/>
        <w:contextualSpacing/>
        <w:rPr/>
      </w:pPr>
      <w:r>
        <w:rPr/>
        <w:t>ÍNDICE</w:t>
      </w:r>
    </w:p>
    <w:p>
      <w:pPr>
        <w:pStyle w:val="TOC1"/>
        <w:rPr/>
      </w:pPr>
      <w:r>
        <w:rPr/>
        <w:t>Capítulo 1 — Introdução</w:t>
        <w:tab/>
        <w:t>2</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14</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17</w:t>
      </w:r>
    </w:p>
    <w:p>
      <w:pPr>
        <w:pStyle w:val="TOC2"/>
        <w:rPr/>
      </w:pPr>
      <w:r>
        <w:rPr/>
        <w:t>Métodos de recolha antropométrica em próteses e tecnologias de apoio</w:t>
        <w:tab/>
        <w:t>18</w:t>
      </w:r>
    </w:p>
    <w:p>
      <w:pPr>
        <w:pStyle w:val="TOC2"/>
        <w:rPr/>
      </w:pPr>
      <w:r>
        <w:rPr/>
        <w:t>Interpretação e aplicação de dados antropométricos no projeto</w:t>
        <w:tab/>
        <w:t>19</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29</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39</w:t>
      </w:r>
    </w:p>
    <w:p>
      <w:pPr>
        <w:pStyle w:val="TOC2"/>
        <w:rPr/>
      </w:pPr>
      <w:r>
        <w:rPr/>
        <w:t>3.4 Métodos de recolha e análise de dados</w:t>
        <w:tab/>
        <w:t>42</w:t>
      </w:r>
    </w:p>
    <w:p>
      <w:pPr>
        <w:pStyle w:val="TOC2"/>
        <w:rPr/>
      </w:pPr>
      <w:r>
        <w:rPr/>
        <w:t>3.5 Critérios de avaliação e limitações metodológicas</w:t>
        <w:tab/>
        <w:t>44</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49</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61</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65</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87</w:t>
      </w:r>
    </w:p>
    <w:p>
      <w:pPr>
        <w:pStyle w:val="TOC2"/>
        <w:rPr/>
      </w:pPr>
      <w:r>
        <w:rPr/>
        <w:t>7.1 Estratégia de interação e decisões de UI/UX</w:t>
        <w:tab/>
        <w:t>87</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122</w:t>
      </w:r>
    </w:p>
    <w:p>
      <w:pPr>
        <w:pStyle w:val="TOC1"/>
        <w:rPr/>
      </w:pPr>
      <w:r>
        <w:rPr/>
        <w:t>Anexo B — Avaliação do processo paramétrico e da interface da plataforma HandFab</w:t>
        <w:tab/>
        <w:t>138</w:t>
      </w:r>
    </w:p>
    <w:p>
      <w:pPr>
        <w:pStyle w:val="TOC1"/>
        <w:rPr/>
      </w:pPr>
      <w:r>
        <w:rPr/>
        <w:t>Anexo C — Adaptação paramétrica dos modelos de mão protésica</w:t>
        <w:tab/>
        <w:t>145</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163</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123</w:t>
      </w:r>
    </w:p>
    <w:p>
      <w:pPr>
        <w:pStyle w:val="ndicedoAnexo2"/>
        <w:rPr/>
      </w:pPr>
      <w:r>
        <w:rPr/>
        <w:t>A.2 Estratégia de Pesquisa Bibliográfica</w:t>
        <w:tab/>
        <w:t>123</w:t>
      </w:r>
    </w:p>
    <w:p>
      <w:pPr>
        <w:pStyle w:val="ndicedoAnexo3"/>
        <w:tabs>
          <w:tab w:val="clear" w:pos="708"/>
          <w:tab w:val="right" w:pos="8204" w:leader="dot"/>
        </w:tabs>
        <w:rPr/>
      </w:pPr>
      <w:r>
        <w:rPr/>
        <w:t>A.2.1 Pesquisa bibliográfica orientada</w:t>
        <w:tab/>
        <w:t>123</w:t>
      </w:r>
    </w:p>
    <w:p>
      <w:pPr>
        <w:pStyle w:val="ndicedoAnexo3"/>
        <w:tabs>
          <w:tab w:val="clear" w:pos="708"/>
          <w:tab w:val="right" w:pos="8204" w:leader="dot"/>
        </w:tabs>
        <w:rPr/>
      </w:pPr>
      <w:r>
        <w:rPr/>
        <w:t>A.2.2 Base ANSUR 1988</w:t>
        <w:tab/>
        <w:t>123</w:t>
      </w:r>
    </w:p>
    <w:p>
      <w:pPr>
        <w:pStyle w:val="ndicedoAnexo2"/>
        <w:rPr/>
      </w:pPr>
      <w:r>
        <w:rPr/>
        <w:t>A.3 Critérios de Inclusão e Exclusão de Estudos</w:t>
        <w:tab/>
        <w:t>124</w:t>
      </w:r>
    </w:p>
    <w:p>
      <w:pPr>
        <w:pStyle w:val="ndicedoAnexo3"/>
        <w:tabs>
          <w:tab w:val="clear" w:pos="708"/>
          <w:tab w:val="right" w:pos="8204" w:leader="dot"/>
        </w:tabs>
        <w:rPr/>
      </w:pPr>
      <w:r>
        <w:rPr/>
        <w:t>A.3.1 Critérios de inclusão</w:t>
        <w:tab/>
        <w:t>124</w:t>
      </w:r>
    </w:p>
    <w:p>
      <w:pPr>
        <w:pStyle w:val="ndicedoAnexo3"/>
        <w:tabs>
          <w:tab w:val="clear" w:pos="708"/>
          <w:tab w:val="right" w:pos="8204" w:leader="dot"/>
        </w:tabs>
        <w:rPr/>
      </w:pPr>
      <w:r>
        <w:rPr/>
        <w:t>A.3.2 Critérios de exclusão</w:t>
        <w:tab/>
        <w:t>124</w:t>
      </w:r>
    </w:p>
    <w:p>
      <w:pPr>
        <w:pStyle w:val="ndicedoAnexo2"/>
        <w:rPr/>
      </w:pPr>
      <w:r>
        <w:rPr/>
        <w:t>A.4 Processo de Extracção de Dados</w:t>
        <w:tab/>
        <w:t>125</w:t>
      </w:r>
    </w:p>
    <w:p>
      <w:pPr>
        <w:pStyle w:val="ndicedoAnexo3"/>
        <w:tabs>
          <w:tab w:val="clear" w:pos="708"/>
          <w:tab w:val="right" w:pos="8204" w:leader="dot"/>
        </w:tabs>
        <w:rPr/>
      </w:pPr>
      <w:r>
        <w:rPr/>
        <w:t>A.4.1 Leitura dos PDFs e localização das tabelas</w:t>
        <w:tab/>
        <w:t>125</w:t>
      </w:r>
    </w:p>
    <w:p>
      <w:pPr>
        <w:pStyle w:val="ndicedoAnexo3"/>
        <w:tabs>
          <w:tab w:val="clear" w:pos="708"/>
          <w:tab w:val="right" w:pos="8204" w:leader="dot"/>
        </w:tabs>
        <w:rPr/>
      </w:pPr>
      <w:r>
        <w:rPr/>
        <w:t>A.4.2 Identificação das unidades e conversão</w:t>
        <w:tab/>
        <w:t>125</w:t>
      </w:r>
    </w:p>
    <w:p>
      <w:pPr>
        <w:pStyle w:val="ndicedoAnexo3"/>
        <w:tabs>
          <w:tab w:val="clear" w:pos="708"/>
          <w:tab w:val="right" w:pos="8204" w:leader="dot"/>
        </w:tabs>
        <w:rPr/>
      </w:pPr>
      <w:r>
        <w:rPr/>
        <w:t>A.4.3 Decomposição em linhas atómicas</w:t>
        <w:tab/>
        <w:t>125</w:t>
      </w:r>
    </w:p>
    <w:p>
      <w:pPr>
        <w:pStyle w:val="ndicedoAnexo3"/>
        <w:tabs>
          <w:tab w:val="clear" w:pos="708"/>
          <w:tab w:val="right" w:pos="8204" w:leader="dot"/>
        </w:tabs>
        <w:rPr/>
      </w:pPr>
      <w:r>
        <w:rPr/>
        <w:t>A.4.4 Registo fiel do contexto da medição</w:t>
        <w:tab/>
        <w:t>125</w:t>
      </w:r>
    </w:p>
    <w:p>
      <w:pPr>
        <w:pStyle w:val="ndicedoAnexo2"/>
        <w:rPr/>
      </w:pPr>
      <w:r>
        <w:rPr/>
        <w:t>A.5 Decisões por Estudo</w:t>
        <w:tab/>
        <w:t>126</w:t>
      </w:r>
    </w:p>
    <w:p>
      <w:pPr>
        <w:pStyle w:val="ndicedoAnexo3"/>
        <w:tabs>
          <w:tab w:val="clear" w:pos="708"/>
          <w:tab w:val="right" w:pos="8204" w:leader="dot"/>
        </w:tabs>
        <w:rPr/>
      </w:pPr>
      <w:r>
        <w:rPr/>
        <w:t>A.5.1 ANSUR 1988 — EUA, militares (Gordon et al., 1989)</w:t>
        <w:tab/>
        <w:t>126</w:t>
      </w:r>
    </w:p>
    <w:p>
      <w:pPr>
        <w:pStyle w:val="ndicedoAnexo3"/>
        <w:tabs>
          <w:tab w:val="clear" w:pos="708"/>
          <w:tab w:val="right" w:pos="8204" w:leader="dot"/>
        </w:tabs>
        <w:rPr/>
      </w:pPr>
      <w:r>
        <w:rPr/>
        <w:t>A.5.2 Turquia — jovens adultos (Chatzioglou et al., 2024)</w:t>
        <w:tab/>
        <w:t>126</w:t>
      </w:r>
    </w:p>
    <w:p>
      <w:pPr>
        <w:pStyle w:val="ndicedoAnexo3"/>
        <w:tabs>
          <w:tab w:val="clear" w:pos="708"/>
          <w:tab w:val="right" w:pos="8204" w:leader="dot"/>
        </w:tabs>
        <w:rPr/>
      </w:pPr>
      <w:r>
        <w:rPr/>
        <w:t>A.5.3 México — população geral (Rodríguez-Vega &amp; Rodríguez-Vega, 2024)</w:t>
        <w:tab/>
        <w:t>126</w:t>
      </w:r>
    </w:p>
    <w:p>
      <w:pPr>
        <w:pStyle w:val="ndicedoAnexo3"/>
        <w:tabs>
          <w:tab w:val="clear" w:pos="708"/>
          <w:tab w:val="right" w:pos="8204" w:leader="dot"/>
        </w:tabs>
        <w:rPr/>
      </w:pPr>
      <w:r>
        <w:rPr/>
        <w:t>A.5.4 Índia — mulheres trabalhadoras (Nag et al., 2003)</w:t>
        <w:tab/>
        <w:t>127</w:t>
      </w:r>
    </w:p>
    <w:p>
      <w:pPr>
        <w:pStyle w:val="ndicedoAnexo3"/>
        <w:tabs>
          <w:tab w:val="clear" w:pos="708"/>
          <w:tab w:val="right" w:pos="8204" w:leader="dot"/>
        </w:tabs>
        <w:rPr/>
      </w:pPr>
      <w:r>
        <w:rPr/>
        <w:t>A.5.5 Portugal — trabalhadores industriais (Anacleto Filho et al., 2023)</w:t>
        <w:tab/>
        <w:t>127</w:t>
      </w:r>
    </w:p>
    <w:p>
      <w:pPr>
        <w:pStyle w:val="ndicedoAnexo3"/>
        <w:tabs>
          <w:tab w:val="clear" w:pos="708"/>
          <w:tab w:val="right" w:pos="8204" w:leader="dot"/>
        </w:tabs>
        <w:rPr/>
      </w:pPr>
      <w:r>
        <w:rPr/>
        <w:t>A.5.6 Nigéria — atletas universitários (Ibiwari et al., 2025)</w:t>
        <w:tab/>
        <w:t>127</w:t>
      </w:r>
    </w:p>
    <w:p>
      <w:pPr>
        <w:pStyle w:val="ndicedoAnexo3"/>
        <w:tabs>
          <w:tab w:val="clear" w:pos="708"/>
          <w:tab w:val="right" w:pos="8204" w:leader="dot"/>
        </w:tabs>
        <w:rPr/>
      </w:pPr>
      <w:r>
        <w:rPr/>
        <w:t>A.5.7 Jordânia — trabalhadores com deficiência (Mistarihi, 2020)</w:t>
        <w:tab/>
        <w:t>128</w:t>
      </w:r>
    </w:p>
    <w:p>
      <w:pPr>
        <w:pStyle w:val="ndicedoAnexo3"/>
        <w:tabs>
          <w:tab w:val="clear" w:pos="708"/>
          <w:tab w:val="right" w:pos="8204" w:leader="dot"/>
        </w:tabs>
        <w:rPr/>
      </w:pPr>
      <w:r>
        <w:rPr/>
        <w:t>A.5.8 EUA — dedo indicador (Lim et al., 2018)</w:t>
        <w:tab/>
        <w:t>128</w:t>
      </w:r>
    </w:p>
    <w:p>
      <w:pPr>
        <w:pStyle w:val="ndicedoAnexo3"/>
        <w:tabs>
          <w:tab w:val="clear" w:pos="708"/>
          <w:tab w:val="right" w:pos="8204" w:leader="dot"/>
        </w:tabs>
        <w:rPr/>
      </w:pPr>
      <w:r>
        <w:rPr/>
        <w:t>A.5.9 Estudo excluído: Moreo (2016)</w:t>
        <w:tab/>
        <w:t>128</w:t>
      </w:r>
    </w:p>
    <w:p>
      <w:pPr>
        <w:pStyle w:val="ndicedoAnexo3"/>
        <w:tabs>
          <w:tab w:val="clear" w:pos="708"/>
          <w:tab w:val="right" w:pos="8204" w:leader="dot"/>
        </w:tabs>
        <w:rPr/>
      </w:pPr>
      <w:r>
        <w:rPr/>
        <w:t>A.5.10 EUA — militares ANSUR II (Gordon et al., 2015)</w:t>
        <w:tab/>
        <w:t>128</w:t>
      </w:r>
    </w:p>
    <w:p>
      <w:pPr>
        <w:pStyle w:val="ndicedoAnexo3"/>
        <w:tabs>
          <w:tab w:val="clear" w:pos="708"/>
          <w:tab w:val="right" w:pos="8204" w:leader="dot"/>
        </w:tabs>
        <w:rPr/>
      </w:pPr>
      <w:r>
        <w:rPr/>
        <w:t>A.5.11 Países Baixos — DINED (TU Delft, 1993–2004)</w:t>
        <w:tab/>
        <w:t>129</w:t>
      </w:r>
    </w:p>
    <w:p>
      <w:pPr>
        <w:pStyle w:val="ndicedoAnexo3"/>
        <w:tabs>
          <w:tab w:val="clear" w:pos="708"/>
          <w:tab w:val="right" w:pos="8204" w:leader="dot"/>
        </w:tabs>
        <w:rPr/>
      </w:pPr>
      <w:r>
        <w:rPr/>
        <w:t>A.5.12 China — idosos de Pequim (Hu et al., 2007)</w:t>
        <w:tab/>
        <w:t>129</w:t>
      </w:r>
    </w:p>
    <w:p>
      <w:pPr>
        <w:pStyle w:val="ndicedoAnexo3"/>
        <w:tabs>
          <w:tab w:val="clear" w:pos="708"/>
          <w:tab w:val="right" w:pos="8204" w:leader="dot"/>
        </w:tabs>
        <w:rPr/>
      </w:pPr>
      <w:r>
        <w:rPr/>
        <w:t>A.5.13 Estudo excluído: reconstrução corporal 3D a partir de fotografias ortogonais</w:t>
        <w:tab/>
        <w:t>130</w:t>
      </w:r>
    </w:p>
    <w:p>
      <w:pPr>
        <w:pStyle w:val="ndicedoAnexo2"/>
        <w:rPr/>
      </w:pPr>
      <w:r>
        <w:rPr/>
        <w:t>A.6 Estrutura do CSV e esquema de dados</w:t>
        <w:tab/>
        <w:t>130</w:t>
      </w:r>
    </w:p>
    <w:p>
      <w:pPr>
        <w:pStyle w:val="ndicedoAnexo3"/>
        <w:tabs>
          <w:tab w:val="clear" w:pos="708"/>
          <w:tab w:val="right" w:pos="8204" w:leader="dot"/>
        </w:tabs>
        <w:rPr/>
      </w:pPr>
      <w:r>
        <w:rPr/>
        <w:t>A.6.1 Campos</w:t>
        <w:tab/>
        <w:t>130</w:t>
      </w:r>
    </w:p>
    <w:p>
      <w:pPr>
        <w:pStyle w:val="ndicedoAnexo3"/>
        <w:tabs>
          <w:tab w:val="clear" w:pos="708"/>
          <w:tab w:val="right" w:pos="8204" w:leader="dot"/>
        </w:tabs>
        <w:rPr/>
      </w:pPr>
      <w:r>
        <w:rPr/>
        <w:t>A.6.2 Formato longo (long format)</w:t>
        <w:tab/>
        <w:t>131</w:t>
      </w:r>
    </w:p>
    <w:p>
      <w:pPr>
        <w:pStyle w:val="ndicedoAnexo2"/>
        <w:rPr/>
      </w:pPr>
      <w:r>
        <w:rPr/>
        <w:t>A.7 Controlo de Qualidade dos Dados</w:t>
        <w:tab/>
        <w:t>131</w:t>
      </w:r>
    </w:p>
    <w:p>
      <w:pPr>
        <w:pStyle w:val="ndicedoAnexo3"/>
        <w:tabs>
          <w:tab w:val="clear" w:pos="708"/>
          <w:tab w:val="right" w:pos="8204" w:leader="dot"/>
        </w:tabs>
        <w:rPr/>
      </w:pPr>
      <w:r>
        <w:rPr/>
        <w:t>A.7.1 Marcação inline de limitações</w:t>
        <w:tab/>
        <w:t>131</w:t>
      </w:r>
    </w:p>
    <w:p>
      <w:pPr>
        <w:pStyle w:val="ndicedoAnexo3"/>
        <w:tabs>
          <w:tab w:val="clear" w:pos="708"/>
          <w:tab w:val="right" w:pos="8204" w:leader="dot"/>
        </w:tabs>
        <w:rPr/>
      </w:pPr>
      <w:r>
        <w:rPr/>
        <w:t>A.7.2 Verificação de unidades</w:t>
        <w:tab/>
        <w:t>131</w:t>
      </w:r>
    </w:p>
    <w:p>
      <w:pPr>
        <w:pStyle w:val="ndicedoAnexo3"/>
        <w:tabs>
          <w:tab w:val="clear" w:pos="708"/>
          <w:tab w:val="right" w:pos="8204" w:leader="dot"/>
        </w:tabs>
        <w:rPr/>
      </w:pPr>
      <w:r>
        <w:rPr/>
        <w:t>A.7.3 Ligação à fonte</w:t>
        <w:tab/>
        <w:t>132</w:t>
      </w:r>
    </w:p>
    <w:p>
      <w:pPr>
        <w:pStyle w:val="ndicedoAnexo2"/>
        <w:rPr/>
      </w:pPr>
      <w:r>
        <w:rPr/>
        <w:t>A.8 Escrita do Código de Geração</w:t>
        <w:tab/>
        <w:t>132</w:t>
      </w:r>
    </w:p>
    <w:p>
      <w:pPr>
        <w:pStyle w:val="ndicedoAnexo3"/>
        <w:tabs>
          <w:tab w:val="clear" w:pos="708"/>
          <w:tab w:val="right" w:pos="8204" w:leader="dot"/>
        </w:tabs>
        <w:rPr/>
      </w:pPr>
      <w:r>
        <w:rPr/>
        <w:t>A.8.1 Correspondência entre os CSV e os parâmetros da plataforma</w:t>
        <w:tab/>
        <w:t>132</w:t>
      </w:r>
    </w:p>
    <w:p>
      <w:pPr>
        <w:pStyle w:val="ndicedoAnexo2"/>
        <w:rPr/>
      </w:pPr>
      <w:r>
        <w:rPr/>
        <w:t>A.9 Resultado Final</w:t>
        <w:tab/>
        <w:t>133</w:t>
      </w:r>
    </w:p>
    <w:p>
      <w:pPr>
        <w:pStyle w:val="ndicedoAnexo2"/>
        <w:rPr/>
      </w:pPr>
      <w:r>
        <w:rPr/>
        <w:t>A.10 Cobertura Global da Base de Dados e Lacunas</w:t>
        <w:tab/>
        <w:t>133</w:t>
      </w:r>
    </w:p>
    <w:p>
      <w:pPr>
        <w:pStyle w:val="ndicedoAnexo3"/>
        <w:tabs>
          <w:tab w:val="clear" w:pos="708"/>
          <w:tab w:val="right" w:pos="8204" w:leader="dot"/>
        </w:tabs>
        <w:rPr/>
      </w:pPr>
      <w:r>
        <w:rPr/>
        <w:t>A.10.1 O que está coberto</w:t>
        <w:tab/>
        <w:t>133</w:t>
      </w:r>
    </w:p>
    <w:p>
      <w:pPr>
        <w:pStyle w:val="ndicedoAnexo4"/>
        <w:tabs>
          <w:tab w:val="clear" w:pos="708"/>
          <w:tab w:val="right" w:pos="8204" w:leader="dot"/>
        </w:tabs>
        <w:rPr/>
      </w:pPr>
      <w:r>
        <w:rPr/>
        <w:t>A.10.1.1 Cobertura geográfica</w:t>
        <w:tab/>
        <w:t>133</w:t>
      </w:r>
    </w:p>
    <w:p>
      <w:pPr>
        <w:pStyle w:val="ndicedoAnexo4"/>
        <w:tabs>
          <w:tab w:val="clear" w:pos="708"/>
          <w:tab w:val="right" w:pos="8204" w:leader="dot"/>
        </w:tabs>
        <w:rPr/>
      </w:pPr>
      <w:r>
        <w:rPr/>
        <w:t>A.10.1.2 Cobertura etária</w:t>
        <w:tab/>
        <w:t>134</w:t>
      </w:r>
    </w:p>
    <w:p>
      <w:pPr>
        <w:pStyle w:val="ndicedoAnexo4"/>
        <w:tabs>
          <w:tab w:val="clear" w:pos="708"/>
          <w:tab w:val="right" w:pos="8204" w:leader="dot"/>
        </w:tabs>
        <w:rPr/>
      </w:pPr>
      <w:r>
        <w:rPr/>
        <w:t>A.10.1.3 Cobertura estatística</w:t>
        <w:tab/>
        <w:t>134</w:t>
      </w:r>
    </w:p>
    <w:p>
      <w:pPr>
        <w:pStyle w:val="ndicedoAnexo3"/>
        <w:tabs>
          <w:tab w:val="clear" w:pos="708"/>
          <w:tab w:val="right" w:pos="8204" w:leader="dot"/>
        </w:tabs>
        <w:rPr/>
      </w:pPr>
      <w:r>
        <w:rPr/>
        <w:t>A.10.2 Onde a cobertura falha</w:t>
        <w:tab/>
        <w:t>135</w:t>
      </w:r>
    </w:p>
    <w:p>
      <w:pPr>
        <w:pStyle w:val="ndicedoAnexo4"/>
        <w:tabs>
          <w:tab w:val="clear" w:pos="708"/>
          <w:tab w:val="right" w:pos="8204" w:leader="dot"/>
        </w:tabs>
        <w:rPr/>
      </w:pPr>
      <w:r>
        <w:rPr/>
        <w:t>A.10.2.1 Lacunas geográficas</w:t>
        <w:tab/>
        <w:t>135</w:t>
      </w:r>
    </w:p>
    <w:p>
      <w:pPr>
        <w:pStyle w:val="ndicedoAnexo4"/>
        <w:tabs>
          <w:tab w:val="clear" w:pos="708"/>
          <w:tab w:val="right" w:pos="8204" w:leader="dot"/>
        </w:tabs>
        <w:rPr/>
      </w:pPr>
      <w:r>
        <w:rPr/>
        <w:t>A.10.2.2 Lacunas demográficas</w:t>
        <w:tab/>
        <w:t>135</w:t>
      </w:r>
    </w:p>
    <w:p>
      <w:pPr>
        <w:pStyle w:val="ndicedoAnexo4"/>
        <w:tabs>
          <w:tab w:val="clear" w:pos="708"/>
          <w:tab w:val="right" w:pos="8204" w:leader="dot"/>
        </w:tabs>
        <w:rPr/>
      </w:pPr>
      <w:r>
        <w:rPr/>
        <w:t>A.10.2.3 Limitações qualitativas dos dados existentes</w:t>
        <w:tab/>
        <w:t>136</w:t>
      </w:r>
    </w:p>
    <w:p>
      <w:pPr>
        <w:pStyle w:val="ndicedoAnexo3"/>
        <w:tabs>
          <w:tab w:val="clear" w:pos="708"/>
          <w:tab w:val="right" w:pos="8204" w:leader="dot"/>
        </w:tabs>
        <w:rPr/>
      </w:pPr>
      <w:r>
        <w:rPr/>
        <w:t>A.10.3 PRIORIDADES identificadas para expansão futura</w:t>
        <w:tab/>
        <w:t>136</w:t>
      </w:r>
    </w:p>
    <w:p>
      <w:pPr>
        <w:pStyle w:val="ndicedoAnexo4"/>
        <w:tabs>
          <w:tab w:val="clear" w:pos="708"/>
          <w:tab w:val="right" w:pos="8204" w:leader="dot"/>
        </w:tabs>
        <w:rPr/>
      </w:pPr>
      <w:r>
        <w:rPr/>
        <w:t>A.10.3.1 Prioridade alta</w:t>
        <w:tab/>
        <w:t>136</w:t>
      </w:r>
    </w:p>
    <w:p>
      <w:pPr>
        <w:pStyle w:val="ndicedoAnexo4"/>
        <w:tabs>
          <w:tab w:val="clear" w:pos="708"/>
          <w:tab w:val="right" w:pos="8204" w:leader="dot"/>
        </w:tabs>
        <w:rPr/>
      </w:pPr>
      <w:r>
        <w:rPr/>
        <w:t>A.10.3.2 Prioridade média</w:t>
        <w:tab/>
        <w:t>137</w:t>
      </w:r>
    </w:p>
    <w:p>
      <w:pPr>
        <w:pStyle w:val="ndicedoAnexo4"/>
        <w:tabs>
          <w:tab w:val="clear" w:pos="708"/>
          <w:tab w:val="right" w:pos="8204" w:leader="dot"/>
        </w:tabs>
        <w:rPr/>
      </w:pPr>
      <w:r>
        <w:rPr/>
        <w:t>A.10.3.3 Pertinência directa para o tema da tese</w:t>
        <w:tab/>
        <w:t>137</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138</w:t>
      </w:r>
    </w:p>
    <w:p>
      <w:pPr>
        <w:pStyle w:val="ndicedoAnexo2"/>
        <w:rPr/>
      </w:pPr>
      <w:r>
        <w:rPr/>
        <w:t>B.2 Âmbito e limites</w:t>
        <w:tab/>
        <w:t>139</w:t>
      </w:r>
    </w:p>
    <w:p>
      <w:pPr>
        <w:pStyle w:val="ndicedoAnexo2"/>
        <w:rPr/>
      </w:pPr>
      <w:r>
        <w:rPr/>
        <w:t>B.3 Procedimento</w:t>
        <w:tab/>
        <w:t>139</w:t>
      </w:r>
    </w:p>
    <w:p>
      <w:pPr>
        <w:pStyle w:val="ndicedoAnexo2"/>
        <w:rPr/>
      </w:pPr>
      <w:r>
        <w:rPr/>
        <w:t>B.4 Resultados de consistência da geração</w:t>
        <w:tab/>
        <w:t>139</w:t>
      </w:r>
    </w:p>
    <w:p>
      <w:pPr>
        <w:pStyle w:val="ndicedoAnexo3"/>
        <w:tabs>
          <w:tab w:val="clear" w:pos="708"/>
          <w:tab w:val="right" w:pos="8204" w:leader="dot"/>
        </w:tabs>
        <w:rPr/>
      </w:pPr>
      <w:r>
        <w:rPr/>
        <w:t>B.4.1 Repetição da mesma configuração</w:t>
        <w:tab/>
        <w:t>139</w:t>
      </w:r>
    </w:p>
    <w:p>
      <w:pPr>
        <w:pStyle w:val="ndicedoAnexo3"/>
        <w:tabs>
          <w:tab w:val="clear" w:pos="708"/>
          <w:tab w:val="right" w:pos="8204" w:leader="dot"/>
        </w:tabs>
        <w:rPr/>
      </w:pPr>
      <w:r>
        <w:rPr/>
        <w:t>B.4.2 Comparação entre navegadores</w:t>
        <w:tab/>
        <w:t>140</w:t>
      </w:r>
    </w:p>
    <w:p>
      <w:pPr>
        <w:pStyle w:val="ndicedoAnexo2"/>
        <w:rPr/>
      </w:pPr>
      <w:r>
        <w:rPr/>
        <w:t>B.5 Resultados de recuperação e controlo</w:t>
        <w:tab/>
        <w:t>140</w:t>
      </w:r>
    </w:p>
    <w:p>
      <w:pPr>
        <w:pStyle w:val="ndicedoAnexo2"/>
        <w:rPr/>
      </w:pPr>
      <w:r>
        <w:rPr/>
        <w:t>B.6 Resultados da verificação de acessibilidade digital</w:t>
        <w:tab/>
        <w:t>141</w:t>
      </w:r>
    </w:p>
    <w:p>
      <w:pPr>
        <w:pStyle w:val="ndicedoAnexo3"/>
        <w:tabs>
          <w:tab w:val="clear" w:pos="708"/>
          <w:tab w:val="right" w:pos="8204" w:leader="dot"/>
        </w:tabs>
        <w:rPr/>
      </w:pPr>
      <w:r>
        <w:rPr/>
        <w:t>B.6.1 Percurso local autenticado</w:t>
        <w:tab/>
        <w:t>141</w:t>
      </w:r>
    </w:p>
    <w:p>
      <w:pPr>
        <w:pStyle w:val="ndicedoAnexo3"/>
        <w:tabs>
          <w:tab w:val="clear" w:pos="708"/>
          <w:tab w:val="right" w:pos="8204" w:leader="dot"/>
        </w:tabs>
        <w:rPr/>
      </w:pPr>
      <w:r>
        <w:rPr/>
        <w:t>B.6.2 Superfície pública</w:t>
        <w:tab/>
        <w:t>142</w:t>
      </w:r>
    </w:p>
    <w:p>
      <w:pPr>
        <w:pStyle w:val="ndicedoAnexo3"/>
        <w:tabs>
          <w:tab w:val="clear" w:pos="708"/>
          <w:tab w:val="right" w:pos="8204" w:leader="dot"/>
        </w:tabs>
        <w:rPr/>
      </w:pPr>
      <w:r>
        <w:rPr/>
        <w:t>B.6.3 Verificação manual complementar</w:t>
        <w:tab/>
        <w:t>142</w:t>
      </w:r>
    </w:p>
    <w:p>
      <w:pPr>
        <w:pStyle w:val="ndicedoAnexo2"/>
        <w:rPr/>
      </w:pPr>
      <w:r>
        <w:rPr/>
        <w:t>B.7 Aprendizagens para o Design Industrial</w:t>
        <w:tab/>
        <w:t>143</w:t>
      </w:r>
    </w:p>
    <w:p>
      <w:pPr>
        <w:pStyle w:val="ndicedoAnexo2"/>
        <w:rPr/>
      </w:pPr>
      <w:r>
        <w:rPr/>
        <w:t>B.8 Conclusão</w:t>
        <w:tab/>
        <w:t>144</w:t>
      </w:r>
    </w:p>
    <w:p>
      <w:pPr>
        <w:pStyle w:val="ndicedoAnexo2"/>
        <w:rPr/>
      </w:pPr>
      <w:r>
        <w:rPr/>
        <w:t>B.9 Referências normativas</w:t>
        <w:tab/>
        <w:t>144</w:t>
      </w:r>
    </w:p>
    <w:p>
      <w:pPr>
        <w:pStyle w:val="ndicedoAnexo2"/>
        <w:rPr/>
      </w:pPr>
      <w:r>
        <w:rPr/>
        <w:t>Tabela B.1 — Resultados da repetição da mesma configuração por modelo</w:t>
        <w:tab/>
        <w:t>139</w:t>
      </w:r>
    </w:p>
    <w:p>
      <w:pPr>
        <w:pStyle w:val="ndicedoAnexo2"/>
        <w:rPr/>
      </w:pPr>
      <w:r>
        <w:rPr/>
        <w:t>Tabela B.2 — Resultados do percurso examinado em três navegadores</w:t>
        <w:tab/>
        <w:t>140</w:t>
      </w:r>
    </w:p>
    <w:p>
      <w:pPr>
        <w:pStyle w:val="ndicedoAnexo2"/>
        <w:rPr/>
      </w:pPr>
      <w:r>
        <w:rPr/>
        <w:t>Tabela B.3 — Comportamento observado perante limites, entradas inválidas e falhas previstas</w:t>
        <w:tab/>
        <w:t>140</w:t>
      </w:r>
    </w:p>
    <w:p>
      <w:pPr>
        <w:pStyle w:val="ndicedoAnexo2"/>
        <w:rPr/>
      </w:pPr>
      <w:r>
        <w:rPr/>
        <w:t>Tabela B.4 — Categorias de problemas de acessibilidade digital detectadas automaticamente</w:t>
        <w:tab/>
        <w:t>142</w:t>
      </w:r>
    </w:p>
    <w:p>
      <w:pPr>
        <w:pStyle w:val="ndicedoAnexo2"/>
        <w:rPr>
          <w:b/>
        </w:rPr>
      </w:pPr>
      <w:r>
        <w:rPr/>
        <w:t>Tabela B.5 — Resultados da verificação manual complementar de acessibilidade</w:t>
        <w:tab/>
        <w:t>142</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147</w:t>
      </w:r>
    </w:p>
    <w:p>
      <w:pPr>
        <w:pStyle w:val="ndicedoAnexo2"/>
        <w:rPr/>
      </w:pPr>
      <w:r>
        <w:rPr/>
        <w:t>C.2 Princípio comum de adaptação</w:t>
        <w:tab/>
        <w:t>147</w:t>
      </w:r>
    </w:p>
    <w:p>
      <w:pPr>
        <w:pStyle w:val="ndicedoAnexo3"/>
        <w:tabs>
          <w:tab w:val="clear" w:pos="708"/>
          <w:tab w:val="right" w:pos="8204" w:leader="dot"/>
        </w:tabs>
        <w:rPr/>
      </w:pPr>
      <w:r>
        <w:rPr/>
        <w:t>C.2.1 Campos antropométricos comuns</w:t>
        <w:tab/>
        <w:t>148</w:t>
      </w:r>
    </w:p>
    <w:p>
      <w:pPr>
        <w:pStyle w:val="ndicedoAnexo3"/>
        <w:tabs>
          <w:tab w:val="clear" w:pos="708"/>
          <w:tab w:val="right" w:pos="8204" w:leader="dot"/>
        </w:tabs>
        <w:rPr/>
      </w:pPr>
      <w:r>
        <w:rPr/>
        <w:t>C.2.2 Tipos de parâmetros</w:t>
        <w:tab/>
        <w:t>148</w:t>
      </w:r>
    </w:p>
    <w:p>
      <w:pPr>
        <w:pStyle w:val="ndicedoAnexo3"/>
        <w:tabs>
          <w:tab w:val="clear" w:pos="708"/>
          <w:tab w:val="right" w:pos="8204" w:leader="dot"/>
        </w:tabs>
        <w:rPr/>
      </w:pPr>
      <w:r>
        <w:rPr/>
        <w:t>C.2.3 Coerência dos controlos no estado final examinado</w:t>
        <w:tab/>
        <w:t>149</w:t>
      </w:r>
    </w:p>
    <w:p>
      <w:pPr>
        <w:pStyle w:val="ndicedoAnexo2"/>
        <w:rPr/>
      </w:pPr>
      <w:r>
        <w:rPr/>
        <w:t>C.3 Flexy Beast</w:t>
        <w:tab/>
        <w:t>149</w:t>
      </w:r>
    </w:p>
    <w:p>
      <w:pPr>
        <w:pStyle w:val="ndicedoAnexo3"/>
        <w:tabs>
          <w:tab w:val="clear" w:pos="708"/>
          <w:tab w:val="right" w:pos="8204" w:leader="dot"/>
        </w:tabs>
        <w:rPr/>
      </w:pPr>
      <w:r>
        <w:rPr/>
        <w:t>C.3.1 Origem e estratégia de adaptação</w:t>
        <w:tab/>
        <w:t>149</w:t>
      </w:r>
    </w:p>
    <w:p>
      <w:pPr>
        <w:pStyle w:val="ndicedoAnexo3"/>
        <w:tabs>
          <w:tab w:val="clear" w:pos="708"/>
          <w:tab w:val="right" w:pos="8204" w:leader="dot"/>
        </w:tabs>
        <w:rPr/>
      </w:pPr>
      <w:r>
        <w:rPr/>
        <w:t>C.3.2 Entradas, limites e relações</w:t>
        <w:tab/>
        <w:t>149</w:t>
      </w:r>
    </w:p>
    <w:p>
      <w:pPr>
        <w:pStyle w:val="ndicedoAnexo3"/>
        <w:tabs>
          <w:tab w:val="clear" w:pos="708"/>
          <w:tab w:val="right" w:pos="8204" w:leader="dot"/>
        </w:tabs>
        <w:rPr/>
      </w:pPr>
      <w:r>
        <w:rPr/>
        <w:t>C.3.3 Braçadeira e interfaces confirmáveis</w:t>
        <w:tab/>
        <w:t>151</w:t>
      </w:r>
    </w:p>
    <w:p>
      <w:pPr>
        <w:pStyle w:val="ndicedoAnexo3"/>
        <w:tabs>
          <w:tab w:val="clear" w:pos="708"/>
          <w:tab w:val="right" w:pos="8204" w:leader="dot"/>
        </w:tabs>
        <w:rPr/>
      </w:pPr>
      <w:r>
        <w:rPr/>
        <w:t>C.3.4 PROpagação paramétrica documentada no perfil de ensaio</w:t>
        <w:tab/>
        <w:t>151</w:t>
      </w:r>
    </w:p>
    <w:p>
      <w:pPr>
        <w:pStyle w:val="ndicedoAnexo3"/>
        <w:tabs>
          <w:tab w:val="clear" w:pos="708"/>
          <w:tab w:val="right" w:pos="8204" w:leader="dot"/>
        </w:tabs>
        <w:rPr/>
      </w:pPr>
      <w:r>
        <w:rPr/>
        <w:t>C.3.5 Limitações específicas</w:t>
        <w:tab/>
        <w:t>152</w:t>
      </w:r>
    </w:p>
    <w:p>
      <w:pPr>
        <w:pStyle w:val="ndicedoAnexo2"/>
        <w:rPr/>
      </w:pPr>
      <w:r>
        <w:rPr/>
        <w:t>C.4 Cyborg Beast</w:t>
        <w:tab/>
        <w:t>152</w:t>
      </w:r>
    </w:p>
    <w:p>
      <w:pPr>
        <w:pStyle w:val="ndicedoAnexo3"/>
        <w:tabs>
          <w:tab w:val="clear" w:pos="708"/>
          <w:tab w:val="right" w:pos="8204" w:leader="dot"/>
        </w:tabs>
        <w:rPr/>
      </w:pPr>
      <w:r>
        <w:rPr/>
        <w:t>C.4.1 Origem e estratégia de adaptação</w:t>
        <w:tab/>
        <w:t>152</w:t>
      </w:r>
    </w:p>
    <w:p>
      <w:pPr>
        <w:pStyle w:val="ndicedoAnexo3"/>
        <w:tabs>
          <w:tab w:val="clear" w:pos="708"/>
          <w:tab w:val="right" w:pos="8204" w:leader="dot"/>
        </w:tabs>
        <w:rPr/>
      </w:pPr>
      <w:r>
        <w:rPr/>
        <w:t>C.4.2 Entradas e escala da mão</w:t>
        <w:tab/>
        <w:t>152</w:t>
      </w:r>
    </w:p>
    <w:p>
      <w:pPr>
        <w:pStyle w:val="ndicedoAnexo3"/>
        <w:tabs>
          <w:tab w:val="clear" w:pos="708"/>
          <w:tab w:val="right" w:pos="8204" w:leader="dot"/>
        </w:tabs>
        <w:rPr/>
      </w:pPr>
      <w:r>
        <w:rPr/>
        <w:t>C.4.3 Divisão proximal–distal</w:t>
        <w:tab/>
        <w:t>152</w:t>
      </w:r>
    </w:p>
    <w:p>
      <w:pPr>
        <w:pStyle w:val="ndicedoAnexo3"/>
        <w:tabs>
          <w:tab w:val="clear" w:pos="708"/>
          <w:tab w:val="right" w:pos="8204" w:leader="dot"/>
        </w:tabs>
        <w:rPr/>
      </w:pPr>
      <w:r>
        <w:rPr/>
        <w:t>C.4.4 Braçadeira, folgas e parâmetros fixos</w:t>
        <w:tab/>
        <w:t>153</w:t>
      </w:r>
    </w:p>
    <w:p>
      <w:pPr>
        <w:pStyle w:val="ndicedoAnexo3"/>
        <w:tabs>
          <w:tab w:val="clear" w:pos="708"/>
          <w:tab w:val="right" w:pos="8204" w:leader="dot"/>
        </w:tabs>
        <w:rPr/>
      </w:pPr>
      <w:r>
        <w:rPr/>
        <w:t>C.4.5 Exemplo de propagação</w:t>
        <w:tab/>
        <w:t>153</w:t>
      </w:r>
    </w:p>
    <w:p>
      <w:pPr>
        <w:pStyle w:val="ndicedoAnexo3"/>
        <w:tabs>
          <w:tab w:val="clear" w:pos="708"/>
          <w:tab w:val="right" w:pos="8204" w:leader="dot"/>
        </w:tabs>
        <w:rPr/>
      </w:pPr>
      <w:r>
        <w:rPr/>
        <w:t>C.4.6 Limitações específicas</w:t>
        <w:tab/>
        <w:t>154</w:t>
      </w:r>
    </w:p>
    <w:p>
      <w:pPr>
        <w:pStyle w:val="ndicedoAnexo2"/>
        <w:rPr/>
      </w:pPr>
      <w:r>
        <w:rPr/>
        <w:t>C.5 Paraglider Hand</w:t>
        <w:tab/>
        <w:t>154</w:t>
      </w:r>
    </w:p>
    <w:p>
      <w:pPr>
        <w:pStyle w:val="ndicedoAnexo3"/>
        <w:tabs>
          <w:tab w:val="clear" w:pos="708"/>
          <w:tab w:val="right" w:pos="8204" w:leader="dot"/>
        </w:tabs>
        <w:rPr/>
      </w:pPr>
      <w:r>
        <w:rPr/>
        <w:t>C.5.1 Origem e estratégia de adaptação</w:t>
        <w:tab/>
        <w:t>154</w:t>
      </w:r>
    </w:p>
    <w:p>
      <w:pPr>
        <w:pStyle w:val="ndicedoAnexo3"/>
        <w:tabs>
          <w:tab w:val="clear" w:pos="708"/>
          <w:tab w:val="right" w:pos="8204" w:leader="dot"/>
        </w:tabs>
        <w:rPr/>
      </w:pPr>
      <w:r>
        <w:rPr/>
        <w:t>C.5.2 Relações implementadas</w:t>
        <w:tab/>
        <w:t>154</w:t>
      </w:r>
    </w:p>
    <w:p>
      <w:pPr>
        <w:pStyle w:val="ndicedoAnexo3"/>
        <w:tabs>
          <w:tab w:val="clear" w:pos="708"/>
          <w:tab w:val="right" w:pos="8204" w:leader="dot"/>
        </w:tabs>
        <w:rPr/>
      </w:pPr>
      <w:r>
        <w:rPr/>
        <w:t>C.5.3 Hardware e limites confirmáveis</w:t>
        <w:tab/>
        <w:t>156</w:t>
      </w:r>
    </w:p>
    <w:p>
      <w:pPr>
        <w:pStyle w:val="ndicedoAnexo3"/>
        <w:tabs>
          <w:tab w:val="clear" w:pos="708"/>
          <w:tab w:val="right" w:pos="8204" w:leader="dot"/>
        </w:tabs>
        <w:rPr/>
      </w:pPr>
      <w:r>
        <w:rPr/>
        <w:t>C.5.4 Exemplo de propagação</w:t>
        <w:tab/>
        <w:t>156</w:t>
      </w:r>
    </w:p>
    <w:p>
      <w:pPr>
        <w:pStyle w:val="ndicedoAnexo3"/>
        <w:tabs>
          <w:tab w:val="clear" w:pos="708"/>
          <w:tab w:val="right" w:pos="8204" w:leader="dot"/>
        </w:tabs>
        <w:rPr/>
      </w:pPr>
      <w:r>
        <w:rPr/>
        <w:t>C.5.5 Limitações específicas</w:t>
        <w:tab/>
        <w:t>157</w:t>
      </w:r>
    </w:p>
    <w:p>
      <w:pPr>
        <w:pStyle w:val="ndicedoAnexo2"/>
        <w:rPr/>
      </w:pPr>
      <w:r>
        <w:rPr/>
        <w:t>C.6 UnLimbited Phoenix Hand</w:t>
        <w:tab/>
        <w:t>157</w:t>
      </w:r>
    </w:p>
    <w:p>
      <w:pPr>
        <w:pStyle w:val="ndicedoAnexo3"/>
        <w:tabs>
          <w:tab w:val="clear" w:pos="708"/>
          <w:tab w:val="right" w:pos="8204" w:leader="dot"/>
        </w:tabs>
        <w:rPr/>
      </w:pPr>
      <w:r>
        <w:rPr/>
        <w:t>C.6.1 Origem e estratégia de adaptação</w:t>
        <w:tab/>
        <w:t>157</w:t>
      </w:r>
    </w:p>
    <w:p>
      <w:pPr>
        <w:pStyle w:val="ndicedoAnexo3"/>
        <w:tabs>
          <w:tab w:val="clear" w:pos="708"/>
          <w:tab w:val="right" w:pos="8204" w:leader="dot"/>
        </w:tabs>
        <w:rPr/>
      </w:pPr>
      <w:r>
        <w:rPr/>
        <w:t>C.6.2 Escala global e limite dimensional mínimo</w:t>
        <w:tab/>
        <w:t>157</w:t>
      </w:r>
    </w:p>
    <w:p>
      <w:pPr>
        <w:pStyle w:val="ndicedoAnexo3"/>
        <w:tabs>
          <w:tab w:val="clear" w:pos="708"/>
          <w:tab w:val="right" w:pos="8204" w:leader="dot"/>
        </w:tabs>
        <w:rPr/>
      </w:pPr>
      <w:r>
        <w:rPr/>
        <w:t>C.6.3 Comprimentos digitais e preservação dos furos</w:t>
        <w:tab/>
        <w:t>158</w:t>
      </w:r>
    </w:p>
    <w:p>
      <w:pPr>
        <w:pStyle w:val="ndicedoAnexo3"/>
        <w:tabs>
          <w:tab w:val="clear" w:pos="708"/>
          <w:tab w:val="right" w:pos="8204" w:leader="dot"/>
        </w:tabs>
        <w:rPr/>
      </w:pPr>
      <w:r>
        <w:rPr/>
        <w:t>C.6.4 Dependência entre comprimento digital e escala global</w:t>
        <w:tab/>
        <w:t>158</w:t>
      </w:r>
    </w:p>
    <w:p>
      <w:pPr>
        <w:pStyle w:val="ndicedoAnexo3"/>
        <w:tabs>
          <w:tab w:val="clear" w:pos="708"/>
          <w:tab w:val="right" w:pos="8204" w:leader="dot"/>
        </w:tabs>
        <w:rPr/>
      </w:pPr>
      <w:r>
        <w:rPr/>
        <w:t>C.6.5 Exemplo de propagação</w:t>
        <w:tab/>
        <w:t>159</w:t>
      </w:r>
    </w:p>
    <w:p>
      <w:pPr>
        <w:pStyle w:val="ndicedoAnexo3"/>
        <w:tabs>
          <w:tab w:val="clear" w:pos="708"/>
          <w:tab w:val="right" w:pos="8204" w:leader="dot"/>
        </w:tabs>
        <w:rPr/>
      </w:pPr>
      <w:r>
        <w:rPr/>
        <w:t>C.6.6 Componentes fixos e tolerâncias confirmáveis</w:t>
        <w:tab/>
        <w:t>159</w:t>
      </w:r>
    </w:p>
    <w:p>
      <w:pPr>
        <w:pStyle w:val="ndicedoAnexo3"/>
        <w:tabs>
          <w:tab w:val="clear" w:pos="708"/>
          <w:tab w:val="right" w:pos="8204" w:leader="dot"/>
        </w:tabs>
        <w:rPr/>
      </w:pPr>
      <w:r>
        <w:rPr/>
        <w:t>C.6.7 Limitações específicas</w:t>
        <w:tab/>
        <w:t>160</w:t>
      </w:r>
    </w:p>
    <w:p>
      <w:pPr>
        <w:pStyle w:val="ndicedoAnexo2"/>
        <w:rPr/>
      </w:pPr>
      <w:r>
        <w:rPr/>
        <w:t>C.7 Síntese comparativa das estratégias</w:t>
        <w:tab/>
        <w:t>160</w:t>
      </w:r>
    </w:p>
    <w:p>
      <w:pPr>
        <w:pStyle w:val="ndicedoAnexo2"/>
        <w:rPr/>
      </w:pPr>
      <w:r>
        <w:rPr/>
        <w:t>C.8 Critérios de aceitação, limitação e rejeição</w:t>
        <w:tab/>
        <w:t>161</w:t>
      </w:r>
    </w:p>
    <w:p>
      <w:pPr>
        <w:pStyle w:val="ndicedoAnexo2"/>
        <w:rPr/>
      </w:pPr>
      <w:r>
        <w:rPr/>
        <w:t>C.9 Relação com o Suplemento 3</w:t>
        <w:tab/>
        <w:t>161</w:t>
      </w:r>
    </w:p>
    <w:p>
      <w:pPr>
        <w:pStyle w:val="ndicedoAnexo2"/>
        <w:rPr/>
      </w:pPr>
      <w:r>
        <w:rPr/>
        <w:t>C.10 Limite de interpretação</w:t>
        <w:tab/>
        <w:t>161</w:t>
      </w:r>
    </w:p>
    <w:p>
      <w:pPr>
        <w:pStyle w:val="ndicedoAnexo2"/>
        <w:rPr/>
      </w:pPr>
      <w:r>
        <w:rPr/>
        <w:t>C.11 Fontes técnicas consultadas</w:t>
        <w:tab/>
        <w:t>162</w:t>
      </w:r>
    </w:p>
    <w:p>
      <w:pPr>
        <w:pStyle w:val="ndicedoAnexo2"/>
        <w:rPr/>
      </w:pPr>
      <w:r>
        <w:rPr/>
        <w:t>C.12 Verificações executadas</w:t>
        <w:tab/>
        <w:t>162</w:t>
      </w:r>
    </w:p>
    <w:p>
      <w:pPr>
        <w:pStyle w:val="ndicedoAnexo2"/>
        <w:rPr/>
      </w:pPr>
      <w:r>
        <w:rPr/>
        <w:t>Tabela C.1 — Correspondência entre medidas normalizadas e parâmetros dos modelos</w:t>
        <w:tab/>
        <w:t>148</w:t>
      </w:r>
    </w:p>
    <w:p>
      <w:pPr>
        <w:pStyle w:val="ndicedoAnexo2"/>
        <w:rPr/>
      </w:pPr>
      <w:r>
        <w:rPr/>
        <w:t>Tabela C.2 — Parâmetros numéricos do Flexy Beast com efeito dimensional</w:t>
        <w:tab/>
        <w:t>149</w:t>
      </w:r>
    </w:p>
    <w:p>
      <w:pPr>
        <w:pStyle w:val="ndicedoAnexo2"/>
        <w:rPr/>
      </w:pPr>
      <w:r>
        <w:rPr/>
        <w:t>Tabela C.3 — Relações dimensionais do Paraglider Hand</w:t>
        <w:tab/>
        <w:t>154</w:t>
      </w:r>
    </w:p>
    <w:p>
      <w:pPr>
        <w:pStyle w:val="ndicedoAnexo2"/>
        <w:rPr/>
      </w:pPr>
      <w:r>
        <w:rPr/>
        <w:t>Tabela C.4 — Comparação das adaptações e excepções de escala</w:t>
        <w:tab/>
        <w:t>160</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164</w:t>
      </w:r>
    </w:p>
    <w:p>
      <w:pPr>
        <w:pStyle w:val="ndicedoAnexo2"/>
        <w:rPr/>
      </w:pPr>
      <w:r>
        <w:rPr/>
        <w:t>D.2 Distinção entre estimativa e medição real</w:t>
        <w:tab/>
        <w:t>164</w:t>
      </w:r>
    </w:p>
    <w:p>
      <w:pPr>
        <w:pStyle w:val="ndicedoAnexo2"/>
        <w:rPr/>
      </w:pPr>
      <w:r>
        <w:rPr/>
        <w:t>D.3 Variáveis, controlos e materiais</w:t>
        <w:tab/>
        <w:t>164</w:t>
      </w:r>
    </w:p>
    <w:p>
      <w:pPr>
        <w:pStyle w:val="ndicedoAnexo3"/>
        <w:tabs>
          <w:tab w:val="clear" w:pos="708"/>
          <w:tab w:val="right" w:pos="8204" w:leader="dot"/>
        </w:tabs>
        <w:rPr/>
      </w:pPr>
      <w:r>
        <w:rPr/>
        <w:t>D.3.1 Série A — projectos de preparação digital para impressão 3D com configuração analisada</w:t>
        <w:tab/>
        <w:t>165</w:t>
      </w:r>
    </w:p>
    <w:p>
      <w:pPr>
        <w:pStyle w:val="ndicedoAnexo3"/>
        <w:tabs>
          <w:tab w:val="clear" w:pos="708"/>
          <w:tab w:val="right" w:pos="8204" w:leader="dot"/>
        </w:tabs>
        <w:rPr/>
      </w:pPr>
      <w:r>
        <w:rPr/>
        <w:t>D.3.2 Série B — comparação digital controlada</w:t>
        <w:tab/>
        <w:t>165</w:t>
      </w:r>
    </w:p>
    <w:p>
      <w:pPr>
        <w:pStyle w:val="ndicedoAnexo2"/>
        <w:rPr/>
      </w:pPr>
      <w:r>
        <w:rPr/>
        <w:t>D.4 Resultados</w:t>
        <w:tab/>
        <w:t>166</w:t>
      </w:r>
    </w:p>
    <w:p>
      <w:pPr>
        <w:pStyle w:val="ndicedoAnexo3"/>
        <w:tabs>
          <w:tab w:val="clear" w:pos="708"/>
          <w:tab w:val="right" w:pos="8204" w:leader="dot"/>
        </w:tabs>
        <w:rPr/>
      </w:pPr>
      <w:r>
        <w:rPr/>
        <w:t>D.4.1 Série A</w:t>
        <w:tab/>
        <w:t>166</w:t>
      </w:r>
    </w:p>
    <w:p>
      <w:pPr>
        <w:pStyle w:val="ndicedoAnexo3"/>
        <w:tabs>
          <w:tab w:val="clear" w:pos="708"/>
          <w:tab w:val="right" w:pos="8204" w:leader="dot"/>
        </w:tabs>
        <w:rPr/>
      </w:pPr>
      <w:r>
        <w:rPr/>
        <w:t>D.4.2 Série B (condição comum)</w:t>
        <w:tab/>
        <w:t>166</w:t>
      </w:r>
    </w:p>
    <w:p>
      <w:pPr>
        <w:pStyle w:val="ndicedoAnexo3"/>
        <w:tabs>
          <w:tab w:val="clear" w:pos="708"/>
          <w:tab w:val="right" w:pos="8204" w:leader="dot"/>
        </w:tabs>
        <w:rPr/>
      </w:pPr>
      <w:r>
        <w:rPr/>
        <w:t>D.4.3 Geometria — tamanho do conjunto vs tamanho da peça</w:t>
        <w:tab/>
        <w:t>168</w:t>
      </w:r>
    </w:p>
    <w:p>
      <w:pPr>
        <w:pStyle w:val="ndicedoAnexo3"/>
        <w:tabs>
          <w:tab w:val="clear" w:pos="708"/>
          <w:tab w:val="right" w:pos="8204" w:leader="dot"/>
        </w:tabs>
        <w:rPr/>
      </w:pPr>
      <w:r>
        <w:rPr/>
        <w:t>D.4.4 Comparação entre entrada, malha e peça física</w:t>
        <w:tab/>
        <w:t>168</w:t>
      </w:r>
    </w:p>
    <w:p>
      <w:pPr>
        <w:pStyle w:val="ndicedoAnexo3"/>
        <w:tabs>
          <w:tab w:val="clear" w:pos="708"/>
          <w:tab w:val="right" w:pos="8204" w:leader="dot"/>
        </w:tabs>
        <w:rPr/>
      </w:pPr>
      <w:r>
        <w:rPr/>
        <w:t>D.4.5 Registo fotográfico dos protótipos</w:t>
        <w:tab/>
        <w:t>170</w:t>
      </w:r>
    </w:p>
    <w:p>
      <w:pPr>
        <w:pStyle w:val="ndicedoAnexo2"/>
        <w:rPr/>
      </w:pPr>
      <w:r>
        <w:rPr/>
        <w:t>D.5 Compatibilidade com orientações de dimensionamento</w:t>
        <w:tab/>
        <w:t>170</w:t>
      </w:r>
    </w:p>
    <w:p>
      <w:pPr>
        <w:pStyle w:val="ndicedoAnexo2"/>
        <w:rPr/>
      </w:pPr>
      <w:r>
        <w:rPr/>
        <w:t>D.6 Limites de comparabilidade</w:t>
        <w:tab/>
        <w:t>171</w:t>
      </w:r>
    </w:p>
    <w:p>
      <w:pPr>
        <w:pStyle w:val="ndicedoAnexo2"/>
        <w:rPr/>
      </w:pPr>
      <w:r>
        <w:rPr/>
        <w:t>D.7 Campos que não puderam ser obtidos</w:t>
        <w:tab/>
        <w:t>171</w:t>
      </w:r>
    </w:p>
    <w:p>
      <w:pPr>
        <w:pStyle w:val="ndicedoAnexo2"/>
        <w:rPr/>
      </w:pPr>
      <w:r>
        <w:rPr/>
        <w:t>D.8 O que pode e não pode ser afirmado na INVESTIGAÇÃO</w:t>
        <w:tab/>
        <w:t>171</w:t>
      </w:r>
    </w:p>
    <w:p>
      <w:pPr>
        <w:pStyle w:val="ndicedoAnexo2"/>
        <w:rPr/>
      </w:pPr>
      <w:r>
        <w:rPr/>
        <w:t>Tabela D.1 — Estimativas dos projetos de preparação digital para impressão 3D com configuração analisada</w:t>
        <w:tab/>
        <w:t>166</w:t>
      </w:r>
    </w:p>
    <w:p>
      <w:pPr>
        <w:pStyle w:val="ndicedoAnexo2"/>
        <w:rPr/>
      </w:pPr>
      <w:r>
        <w:rPr/>
        <w:t>Tabela D.2 — Estimativas de preparação para impressão na condição digital comum</w:t>
        <w:tab/>
        <w:t>166</w:t>
      </w:r>
    </w:p>
    <w:p>
      <w:pPr>
        <w:pStyle w:val="ndicedoAnexo2"/>
        <w:rPr/>
      </w:pPr>
      <w:r>
        <w:rPr/>
        <w:t>Tabela D.3 — Comparação dimensional da palma no eixo X em PLA e PETG</w:t>
        <w:tab/>
        <w:t>168</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