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28</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22</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25</w:t>
      </w:r>
    </w:p>
    <w:p>
      <w:pPr>
        <w:pStyle w:val="TOC2"/>
        <w:rPr/>
      </w:pPr>
      <w:r>
        <w:rPr/>
        <w:t>IA ao longo do processo de design</w:t>
        <w:tab/>
        <w:t>25</w:t>
      </w:r>
    </w:p>
    <w:p>
      <w:pPr>
        <w:pStyle w:val="TOC2"/>
        <w:rPr/>
      </w:pPr>
      <w:r>
        <w:rPr/>
        <w:t>Papel do designer, riscos e necessidade de supervisão humana</w:t>
        <w:tab/>
        <w:t>26</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29</w:t>
      </w:r>
    </w:p>
    <w:p>
      <w:pPr>
        <w:pStyle w:val="TOC2"/>
        <w:rPr/>
      </w:pPr>
      <w:r>
        <w:rPr/>
        <w:t>Fluxos participativos e infra-estruturas remotas</w:t>
        <w:tab/>
        <w:t>29</w:t>
      </w:r>
    </w:p>
    <w:p>
      <w:pPr>
        <w:pStyle w:val="TOC2"/>
        <w:rPr/>
      </w:pPr>
      <w:r>
        <w:rPr/>
        <w:t>Aplicações em saúde, reabilitação e próteses</w:t>
        <w:tab/>
        <w:t>30</w:t>
      </w:r>
    </w:p>
    <w:p>
      <w:pPr>
        <w:pStyle w:val="TOC2"/>
        <w:rPr/>
      </w:pPr>
      <w:r>
        <w:rPr/>
        <w:t>Limitações e lacunas: sustentabilidade, adoção e equilíbrio entre normalização e improviso</w:t>
        <w:tab/>
        <w:t>31</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