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header20.xml" ContentType="application/vnd.openxmlformats-officedocument.wordprocessingml.header+xml"/>
  <Override PartName="/word/theme/theme1.xml" ContentType="application/vnd.openxmlformats-officedocument.theme+xml"/>
  <Override PartName="/word/footer27.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footer31.xml" ContentType="application/vnd.openxmlformats-officedocument.wordprocessingml.footer+xml"/>
  <Override PartName="/word/footer44.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8.xml" ContentType="application/vnd.openxmlformats-officedocument.wordprocessingml.header+xml"/>
  <Override PartName="/word/footer52.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53.xml" ContentType="application/vnd.openxmlformats-officedocument.wordprocessingml.footer+xml"/>
  <Override PartName="/word/footer21.xml" ContentType="application/vnd.openxmlformats-officedocument.wordprocessingml.footer+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21.xml" ContentType="application/vnd.openxmlformats-officedocument.wordprocessingml.header+xml"/>
  <Override PartName="/word/header23.xml" ContentType="application/vnd.openxmlformats-officedocument.wordprocessingml.header+xml"/>
  <Override PartName="/word/footer51.xml" ContentType="application/vnd.openxmlformats-officedocument.wordprocessingml.footer+xml"/>
  <Override PartName="/word/styles.xml" ContentType="application/vnd.openxmlformats-officedocument.wordprocessingml.styles+xml"/>
  <Override PartName="/word/footer16.xml" ContentType="application/vnd.openxmlformats-officedocument.wordprocessingml.footer+xml"/>
  <Override PartName="/word/footer19.xml" ContentType="application/vnd.openxmlformats-officedocument.wordprocessingml.footer+xml"/>
  <Override PartName="/word/footer3.xml" ContentType="application/vnd.openxmlformats-officedocument.wordprocessingml.footer+xml"/>
  <Override PartName="/word/footer46.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header15.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57.xml" ContentType="application/vnd.openxmlformats-officedocument.wordprocessingml.footer+xml"/>
  <Override PartName="/word/footer33.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footer26.xml" ContentType="application/vnd.openxmlformats-officedocument.wordprocessingml.footer+xml"/>
  <Override PartName="/word/header19.xml" ContentType="application/vnd.openxmlformats-officedocument.wordprocessingml.header+xml"/>
  <Override PartName="/word/header16.xml" ContentType="application/vnd.openxmlformats-officedocument.wordprocessingml.header+xml"/>
  <Override PartName="/word/footer50.xml" ContentType="application/vnd.openxmlformats-officedocument.wordprocessingml.footer+xml"/>
  <Override PartName="/word/footer18.xml" ContentType="application/vnd.openxmlformats-officedocument.wordprocessingml.footer+xml"/>
  <Override PartName="/word/footer25.xml" ContentType="application/vnd.openxmlformats-officedocument.wordprocessingml.footer+xml"/>
  <Override PartName="/word/header17.xml" ContentType="application/vnd.openxmlformats-officedocument.wordprocessingml.header+xml"/>
  <Override PartName="/word/footer56.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22.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header11.xml" ContentType="application/vnd.openxmlformats-officedocument.wordprocessingml.header+xml"/>
  <Override PartName="/word/footer13.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footer30.xml" ContentType="application/vnd.openxmlformats-officedocument.wordprocessingml.footer+xml"/>
  <Override PartName="/word/footer55.xml" ContentType="application/vnd.openxmlformats-officedocument.wordprocessingml.footer+xml"/>
  <Override PartName="/word/footer28.xml" ContentType="application/vnd.openxmlformats-officedocument.wordprocessingml.footer+xml"/>
  <Override PartName="/word/header4.xml" ContentType="application/vnd.openxmlformats-officedocument.wordprocessingml.header+xml"/>
  <Override PartName="/word/header9.xml" ContentType="application/vnd.openxmlformats-officedocument.wordprocessingml.header+xml"/>
  <Override PartName="/word/footer54.xml" ContentType="application/vnd.openxmlformats-officedocument.wordprocessingml.footer+xml"/>
  <Override PartName="/word/header5.xml" ContentType="application/vnd.openxmlformats-officedocument.wordprocessingml.header+xml"/>
  <Override PartName="/word/footer36.xml" ContentType="application/vnd.openxmlformats-officedocument.wordprocessingml.footer+xml"/>
  <Override PartName="/word/header6.xml" ContentType="application/vnd.openxmlformats-officedocument.wordprocessingml.header+xml"/>
  <Override PartName="/word/footer37.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footer47.xml" ContentType="application/vnd.openxmlformats-officedocument.wordprocessingml.footer+xml"/>
  <Override PartName="/word/footer49.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oter3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t/>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r>
          <w:r>
            <w:rPr/>
            <w:t>P</w:t>
          </w:r>
        </w:sdtContent>
      </w:sdt>
      <w:r>
        <w:rPr/>
        <w:t>edro Miguel Candeias da Silva</w:t>
      </w:r>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r>
          <w:r>
            <w:rPr>
              <w:rStyle w:val="Nomes-e-Data-na-Capa-e-Folha-de-Rosto-IPCACarter"/>
            </w:rPr>
            <w:t>D</w:t>
          </w:r>
        </w:sdtContent>
      </w:sdt>
      <w:r>
        <w:rPr>
          <w:rStyle w:val="Nomes-e-Data-na-Capa-e-Folha-de-Rosto-IPCACarter"/>
        </w:rPr>
        <w:t>emétrio Ferreira Matos</w:t>
      </w:r>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t>Design e Desenvolvimento de Produto</w:t>
          </w:r>
          <w:r>
            <w:rPr>
              <w:rStyle w:val="Texto-normal-Capa-e-Folha-de-Rosto-IPCACarte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13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4"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r>
        </w:sdtContent>
      </w:sdt>
      <w:r>
        <w:rPr>
          <w:rStyle w:val="TtulodeCapaefolhaderosto-IPCACarter"/>
          <w:rFonts w:cs="Lucida Sans Unicode" w:ascii="Lucida Sans Unicode" w:hAnsi="Lucida Sans Unicode"/>
          <w:b/>
          <w:sz w:val="28"/>
          <w:szCs w:val="28"/>
        </w:rPr>
        <w:t>INTEGRAÇÃO DO DESIGN E DA INTELIGÊNCIA ARTIFICIAL EM PROCESSOS PARAMÉTRICOS PARA O DESENVOLVIMENTO DE PRÓTESES DE MEMBROS SUPERIORES EM IMPRESSÃO 3D.</w:t>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r>
        <w:rPr>
          <w:rStyle w:val="Nomes-e-Data-na-Capa-e-Folha-de-Rosto-IPCACarter"/>
        </w:rPr>
        <w:t>Demétrio Ferreira Matos</w:t>
      </w:r>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t>Design e Desenvolvimento de Produto</w:t>
          </w:r>
          <w:r>
            <w:rPr>
              <w:rStyle w:val="Texto-normal-Capa-e-Folha-de-Rosto-IPCACarte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13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 xml:space="preserve">Nome: </w:t>
      </w:r>
      <w:sdt>
        <w:sdtPr>
          <w:alias w:val="Nome"/>
          <w:tag w:val="Nome"/>
          <w:id w:val="-567648718"/>
          <w:lock w:val="sdtLocked"/>
          <w:placeholder>
            <w:docPart w:val="F7BC73B9446B47C6AF69187ACFDCE166"/>
          </w:placeholder>
          <w:text/>
        </w:sdtPr>
        <w:sdtContent>
          <w:r>
            <w:rPr/>
          </w:r>
          <w:r>
            <w:rPr/>
            <w:t>Pedro Miguel Candeias da Silva</w:t>
          </w:r>
          <w:r>
            <w:rPr>
              <w:rStyle w:val="PlaceholderText"/>
              <w:color w:themeColor="text1" w:themeTint="80" w:val="7F7F7F"/>
            </w:rPr>
          </w:r>
        </w:sdtContent>
      </w:sdt>
    </w:p>
    <w:p>
      <w:pPr>
        <w:pStyle w:val="TextoNormal-IPCA"/>
        <w:ind w:hanging="0"/>
        <w:rPr/>
      </w:pPr>
      <w:r>
        <w:rPr/>
        <w:t>Endereço eletrónico:</w:t>
      </w:r>
      <w:r>
        <w:rPr/>
        <w:t xml:space="preserve"> </w:t>
      </w:r>
      <w:sdt>
        <w:sdtPr>
          <w:alias w:val="Endereço Eletrónico"/>
          <w:tag w:val="Endereço Eletrónico"/>
          <w:id w:val="62685314"/>
          <w:placeholder>
            <w:docPart w:val="6DF02E02C7024CE29593E466669178CE"/>
          </w:placeholder>
          <w:showingPlcHdr/>
          <w:text/>
        </w:sdtPr>
        <w:sdtContent>
          <w:r>
            <w:rPr/>
          </w:r>
          <w:r>
            <w:rPr>
              <w:rStyle w:val="PlaceholderText"/>
              <w:color w:themeColor="background1" w:themeShade="80" w:val="808080"/>
            </w:rPr>
            <w:t>Endereço Eletrónico (OPCIONAL)</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w:t>
          </w:r>
        </w:sdtContent>
      </w:sdt>
      <w:sdt>
        <w:sdtPr>
          <w:alias w:val="Título do Tema"/>
          <w:tag w:val="Título do Tema"/>
          <w:id w:val="-1766060944"/>
          <w:lock w:val="sdtLocked"/>
          <w:placeholder>
            <w:docPart w:val="F38F014E7F3A461CA54319F883CC43D1"/>
          </w:placeholder>
          <w:showingPlcHdr/>
          <w:text/>
        </w:sdtPr>
        <w:sdtContent>
          <w:r>
            <w:rPr/>
          </w:r>
          <w:r>
            <w:rPr>
              <w:rStyle w:val="PlaceholderText"/>
              <w:color w:themeColor="background1" w:themeShade="80" w:val="808080"/>
            </w:rPr>
          </w:r>
        </w:sdtContent>
      </w:sdt>
      <w:r>
        <w:rPr>
          <w:rStyle w:val="PlaceholderText"/>
          <w:color w:themeColor="background1" w:themeShade="80" w:val="808080"/>
        </w:rPr>
        <w:t>INTEGRAÇÃO DO DESIGN E DA INTELIGÊNCIA ARTIFICIAL EM PROCESSOS PARAMÉTRICOS PARA O DESENVOLVIMENTO DE PRÓTESES DE MEMBROS SUPERIORES EM IMPRESSÃO 3D.</w:t>
      </w:r>
      <w:r>
        <w:rPr/>
        <w:t xml:space="preserve"> </w:t>
      </w:r>
    </w:p>
    <w:p>
      <w:pPr>
        <w:pStyle w:val="TextoNormal-IPCA"/>
        <w:ind w:hanging="0"/>
        <w:rPr/>
      </w:pPr>
      <w:r>
        <w:rPr/>
        <w:t xml:space="preserve">Orientador: </w:t>
      </w:r>
      <w:sdt>
        <w:sdtPr>
          <w:alias w:val="Orientador"/>
          <w:tag w:val="Orientador"/>
          <w:id w:val="248702369"/>
          <w:lock w:val="sdtLocked"/>
          <w:placeholder>
            <w:docPart w:val="9D8AA2DA197C4CCAA2770152AC6B839E"/>
          </w:placeholder>
          <w:text/>
        </w:sdtPr>
        <w:sdtContent>
          <w:r>
            <w:rPr/>
          </w:r>
          <w:r>
            <w:rPr/>
            <w:t>Demétrio Ferreira Matos</w:t>
          </w:r>
          <w:r>
            <w:rPr>
              <w:rStyle w:val="PlaceholderText"/>
              <w:color w:themeColor="background1" w:themeShade="80" w:val="808080"/>
            </w:rPr>
          </w:r>
        </w:sdtContent>
      </w:sdt>
      <w:r>
        <w:rPr/>
        <w:t xml:space="preserve"> </w:t>
      </w:r>
    </w:p>
    <w:p>
      <w:pPr>
        <w:pStyle w:val="TextoNormal-IPCA"/>
        <w:ind w:hanging="0"/>
        <w:rPr/>
      </w:pPr>
      <w:sdt>
        <w:sdtPr>
          <w:id w:val="1615395948"/>
          <w:lock w:val="contentLocked"/>
          <w:placeholder>
            <w:docPart w:val="DefaultPlaceholder_-1854013440"/>
          </w:placeholder>
          <w:text/>
        </w:sdtPr>
        <w:sdtContent>
          <w:r>
            <w:rPr/>
          </w:r>
          <w:r>
            <w:rPr/>
            <w:t xml:space="preserve">Ano de conclusão: </w:t>
          </w:r>
        </w:sdtContent>
      </w:sdt>
      <w:sdt>
        <w:sdtPr>
          <w:alias w:val="Data"/>
          <w:tag w:val="Data"/>
          <w:id w:val="1495687124"/>
          <w:lock w:val="sdtLocked"/>
          <w:placeholder>
            <w:docPart w:val="7872ECC2E2344039A64BB0E1EC503F3E"/>
          </w:placeholder>
          <w:date w:fullDate="2026-07-13T00:00:00Z">
            <w:dateFormat w:val="YYYY-MM-DD"/>
            <w:lid w:val="pt-PT"/>
          </w:date>
        </w:sdtPr>
        <w:sdtContent>
          <w:r>
            <w:rPr/>
          </w:r>
          <w:r>
            <w:rPr/>
            <w:t>julho, 2026</w:t>
          </w:r>
          <w:r>
            <w:rPr>
              <w:rStyle w:val="PlaceholderText"/>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w:t>
          </w:r>
          <w:r>
            <w:rPr/>
            <w:t xml:space="preserve"> Mestrado em </w:t>
          </w:r>
        </w:sdtContent>
      </w:sdt>
      <w:sdt>
        <w:sdtPr>
          <w:alias w:val="nome do mestrado"/>
          <w:tag w:val="nome do mestrado"/>
          <w:id w:val="496698934"/>
          <w:lock w:val="sdtLocked"/>
          <w:placeholder>
            <w:docPart w:val="55FCEA8690614DC8A442BE9A214B41B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t>Design e Desenvolvimento de Produto</w:t>
          </w:r>
          <w:r>
            <w:rPr>
              <w:rStyle w:val="PlaceholderText"/>
            </w:rPr>
          </w:r>
        </w:sdtContent>
      </w:sdt>
      <w:r>
        <w:rPr/>
        <w:t xml:space="preserve"> </w:t>
      </w:r>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w:t>
          </w:r>
          <w:r>
            <w:rPr>
              <w:rFonts w:cs="Segoe UI Symbol" w:ascii="Segoe UI Symbol" w:hAnsi="Segoe UI Symbol"/>
            </w:rPr>
          </w:r>
        </w:sdtContent>
      </w:sdt>
      <w:r>
        <w:rPr/>
        <w:tab/>
        <w:t xml:space="preserve"> É AUTORIZADA A REPRODUÇÃO INTEGRAL DESTA DISSERTAÇÃO/TRABALHO APENAS PARA EFEITOS DE INVESTIGAÇÃO, MEDIANTE DECLARAÇÃO ESCRITA DO INTERESSADO, QUE A TAL SE COMPROMETE;</w:t>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Fonts w:cs="Segoe UI Symbol" w:ascii="Segoe UI Symbol" w:hAnsi="Segoe UI Symbol"/>
            </w:rPr>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Fonts w:cs="Segoe UI Symbol" w:ascii="Segoe UI Symbol" w:hAnsi="Segoe UI Symbol"/>
            </w:rPr>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w:t>
          </w:r>
        </w:sdtContent>
      </w:sdt>
      <w:sdt>
        <w:sdtPr>
          <w:alias w:val="Data"/>
          <w:tag w:val="Data"/>
          <w:id w:val="-2102025058"/>
          <w:lock w:val="sdtLocked"/>
          <w:placeholder>
            <w:docPart w:val="DefaultPlaceholder_-1854013437"/>
          </w:placeholder>
          <w:date w:fullDate="2026-07-13T00:00:00Z">
            <w:dateFormat w:val="YYYY-MM-DD"/>
            <w:lid w:val="pt-PT"/>
          </w:date>
        </w:sdtPr>
        <w:sdtContent>
          <w:r>
            <w:rPr/>
          </w:r>
          <w:r>
            <w:rPr/>
            <w:t>13/07/2026</w:t>
          </w:r>
          <w:r>
            <w:rPr>
              <w:rStyle w:val="TextoNormal-IPCACarte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sPrembulo-IPCA"/>
        <w:rPr>
          <w:rFonts w:ascii="Arial" w:hAnsi="Arial" w:cs="Arial"/>
          <w:b/>
          <w:sz w:val="24"/>
        </w:rPr>
        <w:sectPr>
          <w:footerReference w:type="even" r:id="rId14"/>
          <w:footerReference w:type="default" r:id="rId15"/>
          <w:footerReference w:type="first" r:id="rId16"/>
          <w:type w:val="nextPage"/>
          <w:pgSz w:w="11906" w:h="16838"/>
          <w:pgMar w:left="1701" w:right="1418" w:gutter="0" w:header="0" w:top="1985" w:footer="709" w:bottom="1985"/>
          <w:pgNumType w:start="1" w:fmt="upperRoman"/>
          <w:formProt w:val="false"/>
          <w:textDirection w:val="lrTb"/>
          <w:docGrid w:type="default" w:linePitch="360" w:charSpace="0"/>
        </w:sectPr>
      </w:pPr>
      <w:r>
        <w:rPr>
          <w:rFonts w:cs="Arial"/>
          <w:b/>
          <w:sz w:val="24"/>
        </w:rPr>
      </w:r>
    </w:p>
    <w:p>
      <w:pPr>
        <w:pStyle w:val="TtulodeCapaefolhaderosto-IPCA"/>
        <w:rPr/>
      </w:pPr>
      <w:r>
        <w:rPr/>
        <w:t>INTEGRAÇÃO DO DESIGN E DA INTELIGÊNCIA ARTIFICIAL EM PROCESSOS PARAMÉTRICOS PARA O DESENVOLVIMENTO DE PRÓTESES DE MEMBROS SUPERIORES EM IMPRESSÃO 3D.</w:t>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 As peças foram preparadas no PrusaSlicer 2.9.6 e no Bambu Studio e materializadas em PLA e PETG em impressoras FDM. Os resultados mostram que a combinação entre regras paramétricas explícitas, apoio de IA e verificação material pode tornar o processo de personalização mais rastreável 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TextoNormal-IPCA"/>
        <w:rPr/>
      </w:pPr>
      <w:r>
        <w:rPr/>
        <w:t xml:space="preserve"/>
      </w:r>
    </w:p>
    <w:p>
      <w:pPr>
        <w:pStyle w:val="TextoNormal-IPCA"/>
        <w:rPr/>
      </w:pPr>
      <w:r>
        <w:rPr/>
        <w:t/>
      </w:r>
    </w:p>
    <w:p>
      <w:pPr>
        <w:pStyle w:val="TextoNormal-IPCA"/>
        <w:rPr/>
      </w:pPr>
      <w:r>
        <w:rPr/>
      </w:r>
    </w:p>
    <w:p>
      <w:pPr>
        <w:pStyle w:val="TextoNormal-IPCA"/>
        <w:rPr/>
      </w:pPr>
      <w:r>
        <w:rPr>
          <w:b/>
        </w:rPr>
        <w:t>Palavras-chave: design industrial; próteses de membro superior; design paramétrico; inteligência artificial; impressão 3D; dados antropométricos; fabrico digital.</w:t>
      </w:r>
      <w:r>
        <w:rPr/>
        <w:t xml:space="preserve"/>
      </w:r>
    </w:p>
    <w:p>
      <w:pPr>
        <w:pStyle w:val="TextoNormal-IPCA"/>
        <w:spacing w:before="0" w:after="0"/>
        <w:rPr/>
        <w:sectPr>
          <w:footerReference w:type="even" r:id="rId17"/>
          <w:footerReference w:type="default" r:id="rId18"/>
          <w:footerReference w:type="first" r:id="rId19"/>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20"/>
          <w:footerReference w:type="first" r:id="rId21"/>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t/>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 xml:space="preserve">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parts were prepared in PrusaSlicer 2.9.6 and Bambu Studio and materialised in PLA and PETG using FDM printers.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TextoNormal-IPCA"/>
        <w:ind w:hanging="0"/>
        <w:rPr>
          <w:lang w:val="en-US"/>
        </w:rPr>
      </w:pPr>
      <w:r>
        <w:rPr>
          <w:lang w:val="en-US"/>
        </w:rPr>
        <w:t xml:space="preserve"/>
      </w:r>
    </w:p>
    <w:p>
      <w:pPr>
        <w:pStyle w:val="TextoNormal-IPCA"/>
        <w:rPr>
          <w:lang w:val="en-US"/>
        </w:rPr>
      </w:pPr>
      <w:r>
        <w:rPr>
          <w:lang w:val="en-US"/>
        </w:rPr>
      </w:r>
    </w:p>
    <w:p>
      <w:pPr>
        <w:pStyle w:val="TextoNormal-IPCA"/>
        <w:spacing w:before="0" w:after="0"/>
        <w:rPr>
          <w:lang w:val="en-US"/>
        </w:rPr>
        <w:sectPr>
          <w:footerReference w:type="default" r:id="rId22"/>
          <w:footerReference w:type="first" r:id="rId23"/>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t xml:space="preserve"/>
        <w:br/>
      </w:r>
      <w:bookmarkStart w:id="2" w:name="_Toc457372007"/>
      <w:bookmarkStart w:id="3" w:name="_Toc394664946"/>
      <w:bookmarkStart w:id="4" w:name="_Toc394664868"/>
      <w:bookmarkStart w:id="5" w:name="_Toc394664654"/>
    </w:p>
    <w:p>
      <w:pPr>
        <w:pStyle w:val="TtulosPrembulo-IPCA"/>
        <w:rPr/>
      </w:pPr>
      <w:r>
        <w:rPr/>
      </w:r>
      <w:bookmarkStart w:id="6" w:name="_Toc521677101"/>
      <w:bookmarkStart w:id="7" w:name="_Toc457372008"/>
      <w:r>
        <w:br w:type="page"/>
      </w:r>
    </w:p>
    <w:p>
      <w:pPr>
        <w:pStyle w:val="TtulosPrembulo-IPCA"/>
        <w:spacing w:before="0" w:after="120"/>
        <w:contextualSpacing/>
        <w:rPr/>
      </w:pPr>
      <w:r>
        <w:rPr/>
        <w:t>Agradecimentos</w:t>
      </w:r>
      <w:bookmarkEnd w:id="6"/>
      <w:bookmarkEnd w:id="7"/>
    </w:p>
    <w:p>
      <w:pPr>
        <w:pStyle w:val="TextoNormal-IPCA"/>
        <w:spacing w:before="0" w:after="120"/>
        <w:rPr/>
        <w:sectPr>
          <w:footerReference w:type="default" r:id="rId24"/>
          <w:footerReference w:type="first" r:id="rId25"/>
          <w:type w:val="nextPage"/>
          <w:pgSz w:w="11906" w:h="16838"/>
          <w:pgMar w:left="1701" w:right="1418" w:gutter="0" w:header="0" w:top="1985" w:footer="709" w:bottom="1985"/>
          <w:pgNumType w:fmt="upperRoman"/>
          <w:formProt w:val="false"/>
          <w:textDirection w:val="lrTb"/>
          <w:docGrid w:type="default" w:linePitch="360" w:charSpace="0"/>
        </w:sectPr>
      </w:pPr>
      <w:r>
        <w:rPr/>
        <w:t xml:space="preserve">Esta secção é facultativa. Se não a utilizar, selecione desde o início do título desta secção até ao início do título da secção seguinte e remova tudo. (tecla Del Windows ou Shift + Del Mac) </w:t>
      </w:r>
    </w:p>
    <w:p>
      <w:pPr>
        <w:pStyle w:val="TtulosPrembulo-IPCA"/>
        <w:rPr/>
      </w:pPr>
      <w:r>
        <w:rPr/>
      </w:r>
      <w:bookmarkStart w:id="8" w:name="_Toc521677102"/>
      <w:r>
        <w:br w:type="page"/>
      </w:r>
    </w:p>
    <w:p>
      <w:pPr>
        <w:pStyle w:val="TtulosPrembulo-IPCA"/>
        <w:spacing w:before="0" w:after="120"/>
        <w:contextualSpacing/>
        <w:rPr/>
      </w:pPr>
      <w:bookmarkStart w:id="9" w:name="_GoBack"/>
      <w:bookmarkEnd w:id="9"/>
      <w:r>
        <w:rPr/>
        <w:t>Dedicatória</w:t>
      </w:r>
      <w:bookmarkEnd w:id="2"/>
      <w:bookmarkEnd w:id="3"/>
      <w:bookmarkEnd w:id="4"/>
      <w:bookmarkEnd w:id="5"/>
      <w:bookmarkEnd w:id="8"/>
    </w:p>
    <w:p>
      <w:pPr>
        <w:pStyle w:val="TextoNormal-IPCA"/>
        <w:rPr/>
      </w:pPr>
      <w:r>
        <w:rPr/>
        <w:t>Esta secção é facultativa. Se não a utilizar, selecione desde o início do título desta secção até ao início do título da secção seguinte e remova tudo (tecla Del Windows ou Shift + Del Mac).</w:t>
      </w:r>
    </w:p>
    <w:p>
      <w:pPr>
        <w:pStyle w:val="TextoNormal-IPCA"/>
        <w:rPr/>
      </w:pPr>
      <w:r>
        <w:rPr/>
        <w:t xml:space="preserve"> </w:t>
      </w:r>
      <w:r>
        <w:rPr/>
        <w:t>Se a utilizar, mude a cor do texto deste parágrafo e do título da secção para branco (de modo a que não sejam impressos, mas sejam colocados no índice) e coloque a dedicatória desejada no parágrafo seguinte.</w:t>
      </w:r>
    </w:p>
    <w:p>
      <w:pPr>
        <w:pStyle w:val="TextoNormal-IPCA"/>
        <w:rPr/>
      </w:pPr>
      <w:r>
        <w:rPr/>
      </w:r>
    </w:p>
    <w:p>
      <w:pPr>
        <w:pStyle w:val="Normal"/>
        <w:spacing w:before="0" w:after="120"/>
        <w:jc w:val="end"/>
        <w:rPr>
          <w:i/>
        </w:rPr>
        <w:sectPr>
          <w:footerReference w:type="default" r:id="rId26"/>
          <w:footerReference w:type="first" r:id="rId27"/>
          <w:type w:val="nextPage"/>
          <w:pgSz w:w="11906" w:h="16838"/>
          <w:pgMar w:left="1701" w:right="1418" w:gutter="0" w:header="0" w:top="1985" w:footer="709" w:bottom="1985"/>
          <w:pgNumType w:fmt="upperRoman"/>
          <w:formProt w:val="false"/>
          <w:textDirection w:val="lrTb"/>
          <w:docGrid w:type="default" w:linePitch="360" w:charSpace="0"/>
        </w:sectPr>
      </w:pPr>
      <w:r>
        <w:rPr>
          <w:i/>
        </w:rPr>
        <w:t>Substituir pelo texto da dedicatória</w:t>
        <w:br/>
      </w:r>
    </w:p>
    <w:p>
      <w:pPr>
        <w:pStyle w:val="TextoNormal-IPCA"/>
        <w:ind w:hanging="0"/>
        <w:rPr>
          <w:rFonts w:ascii="Arial" w:hAnsi="Arial" w:cs="Arial"/>
          <w:b/>
          <w:sz w:val="24"/>
        </w:rPr>
        <w:sectPr>
          <w:footerReference w:type="default" r:id="rId28"/>
          <w:footerReference w:type="first" r:id="rId2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bookmarkStart w:id="10" w:name="_Toc457372009"/>
    </w:p>
    <w:p>
      <w:pPr>
        <w:pStyle w:val="TtulosPrembulo-IPCA"/>
        <w:rPr/>
      </w:pPr>
      <w:bookmarkStart w:id="11" w:name="_Toc521677103"/>
      <w:r>
        <w:rPr/>
        <w:t xml:space="preserve">Lista de Abreviaturas </w:t>
        <w:br/>
        <w:t>e/ou Siglas</w:t>
      </w:r>
      <w:bookmarkEnd w:id="10"/>
      <w:bookmarkEnd w:id="11"/>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fabricação aditiva.</w:t>
      </w:r>
    </w:p>
    <w:p>
      <w:pPr>
        <w:pStyle w:val="TextoNormal-IPCA"/>
      </w:pPr>
      <w:r>
        <w:t>DINED – Delft Institute of Ergonomics and Design; base de dados antropométrica da TU Delft.</w:t>
      </w:r>
    </w:p>
    <w:p>
      <w:pPr>
        <w:pStyle w:val="TextoNormal-IPCA"/>
      </w:pPr>
      <w:r>
        <w:t>DOI – Digital Object Identifier; identificador digital de objeto.</w:t>
      </w:r>
    </w:p>
    <w:p>
      <w:pPr>
        <w:pStyle w:val="TextoNormal-IPCA"/>
      </w:pPr>
      <w:r>
        <w:t>EMG – Eletromiografia; registo da atividade elétrica muscular.</w:t>
      </w:r>
    </w:p>
    <w:p>
      <w:pPr>
        <w:pStyle w:val="TextoNormal-IPCA"/>
      </w:pPr>
      <w:r>
        <w:t>EU – European Union; União Europeia.</w:t>
      </w:r>
    </w:p>
    <w:p>
      <w:pPr>
        <w:pStyle w:val="TextoNormal-IPCA"/>
      </w:pPr>
      <w:r>
        <w:t>EUA – Estados Unidos da América.</w:t>
      </w:r>
    </w:p>
    <w:p>
      <w:pPr>
        <w:pStyle w:val="TextoNormal-IPCA"/>
      </w:pPr>
      <w:r>
        <w:t>FA/FdA – Fabricação aditiva.</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fabricação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seletiva a laser.</w:t>
      </w:r>
    </w:p>
    <w:p>
      <w:pPr>
        <w:pStyle w:val="TextoNormal-IPCA"/>
      </w:pPr>
      <w:r>
        <w:t>SSM – Statistical Shape Modelling; modelação estatística da forma.</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extoNormal-IPCA"/>
        <w:spacing w:before="0" w:after="0"/>
        <w:rPr/>
        <w:sectPr>
          <w:footerReference w:type="even" r:id="rId30"/>
          <w:footerReference w:type="default" r:id="rId31"/>
          <w:footerReference w:type="first" r:id="rId32"/>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spacing w:before="0" w:after="0"/>
        <w:ind w:hanging="0"/>
        <w:rPr>
          <w:rFonts w:ascii="Arial" w:hAnsi="Arial" w:cs="Arial"/>
          <w:b/>
          <w:sz w:val="24"/>
        </w:rPr>
        <w:sectPr>
          <w:footerReference w:type="default" r:id="rId33"/>
          <w:footerReference w:type="first" r:id="rId34"/>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sPrembulo-IPCA"/>
        <w:rPr/>
      </w:pPr>
      <w:bookmarkStart w:id="12" w:name="_Toc521677104"/>
      <w:r>
        <w:rPr/>
        <w:t>ÍNDICE</w:t>
      </w:r>
      <w:bookmarkEnd w:id="12"/>
      <w:r>
        <w:rPr/>
        <w:t xml:space="preserve"> </w:t>
      </w:r>
    </w:p>
    <w:p>
      <w:pPr>
        <w:pStyle w:val="TOC1"/>
      </w:pPr>
      <w:r>
        <w:t>RESUMO</w:t>
        <w:tab/>
      </w:r>
      <w:r>
        <w:t>III</w:t>
      </w:r>
    </w:p>
    <w:p>
      <w:pPr>
        <w:pStyle w:val="TOC1"/>
      </w:pPr>
      <w:r>
        <w:t>ABSTRACT</w:t>
        <w:tab/>
      </w:r>
      <w:r>
        <w:t>V</w:t>
      </w:r>
    </w:p>
    <w:p>
      <w:pPr>
        <w:pStyle w:val="TOC1"/>
      </w:pPr>
      <w:r>
        <w:t>Agradecimentos</w:t>
        <w:tab/>
      </w:r>
      <w:r>
        <w:t>VII</w:t>
      </w:r>
    </w:p>
    <w:p>
      <w:pPr>
        <w:pStyle w:val="TOC1"/>
      </w:pPr>
      <w:r>
        <w:t>Dedicatória</w:t>
        <w:tab/>
      </w:r>
      <w:r>
        <w:t>IX</w:t>
      </w:r>
    </w:p>
    <w:p>
      <w:pPr>
        <w:pStyle w:val="TOC1"/>
      </w:pPr>
      <w:r>
        <w:t>Lista de Abreviaturas e/ou Siglas</w:t>
        <w:tab/>
      </w:r>
      <w:r>
        <w:t>XI</w:t>
      </w:r>
    </w:p>
    <w:p>
      <w:pPr>
        <w:pStyle w:val="TOC1"/>
      </w:pPr>
      <w:r>
        <w:t>ÍNDICE</w:t>
        <w:tab/>
      </w:r>
      <w:r>
        <w:t>XV</w:t>
      </w:r>
    </w:p>
    <w:p>
      <w:pPr>
        <w:pStyle w:val="TOC1"/>
      </w:pPr>
      <w:r>
        <w:t>Capítulo 1 — Introdução</w:t>
        <w:tab/>
      </w:r>
      <w:r>
        <w:t>1</w:t>
      </w:r>
    </w:p>
    <w:p>
      <w:pPr>
        <w:pStyle w:val="TOC2"/>
      </w:pPr>
      <w:r>
        <w:t>1.1 Enquadramento geral, contexto e motivação</w:t>
        <w:tab/>
      </w:r>
      <w:r>
        <w:t>1</w:t>
      </w:r>
    </w:p>
    <w:p>
      <w:pPr>
        <w:pStyle w:val="TOC2"/>
      </w:pPr>
      <w:r>
        <w:t>1.2 Problema de investigação</w:t>
        <w:tab/>
      </w:r>
      <w:r>
        <w:t>2</w:t>
      </w:r>
    </w:p>
    <w:p>
      <w:pPr>
        <w:pStyle w:val="TOC2"/>
      </w:pPr>
      <w:r>
        <w:t>1.3 Objetivos da investigação</w:t>
        <w:tab/>
      </w:r>
      <w:r>
        <w:t>2</w:t>
      </w:r>
    </w:p>
    <w:p>
      <w:pPr>
        <w:pStyle w:val="TOC3"/>
      </w:pPr>
      <w:r>
        <w:t>1.3.1 Objetivo geral</w:t>
        <w:tab/>
      </w:r>
      <w:r>
        <w:t>2</w:t>
      </w:r>
    </w:p>
    <w:p>
      <w:pPr>
        <w:pStyle w:val="TOC3"/>
      </w:pPr>
      <w:r>
        <w:t>1.3.2 Objetivos específicos</w:t>
        <w:tab/>
      </w:r>
      <w:r>
        <w:t>2</w:t>
      </w:r>
    </w:p>
    <w:p>
      <w:pPr>
        <w:pStyle w:val="TOC2"/>
      </w:pPr>
      <w:r>
        <w:t>1.4 Abordagem metodológica geral</w:t>
        <w:tab/>
      </w:r>
      <w:r>
        <w:t>2</w:t>
      </w:r>
    </w:p>
    <w:p>
      <w:pPr>
        <w:pStyle w:val="TOC2"/>
      </w:pPr>
      <w:r>
        <w:t>1.5 Estrutura da dissertação</w:t>
        <w:tab/>
      </w:r>
      <w:r>
        <w:t>3</w:t>
      </w:r>
    </w:p>
    <w:p>
      <w:pPr>
        <w:pStyle w:val="TOC1"/>
      </w:pPr>
      <w:r>
        <w:t>Capítulo 2 — Enquadramento Teórico e Estado da Arte</w:t>
        <w:tab/>
      </w:r>
      <w:r>
        <w:t>4</w:t>
      </w:r>
    </w:p>
    <w:p>
      <w:pPr>
        <w:pStyle w:val="TOC2"/>
      </w:pPr>
      <w:r>
        <w:t>2.1 Prótese de membro superior e dispositivos médicos</w:t>
        <w:tab/>
      </w:r>
      <w:r>
        <w:t>4</w:t>
      </w:r>
    </w:p>
    <w:p>
      <w:pPr>
        <w:pStyle w:val="TOC3"/>
      </w:pPr>
      <w:r>
        <w:t>Tipologias de próteses de membro superior</w:t>
        <w:tab/>
      </w:r>
      <w:r>
        <w:t>4</w:t>
      </w:r>
    </w:p>
    <w:p>
      <w:pPr>
        <w:pStyle w:val="TOC3"/>
      </w:pPr>
      <w:r>
        <w:t>Próteses mecânicas acionadas pelo corpo (body-powered)</w:t>
        <w:tab/>
      </w:r>
      <w:r>
        <w:t>5</w:t>
      </w:r>
    </w:p>
    <w:p>
      <w:pPr>
        <w:pStyle w:val="TOC3"/>
      </w:pPr>
      <w:r>
        <w:t>Próteses mioelétricas</w:t>
        <w:tab/>
      </w:r>
      <w:r>
        <w:t>5</w:t>
      </w:r>
    </w:p>
    <w:p>
      <w:pPr>
        <w:pStyle w:val="TOC3"/>
      </w:pPr>
      <w:r>
        <w:t>Sistemas híbridos</w:t>
        <w:tab/>
      </w:r>
      <w:r>
        <w:t>5</w:t>
      </w:r>
    </w:p>
    <w:p>
      <w:pPr>
        <w:pStyle w:val="TOC3"/>
      </w:pPr>
      <w:r>
        <w:t>Considerações clínicas e funcionais</w:t>
        <w:tab/>
      </w:r>
      <w:r>
        <w:t>6</w:t>
      </w:r>
    </w:p>
    <w:p>
      <w:pPr>
        <w:pStyle w:val="TOC3"/>
      </w:pPr>
      <w:r>
        <w:t>Medição de resultados e abandono protésico</w:t>
        <w:tab/>
      </w:r>
      <w:r>
        <w:t>7</w:t>
      </w:r>
    </w:p>
    <w:p>
      <w:pPr>
        <w:pStyle w:val="TOC3"/>
      </w:pPr>
      <w:r>
        <w:t>Enquadramento regulatório enquanto dispositivo médico</w:t>
        <w:tab/>
      </w:r>
      <w:r>
        <w:t>8</w:t>
      </w:r>
    </w:p>
    <w:p>
      <w:pPr>
        <w:pStyle w:val="TOC2"/>
      </w:pPr>
      <w:r>
        <w:t>2.2 Design Industrial, Design Inclusivo e Design Centrado no Utilizador</w:t>
        <w:tab/>
      </w:r>
      <w:r>
        <w:t>9</w:t>
      </w:r>
    </w:p>
    <w:p>
      <w:pPr>
        <w:pStyle w:val="TOC3"/>
      </w:pPr>
      <w:r>
        <w:t>Design industrial em dispositivos médicos</w:t>
        <w:tab/>
      </w:r>
      <w:r>
        <w:t>9</w:t>
      </w:r>
    </w:p>
    <w:p>
      <w:pPr>
        <w:pStyle w:val="TOC3"/>
      </w:pPr>
      <w:r>
        <w:t>Design Inclusivo e Design Universal</w:t>
        <w:tab/>
      </w:r>
      <w:r>
        <w:t>10</w:t>
      </w:r>
    </w:p>
    <w:p>
      <w:pPr>
        <w:pStyle w:val="TOC3"/>
      </w:pPr>
      <w:r>
        <w:t>Design Centrado no Utilizador e Design Centrado no Humano</w:t>
        <w:tab/>
      </w:r>
      <w:r>
        <w:t>11</w:t>
      </w:r>
    </w:p>
    <w:p>
      <w:pPr>
        <w:pStyle w:val="TOC3"/>
      </w:pPr>
      <w:r>
        <w:t>Design Participativo e Co-design</w:t>
        <w:tab/>
      </w:r>
      <w:r>
        <w:t>11</w:t>
      </w:r>
    </w:p>
    <w:p>
      <w:pPr>
        <w:pStyle w:val="TOC3"/>
      </w:pPr>
      <w:r>
        <w:t>Metodologias, instrumentos e avaliação</w:t>
        <w:tab/>
      </w:r>
      <w:r>
        <w:t>11</w:t>
      </w:r>
    </w:p>
    <w:p>
      <w:pPr>
        <w:pStyle w:val="TOC3"/>
      </w:pPr>
      <w:r>
        <w:t>Desafios e lacunas</w:t>
        <w:tab/>
      </w:r>
      <w:r>
        <w:t>12</w:t>
      </w:r>
    </w:p>
    <w:p>
      <w:pPr>
        <w:pStyle w:val="TOC2"/>
      </w:pPr>
      <w:r>
        <w:t>2.3 Fabricação Aditiva e parametrização no design de produto</w:t>
        <w:tab/>
      </w:r>
      <w:r>
        <w:t>12</w:t>
      </w:r>
    </w:p>
    <w:p>
      <w:pPr>
        <w:pStyle w:val="TOC3"/>
      </w:pPr>
      <w:r>
        <w:t>Modelação Paramétrica e Espaços de Variação</w:t>
        <w:tab/>
      </w:r>
      <w:r>
        <w:t>13</w:t>
      </w:r>
    </w:p>
    <w:p>
      <w:pPr>
        <w:pStyle w:val="TOC3"/>
      </w:pPr>
      <w:r>
        <w:t>Integração com Fabricação Aditiva e Design for Additive Manufacturing</w:t>
        <w:tab/>
      </w:r>
      <w:r>
        <w:t>14</w:t>
      </w:r>
    </w:p>
    <w:p>
      <w:pPr>
        <w:pStyle w:val="TOC3"/>
      </w:pPr>
      <w:r>
        <w:t>Configuradores e Cocriação Digital</w:t>
        <w:tab/>
      </w:r>
      <w:r>
        <w:t>14</w:t>
      </w:r>
    </w:p>
    <w:p>
      <w:pPr>
        <w:pStyle w:val="TOC3"/>
      </w:pPr>
      <w:r>
        <w:t>Otimização, Geração e Avaliação de Desempenho</w:t>
        <w:tab/>
      </w:r>
      <w:r>
        <w:t>15</w:t>
      </w:r>
    </w:p>
    <w:p>
      <w:pPr>
        <w:pStyle w:val="TOC3"/>
      </w:pPr>
      <w:r>
        <w:t>Implicações para o Design Industrial</w:t>
        <w:tab/>
      </w:r>
      <w:r>
        <w:t>16</w:t>
      </w:r>
    </w:p>
    <w:p>
      <w:pPr>
        <w:pStyle w:val="TOC2"/>
      </w:pPr>
      <w:r>
        <w:t>2.4 Próteses open source de membro superior passíveis de impressão 3D</w:t>
        <w:tab/>
      </w:r>
      <w:r>
        <w:t>16</w:t>
      </w:r>
    </w:p>
    <w:p>
      <w:pPr>
        <w:pStyle w:val="TOC2"/>
      </w:pPr>
      <w:r>
        <w:t>2.5 Antropometria aplicada ao design protésico</w:t>
        <w:tab/>
      </w:r>
      <w:r>
        <w:t>18</w:t>
      </w:r>
    </w:p>
    <w:p>
      <w:pPr>
        <w:pStyle w:val="TOC3"/>
      </w:pPr>
      <w:r>
        <w:t>Da dimensão linear à “forma” como dado de projeto</w:t>
        <w:tab/>
      </w:r>
      <w:r>
        <w:t>18</w:t>
      </w:r>
    </w:p>
    <w:p>
      <w:pPr>
        <w:pStyle w:val="TOC3"/>
      </w:pPr>
      <w:r>
        <w:t>Métodos de recolha antropométrica em próteses e tecnologias de apoio</w:t>
        <w:tab/>
      </w:r>
      <w:r>
        <w:t>19</w:t>
      </w:r>
    </w:p>
    <w:p>
      <w:pPr>
        <w:pStyle w:val="TOC3"/>
      </w:pPr>
      <w:r>
        <w:t>Interpretação e aplicação de dados antropométricos no projeto</w:t>
        <w:tab/>
      </w:r>
      <w:r>
        <w:t>20</w:t>
      </w:r>
    </w:p>
    <w:p>
      <w:pPr>
        <w:pStyle w:val="TOC3"/>
      </w:pPr>
      <w:r>
        <w:t>Evidência por tipo de dispositivo</w:t>
        <w:tab/>
      </w:r>
      <w:r>
        <w:t>21</w:t>
      </w:r>
    </w:p>
    <w:p>
      <w:pPr>
        <w:pStyle w:val="TOC3"/>
      </w:pPr>
      <w:r>
        <w:t>Limitações, lacunas e recomendações</w:t>
        <w:tab/>
      </w:r>
      <w:r>
        <w:t>21</w:t>
      </w:r>
    </w:p>
    <w:p>
      <w:pPr>
        <w:pStyle w:val="TOC3"/>
      </w:pPr>
      <w:r>
        <w:t>Estruturação de dados</w:t>
        <w:tab/>
      </w:r>
      <w:r>
        <w:t>21</w:t>
      </w:r>
    </w:p>
    <w:p>
      <w:pPr>
        <w:pStyle w:val="TOC2"/>
      </w:pPr>
      <w:r>
        <w:t>2.6 Inteligência Artificial no processo de design</w:t>
        <w:tab/>
      </w:r>
      <w:r>
        <w:t>22</w:t>
      </w:r>
    </w:p>
    <w:p>
      <w:pPr>
        <w:pStyle w:val="TOC3"/>
      </w:pPr>
      <w:r>
        <w:t>O que é a Inteligência Artificial</w:t>
        <w:tab/>
      </w:r>
      <w:r>
        <w:t>23</w:t>
      </w:r>
    </w:p>
    <w:p>
      <w:pPr>
        <w:pStyle w:val="TOC3"/>
      </w:pPr>
      <w:r>
        <w:t>Como funciona: dados, treino, inferência e geração</w:t>
        <w:tab/>
      </w:r>
      <w:r>
        <w:t>23</w:t>
      </w:r>
    </w:p>
    <w:p>
      <w:pPr>
        <w:pStyle w:val="TOC3"/>
      </w:pPr>
      <w:r>
        <w:t>Formas de IA mais relevantes para o design</w:t>
        <w:tab/>
      </w:r>
      <w:r>
        <w:t>24</w:t>
      </w:r>
    </w:p>
    <w:p>
      <w:pPr>
        <w:pStyle w:val="TOC3"/>
      </w:pPr>
      <w:r>
        <w:t>IA ao longo do processo de design</w:t>
        <w:tab/>
      </w:r>
      <w:r>
        <w:t>24</w:t>
      </w:r>
    </w:p>
    <w:p>
      <w:pPr>
        <w:pStyle w:val="TOC3"/>
      </w:pPr>
      <w:r>
        <w:t>Papel do designer, riscos e necessidade de supervisão humana</w:t>
        <w:tab/>
      </w:r>
      <w:r>
        <w:t>25</w:t>
      </w:r>
    </w:p>
    <w:p>
      <w:pPr>
        <w:pStyle w:val="TOC2"/>
      </w:pPr>
      <w:r>
        <w:t>2.7 Plataformas digitais e sistemas configuráveis</w:t>
        <w:tab/>
      </w:r>
      <w:r>
        <w:t>25</w:t>
      </w:r>
    </w:p>
    <w:p>
      <w:pPr>
        <w:pStyle w:val="TOC3"/>
      </w:pPr>
      <w:r>
        <w:t>Fundamentos conceptuais: toolkits, meta-design e end-user development.</w:t>
        <w:tab/>
      </w:r>
      <w:r>
        <w:t>26</w:t>
      </w:r>
    </w:p>
    <w:p>
      <w:pPr>
        <w:pStyle w:val="TOC3"/>
      </w:pPr>
      <w:r>
        <w:t>Mecanismos de personalização: modularidade, parametrização e adaptação individualizada</w:t>
        <w:tab/>
      </w:r>
      <w:r>
        <w:t>28</w:t>
      </w:r>
    </w:p>
    <w:p>
      <w:pPr>
        <w:pStyle w:val="TOC3"/>
      </w:pPr>
      <w:r>
        <w:t>Workflows participativos e infraestruturas remotas</w:t>
        <w:tab/>
      </w:r>
      <w:r>
        <w:t>28</w:t>
      </w:r>
    </w:p>
    <w:p>
      <w:pPr>
        <w:pStyle w:val="TOC3"/>
      </w:pPr>
      <w:r>
        <w:t>Aplicações em saúde, reabilitação e próteses</w:t>
        <w:tab/>
      </w:r>
      <w:r>
        <w:t>29</w:t>
      </w:r>
    </w:p>
    <w:p>
      <w:pPr>
        <w:pStyle w:val="TOC3"/>
      </w:pPr>
      <w:r>
        <w:t>Limitações e lacunas: sustentabilidade, adoção e equilíbrio entre normalização e improviso</w:t>
        <w:tab/>
      </w:r>
      <w:r>
        <w:t>30</w:t>
      </w:r>
    </w:p>
    <w:p>
      <w:pPr>
        <w:pStyle w:val="TOC2"/>
      </w:pPr>
      <w:r>
        <w:t>2.8 Análise crítica do estado da arte e lacunas identificadas</w:t>
        <w:tab/>
      </w:r>
      <w:r>
        <w:t>30</w:t>
      </w:r>
    </w:p>
    <w:p>
      <w:pPr>
        <w:pStyle w:val="TOC3"/>
      </w:pPr>
      <w:r>
        <w:t>Lacuna 1 — Validação empírica limitada e fraca transposição para contextos reais de utilização</w:t>
        <w:tab/>
      </w:r>
      <w:r>
        <w:t>31</w:t>
      </w:r>
    </w:p>
    <w:p>
      <w:pPr>
        <w:pStyle w:val="TOC3"/>
      </w:pPr>
      <w:r>
        <w:t>Lacuna 2 — Desalinhamento entre necessidades identificadas, métricas objetivas, e qualidade de vida</w:t>
        <w:tab/>
      </w:r>
      <w:r>
        <w:t>32</w:t>
      </w:r>
    </w:p>
    <w:p>
      <w:pPr>
        <w:pStyle w:val="TOC3"/>
      </w:pPr>
      <w:r>
        <w:t>Lacuna 3 — Persistência de problemas na interface corpo–prótese e no ajuste individualizado</w:t>
        <w:tab/>
      </w:r>
      <w:r>
        <w:t>32</w:t>
      </w:r>
    </w:p>
    <w:p>
      <w:pPr>
        <w:pStyle w:val="TOC3"/>
      </w:pPr>
      <w:r>
        <w:t>Lacuna 4 — Evolução limitada das estratégias de controlo e da interação utilizador–prótese</w:t>
        <w:tab/>
      </w:r>
      <w:r>
        <w:t>33</w:t>
      </w:r>
    </w:p>
    <w:p>
      <w:pPr>
        <w:pStyle w:val="TOC3"/>
      </w:pPr>
      <w:r>
        <w:t>Lacuna 5 — Acesso, custo, manutenção e inequidades sistémicas</w:t>
        <w:tab/>
      </w:r>
      <w:r>
        <w:t>33</w:t>
      </w:r>
    </w:p>
    <w:p>
      <w:pPr>
        <w:pStyle w:val="TOC3"/>
      </w:pPr>
      <w:r>
        <w:t>Lacuna 6 — Envolvimento do utilizador e registo metodológico insuficiente</w:t>
        <w:tab/>
      </w:r>
      <w:r>
        <w:t>33</w:t>
      </w:r>
    </w:p>
    <w:p>
      <w:pPr>
        <w:pStyle w:val="TOC3"/>
      </w:pPr>
      <w:r>
        <w:t>Implicações para esta investigação</w:t>
        <w:tab/>
      </w:r>
      <w:r>
        <w:t>34</w:t>
      </w:r>
    </w:p>
    <w:p>
      <w:pPr>
        <w:pStyle w:val="TOC1"/>
      </w:pPr>
      <w:r>
        <w:t>Capítulo 3 — Metodologia de Investigação</w:t>
        <w:tab/>
      </w:r>
      <w:r>
        <w:t>35</w:t>
      </w:r>
    </w:p>
    <w:p>
      <w:pPr>
        <w:pStyle w:val="TOC2"/>
      </w:pPr>
      <w:r>
        <w:t>3.1 Enquadramento metodológico e abordagem Research Through Design</w:t>
        <w:tab/>
      </w:r>
      <w:r>
        <w:t>35</w:t>
      </w:r>
    </w:p>
    <w:p>
      <w:pPr>
        <w:pStyle w:val="TOC2"/>
      </w:pPr>
      <w:r>
        <w:t>3.2 O design industrial como prática investigativa</w:t>
        <w:tab/>
      </w:r>
      <w:r>
        <w:t>37</w:t>
      </w:r>
    </w:p>
    <w:p>
      <w:pPr>
        <w:pStyle w:val="TOC2"/>
      </w:pPr>
      <w:r>
        <w:t>3.3 Estrutura metodológica do projeto</w:t>
        <w:tab/>
      </w:r>
      <w:r>
        <w:t>37</w:t>
      </w:r>
    </w:p>
    <w:p>
      <w:pPr>
        <w:pStyle w:val="TOC2"/>
      </w:pPr>
      <w:r>
        <w:t>3.4 Métodos de recolha e análise de dados</w:t>
        <w:tab/>
      </w:r>
      <w:r>
        <w:t>38</w:t>
      </w:r>
    </w:p>
    <w:p>
      <w:pPr>
        <w:pStyle w:val="TOC2"/>
      </w:pPr>
      <w:r>
        <w:t>3.5 Critérios de avaliação e limitações metodológicas</w:t>
        <w:tab/>
      </w:r>
      <w:r>
        <w:t>39</w:t>
      </w:r>
    </w:p>
    <w:p>
      <w:pPr>
        <w:pStyle w:val="TOC1"/>
      </w:pPr>
      <w:r>
        <w:t>Capítulo 4 — Desenvolvimento do Modelo Paramétrico</w:t>
        <w:tab/>
      </w:r>
      <w:r>
        <w:t>41</w:t>
      </w:r>
    </w:p>
    <w:p>
      <w:pPr>
        <w:pStyle w:val="TOC2"/>
      </w:pPr>
      <w:r>
        <w:t>4.1 Definição do problema de design e requisitos</w:t>
        <w:tab/>
      </w:r>
      <w:r>
        <w:t>41</w:t>
      </w:r>
    </w:p>
    <w:p>
      <w:pPr>
        <w:pStyle w:val="TOC2"/>
      </w:pPr>
      <w:r>
        <w:t>4.2 Parâmetros antropométricos e estrutura do modelo</w:t>
        <w:tab/>
      </w:r>
      <w:r>
        <w:t>42</w:t>
      </w:r>
    </w:p>
    <w:p>
      <w:pPr>
        <w:pStyle w:val="TOC3"/>
      </w:pPr>
      <w:r>
        <w:t>Conjuntos mínimos de parâmetros por nível de amputação</w:t>
        <w:tab/>
      </w:r>
      <w:r>
        <w:t>44</w:t>
      </w:r>
    </w:p>
    <w:p>
      <w:pPr>
        <w:pStyle w:val="TOC3"/>
      </w:pPr>
      <w:r>
        <w:t>Limitações do redimensionamento proporcional</w:t>
        <w:tab/>
      </w:r>
      <w:r>
        <w:t>45</w:t>
      </w:r>
    </w:p>
    <w:p>
      <w:pPr>
        <w:pStyle w:val="TOC3"/>
      </w:pPr>
      <w:r>
        <w:t>Métodos de recolha de dados antropométricos</w:t>
        <w:tab/>
      </w:r>
      <w:r>
        <w:t>45</w:t>
      </w:r>
    </w:p>
    <w:p>
      <w:pPr>
        <w:pStyle w:val="TOC3"/>
      </w:pPr>
      <w:r>
        <w:t>Bases de dados antropométricas, extração e normalização</w:t>
        <w:tab/>
      </w:r>
      <w:r>
        <w:t>46</w:t>
      </w:r>
    </w:p>
    <w:p>
      <w:pPr>
        <w:pStyle w:val="TOC3"/>
      </w:pPr>
      <w:r>
        <w:t>Estrutura paramétrica e mapeamento de parâmetros</w:t>
        <w:tab/>
      </w:r>
      <w:r>
        <w:t>50</w:t>
      </w:r>
    </w:p>
    <w:p>
      <w:pPr>
        <w:pStyle w:val="TOC3"/>
      </w:pPr>
      <w:r>
        <w:t>OpenSCAD: enquadramento e justificação da escolha</w:t>
        <w:tab/>
      </w:r>
      <w:r>
        <w:t>51</w:t>
      </w:r>
    </w:p>
    <w:p>
      <w:pPr>
        <w:pStyle w:val="TOC2"/>
      </w:pPr>
      <w:r>
        <w:t>4.3 Modelação paramétrica em OpenSCAD</w:t>
        <w:tab/>
      </w:r>
      <w:r>
        <w:t>53</w:t>
      </w:r>
    </w:p>
    <w:p>
      <w:pPr>
        <w:pStyle w:val="TOC3"/>
      </w:pPr>
      <w:r>
        <w:t>4.3.1 Estrutura técnica, parâmetros e restrições</w:t>
        <w:tab/>
      </w:r>
      <w:r>
        <w:t>54</w:t>
      </w:r>
    </w:p>
    <w:p>
      <w:pPr>
        <w:pStyle w:val="TOC3"/>
      </w:pPr>
      <w:r>
        <w:t>4.3.2 Análise crítica da abordagem</w:t>
        <w:tab/>
      </w:r>
      <w:r>
        <w:t>55</w:t>
      </w:r>
    </w:p>
    <w:p>
      <w:pPr>
        <w:pStyle w:val="TOC2"/>
      </w:pPr>
      <w:r>
        <w:t>4.4 Iterações, refinamento e discussão intermédia</w:t>
        <w:tab/>
      </w:r>
      <w:r>
        <w:t>57</w:t>
      </w:r>
    </w:p>
    <w:p>
      <w:pPr>
        <w:pStyle w:val="TOC1"/>
      </w:pPr>
      <w:r>
        <w:t>Capítulo 5 — Plataforma Web e Integração Digital</w:t>
        <w:tab/>
      </w:r>
      <w:r>
        <w:t>60</w:t>
      </w:r>
    </w:p>
    <w:p>
      <w:pPr>
        <w:pStyle w:val="TOC2"/>
      </w:pPr>
      <w:r>
        <w:t>5.1 Enquadramento conceptual e perfis de utilizador</w:t>
        <w:tab/>
      </w:r>
      <w:r>
        <w:t>60</w:t>
      </w:r>
    </w:p>
    <w:p>
      <w:pPr>
        <w:pStyle w:val="TOC2"/>
      </w:pPr>
      <w:r>
        <w:t>5.2 Arquitetura geral do sistema</w:t>
        <w:tab/>
      </w:r>
      <w:r>
        <w:t>62</w:t>
      </w:r>
    </w:p>
    <w:p>
      <w:pPr>
        <w:pStyle w:val="TOC2"/>
      </w:pPr>
      <w:r>
        <w:t>5.3 Integração OpenSCAD via WebAssembly (WASM)</w:t>
        <w:tab/>
      </w:r>
      <w:r>
        <w:t>64</w:t>
      </w:r>
    </w:p>
    <w:p>
      <w:pPr>
        <w:pStyle w:val="TOC2"/>
      </w:pPr>
      <w:r>
        <w:t>5.4 Estrutura funcional da plataforma</w:t>
        <w:tab/>
      </w:r>
      <w:r>
        <w:t>65</w:t>
      </w:r>
    </w:p>
    <w:p>
      <w:pPr>
        <w:pStyle w:val="TOC2"/>
      </w:pPr>
      <w:r>
        <w:t>5.5 Gestão de parâmetros, versões e expansão</w:t>
        <w:tab/>
      </w:r>
      <w:r>
        <w:t>69</w:t>
      </w:r>
    </w:p>
    <w:p>
      <w:pPr>
        <w:pStyle w:val="TOC1"/>
      </w:pPr>
      <w:r>
        <w:t>Capítulo 6 — Integração da Inteligência Artificial</w:t>
        <w:tab/>
      </w:r>
      <w:r>
        <w:t>72</w:t>
      </w:r>
    </w:p>
    <w:p>
      <w:pPr>
        <w:pStyle w:val="TOC2"/>
      </w:pPr>
      <w:r>
        <w:t>6.1 Papel da IA no sistema proposto</w:t>
        <w:tab/>
      </w:r>
      <w:r>
        <w:t>72</w:t>
      </w:r>
    </w:p>
    <w:p>
      <w:pPr>
        <w:pStyle w:val="TOC2"/>
      </w:pPr>
      <w:r>
        <w:t>6.2 IA na parametrização, personalização e apoio à decisão</w:t>
        <w:tab/>
      </w:r>
      <w:r>
        <w:t>73</w:t>
      </w:r>
    </w:p>
    <w:p>
      <w:pPr>
        <w:pStyle w:val="TOC2"/>
      </w:pPr>
      <w:r>
        <w:t>6.3 Validação antropométrica assistida por IA no sistema</w:t>
        <w:tab/>
      </w:r>
      <w:r>
        <w:t>74</w:t>
      </w:r>
    </w:p>
    <w:p>
      <w:pPr>
        <w:pStyle w:val="TOC2"/>
      </w:pPr>
      <w:r>
        <w:t>6.4 Ajuste, validação e limitações éticas e técnicas</w:t>
        <w:tab/>
      </w:r>
      <w:r>
        <w:t>75</w:t>
      </w:r>
    </w:p>
    <w:p>
      <w:pPr>
        <w:pStyle w:val="TOC1"/>
      </w:pPr>
      <w:r>
        <w:t>Capítulo 7 — Interface, Interação e Experiência de Utilização</w:t>
        <w:tab/>
      </w:r>
      <w:r>
        <w:t>78</w:t>
      </w:r>
    </w:p>
    <w:p>
      <w:pPr>
        <w:pStyle w:val="TOC2"/>
      </w:pPr>
      <w:r>
        <w:t>7.1 Estratégia de interação e decisões de UI/UX</w:t>
        <w:tab/>
      </w:r>
      <w:r>
        <w:t>78</w:t>
      </w:r>
    </w:p>
    <w:p>
      <w:pPr>
        <w:pStyle w:val="TOC2"/>
      </w:pPr>
      <w:r>
        <w:t>7.2 Experiência do designer e do utilizador final</w:t>
        <w:tab/>
      </w:r>
      <w:r>
        <w:t>79</w:t>
      </w:r>
    </w:p>
    <w:p>
      <w:pPr>
        <w:pStyle w:val="TOC2"/>
      </w:pPr>
      <w:r>
        <w:t>7.3 Mediação do processo de design e reflexão crítica</w:t>
        <w:tab/>
      </w:r>
      <w:r>
        <w:t>83</w:t>
      </w:r>
    </w:p>
    <w:p>
      <w:pPr>
        <w:pStyle w:val="TOC1"/>
      </w:pPr>
      <w:r>
        <w:t>Capítulo 8 — Avaliação e Discussão</w:t>
        <w:tab/>
      </w:r>
      <w:r>
        <w:t>85</w:t>
      </w:r>
    </w:p>
    <w:p>
      <w:pPr>
        <w:pStyle w:val="TOC2"/>
      </w:pPr>
      <w:r>
        <w:t>8.1 Estratégia e critérios de avaliação</w:t>
        <w:tab/>
      </w:r>
      <w:r>
        <w:t>85</w:t>
      </w:r>
    </w:p>
    <w:p>
      <w:pPr>
        <w:pStyle w:val="TOC2"/>
      </w:pPr>
      <w:r>
        <w:t>8.2 Validação antropométrica das sugestões de IA</w:t>
        <w:tab/>
      </w:r>
      <w:r>
        <w:t>86</w:t>
      </w:r>
    </w:p>
    <w:p>
      <w:pPr>
        <w:pStyle w:val="TOC2"/>
      </w:pPr>
      <w:r>
        <w:t>8.3 Validação geométrica entre modelos</w:t>
        <w:tab/>
      </w:r>
      <w:r>
        <w:t>89</w:t>
      </w:r>
    </w:p>
    <w:p>
      <w:pPr>
        <w:pStyle w:val="TOC2"/>
      </w:pPr>
      <w:r>
        <w:t>8.4 Discussão dos resultados face aos objetivos</w:t>
        <w:tab/>
      </w:r>
      <w:r>
        <w:t>90</w:t>
      </w:r>
    </w:p>
    <w:p>
      <w:pPr>
        <w:pStyle w:val="TOC1"/>
      </w:pPr>
      <w:r>
        <w:t>Capítulo 9 — Conclusões e Trabalhos Futuros</w:t>
        <w:tab/>
      </w:r>
      <w:r>
        <w:t>92</w:t>
      </w:r>
    </w:p>
    <w:p>
      <w:pPr>
        <w:pStyle w:val="TOC2"/>
      </w:pPr>
      <w:r>
        <w:t>9.1 Síntese dos principais contributos</w:t>
        <w:tab/>
      </w:r>
      <w:r>
        <w:t>92</w:t>
      </w:r>
    </w:p>
    <w:p>
      <w:pPr>
        <w:pStyle w:val="TOC2"/>
      </w:pPr>
      <w:r>
        <w:t>9.2 Contributos para o Design Industrial</w:t>
        <w:tab/>
      </w:r>
      <w:r>
        <w:t>92</w:t>
      </w:r>
    </w:p>
    <w:p>
      <w:pPr>
        <w:pStyle w:val="TOC2"/>
      </w:pPr>
      <w:r>
        <w:t>9.3 Limitações e perspetivas de desenvolvimento futuro</w:t>
        <w:tab/>
      </w:r>
      <w:r>
        <w:t>93</w:t>
      </w:r>
    </w:p>
    <w:p>
      <w:pPr>
        <w:pStyle w:val="TOC1"/>
      </w:pPr>
      <w:r>
        <w:t>Referências Bibliográficas</w:t>
        <w:tab/>
      </w:r>
      <w:r>
        <w:t>95</w:t>
      </w:r>
    </w:p>
    <w:p>
      <w:pPr>
        <w:pStyle w:val="TOC1"/>
      </w:pPr>
      <w:r>
        <w:t>Anexo A — Metodologia de extração e codificação de dados antropométricos da mão</w:t>
        <w:tab/>
      </w:r>
      <w:r>
        <w:t>106</w:t>
      </w:r>
    </w:p>
    <w:p>
      <w:pPr>
        <w:pStyle w:val="TOC2"/>
      </w:pPr>
      <w:r>
        <w:t>A.1 Contexto e Objetivo</w:t>
        <w:tab/>
      </w:r>
      <w:r>
        <w:t>106</w:t>
      </w:r>
    </w:p>
    <w:p>
      <w:pPr>
        <w:pStyle w:val="TOC2"/>
      </w:pPr>
      <w:r>
        <w:t>A.2 Estratégia de Pesquisa Bibliográfica</w:t>
        <w:tab/>
      </w:r>
      <w:r>
        <w:t>106</w:t>
      </w:r>
    </w:p>
    <w:p>
      <w:pPr>
        <w:pStyle w:val="TOC3"/>
      </w:pPr>
      <w:r>
        <w:t>A.2.1 Pesquisa bibliográfica assistida e revisões sistemáticas</w:t>
        <w:tab/>
      </w:r>
      <w:r>
        <w:t>106</w:t>
      </w:r>
    </w:p>
    <w:p>
      <w:pPr>
        <w:pStyle w:val="TOC3"/>
      </w:pPr>
      <w:r>
        <w:t>A.2.2 Base ANSUR 1988</w:t>
        <w:tab/>
      </w:r>
      <w:r>
        <w:t>106</w:t>
      </w:r>
    </w:p>
    <w:p>
      <w:pPr>
        <w:pStyle w:val="TOC2"/>
      </w:pPr>
      <w:r>
        <w:t>A.3 Critérios de Inclusão e Exclusão de Estudos</w:t>
        <w:tab/>
      </w:r>
      <w:r>
        <w:t>106</w:t>
      </w:r>
    </w:p>
    <w:p>
      <w:pPr>
        <w:pStyle w:val="TOC3"/>
      </w:pPr>
      <w:r>
        <w:t>A.3.1 Critérios de inclusão</w:t>
        <w:tab/>
      </w:r>
      <w:r>
        <w:t>106</w:t>
      </w:r>
    </w:p>
    <w:p>
      <w:pPr>
        <w:pStyle w:val="TOC3"/>
      </w:pPr>
      <w:r>
        <w:t>A.3.2 Critérios de exclusão</w:t>
        <w:tab/>
      </w:r>
      <w:r>
        <w:t>107</w:t>
      </w:r>
    </w:p>
    <w:p>
      <w:pPr>
        <w:pStyle w:val="TOC2"/>
      </w:pPr>
      <w:r>
        <w:t>A.4 Processo de Extração de Dados</w:t>
        <w:tab/>
      </w:r>
      <w:r>
        <w:t>107</w:t>
      </w:r>
    </w:p>
    <w:p>
      <w:pPr>
        <w:pStyle w:val="TOC3"/>
      </w:pPr>
      <w:r>
        <w:t>A.4.1 Leitura dos PDFs e localização das tabelas</w:t>
        <w:tab/>
      </w:r>
      <w:r>
        <w:t>107</w:t>
      </w:r>
    </w:p>
    <w:p>
      <w:pPr>
        <w:pStyle w:val="TOC3"/>
      </w:pPr>
      <w:r>
        <w:t>A.4.2 Identificação das unidades e conversão</w:t>
        <w:tab/>
      </w:r>
      <w:r>
        <w:t>107</w:t>
      </w:r>
    </w:p>
    <w:p>
      <w:pPr>
        <w:pStyle w:val="TOC3"/>
      </w:pPr>
      <w:r>
        <w:t>A.4.3 Decomposição em linhas atómicas</w:t>
        <w:tab/>
      </w:r>
      <w:r>
        <w:t>107</w:t>
      </w:r>
    </w:p>
    <w:p>
      <w:pPr>
        <w:pStyle w:val="TOC3"/>
      </w:pPr>
      <w:r>
        <w:t>A.4.4 Registo fiel do contexto da medição</w:t>
        <w:tab/>
      </w:r>
      <w:r>
        <w:t>108</w:t>
      </w:r>
    </w:p>
    <w:p>
      <w:pPr>
        <w:pStyle w:val="TOC2"/>
      </w:pPr>
      <w:r>
        <w:t>A.5 Decisões por Estudo</w:t>
        <w:tab/>
      </w:r>
      <w:r>
        <w:t>108</w:t>
      </w:r>
    </w:p>
    <w:p>
      <w:pPr>
        <w:pStyle w:val="TOC3"/>
      </w:pPr>
      <w:r>
        <w:t>A.5.1 ANSUR 1988 — EUA, militares (Gordon et al., 1989)</w:t>
        <w:tab/>
      </w:r>
      <w:r>
        <w:t>108</w:t>
      </w:r>
    </w:p>
    <w:p>
      <w:pPr>
        <w:pStyle w:val="TOC3"/>
      </w:pPr>
      <w:r>
        <w:t>A.5.2 Turquia — jovens adultos (Chatzioglou et al., 2024)</w:t>
        <w:tab/>
      </w:r>
      <w:r>
        <w:t>108</w:t>
      </w:r>
    </w:p>
    <w:p>
      <w:pPr>
        <w:pStyle w:val="TOC3"/>
      </w:pPr>
      <w:r>
        <w:t>A.5.3 México — população geral (Rodríguez-Vega &amp; Rodríguez-Vega, 2024)</w:t>
        <w:tab/>
      </w:r>
      <w:r>
        <w:t>108</w:t>
      </w:r>
    </w:p>
    <w:p>
      <w:pPr>
        <w:pStyle w:val="TOC3"/>
      </w:pPr>
      <w:r>
        <w:t>A.5.4 Índia — mulheres trabalhadoras (Nag et al., 2003)</w:t>
        <w:tab/>
      </w:r>
      <w:r>
        <w:t>109</w:t>
      </w:r>
    </w:p>
    <w:p>
      <w:pPr>
        <w:pStyle w:val="TOC3"/>
      </w:pPr>
      <w:r>
        <w:t>A.5.5 Portugal — trabalhadores industriais (Anacleto Filho et al., 2023)</w:t>
        <w:tab/>
      </w:r>
      <w:r>
        <w:t>109</w:t>
      </w:r>
    </w:p>
    <w:p>
      <w:pPr>
        <w:pStyle w:val="TOC3"/>
      </w:pPr>
      <w:r>
        <w:t>A.5.6 Nigéria — atletas universitários (Ibiwari et al., 2025)</w:t>
        <w:tab/>
      </w:r>
      <w:r>
        <w:t>109</w:t>
      </w:r>
    </w:p>
    <w:p>
      <w:pPr>
        <w:pStyle w:val="TOC3"/>
      </w:pPr>
      <w:r>
        <w:t>A.5.7 Jordânia — trabalhadores com deficiência (Mistarihi, 2020)</w:t>
        <w:tab/>
      </w:r>
      <w:r>
        <w:t>109</w:t>
      </w:r>
    </w:p>
    <w:p>
      <w:pPr>
        <w:pStyle w:val="TOC3"/>
      </w:pPr>
      <w:r>
        <w:t>A.5.8 EUA — dedo indicador (Lim et al., 2018)</w:t>
        <w:tab/>
      </w:r>
      <w:r>
        <w:t>110</w:t>
      </w:r>
    </w:p>
    <w:p>
      <w:pPr>
        <w:pStyle w:val="TOC3"/>
      </w:pPr>
      <w:r>
        <w:t>A.5.9 Estudo excluído: Moreo (2016)</w:t>
        <w:tab/>
      </w:r>
      <w:r>
        <w:t>110</w:t>
      </w:r>
    </w:p>
    <w:p>
      <w:pPr>
        <w:pStyle w:val="TOC3"/>
      </w:pPr>
      <w:r>
        <w:t>A.5.10 EUA — militares ANSUR II (Gordon et al., 2015)</w:t>
        <w:tab/>
      </w:r>
      <w:r>
        <w:t>110</w:t>
      </w:r>
    </w:p>
    <w:p>
      <w:pPr>
        <w:pStyle w:val="TOC3"/>
      </w:pPr>
      <w:r>
        <w:t>A.5.11 Países Baixos — DINED (TU Delft, 1993–2004)</w:t>
        <w:tab/>
      </w:r>
      <w:r>
        <w:t>111</w:t>
      </w:r>
    </w:p>
    <w:p>
      <w:pPr>
        <w:pStyle w:val="TOC3"/>
      </w:pPr>
      <w:r>
        <w:t>A.5.12 China — idosos de Pequim (Hu et al., 2007)</w:t>
        <w:tab/>
      </w:r>
      <w:r>
        <w:t>111</w:t>
      </w:r>
    </w:p>
    <w:p>
      <w:pPr>
        <w:pStyle w:val="TOC3"/>
      </w:pPr>
      <w:r>
        <w:t>A.5.13 Estudo excluído: reconstrução corporal 3D a partir de fotografias ortogonais</w:t>
        <w:tab/>
      </w:r>
      <w:r>
        <w:t>111</w:t>
      </w:r>
    </w:p>
    <w:p>
      <w:pPr>
        <w:pStyle w:val="TOC2"/>
      </w:pPr>
      <w:r>
        <w:t>A.6 Estrutura do CSV e Schema</w:t>
        <w:tab/>
      </w:r>
      <w:r>
        <w:t>112</w:t>
      </w:r>
    </w:p>
    <w:p>
      <w:pPr>
        <w:pStyle w:val="TOC3"/>
      </w:pPr>
      <w:r>
        <w:t>A.6.1 Campos</w:t>
        <w:tab/>
      </w:r>
      <w:r>
        <w:t>112</w:t>
      </w:r>
    </w:p>
    <w:p>
      <w:pPr>
        <w:pStyle w:val="TOC3"/>
      </w:pPr>
      <w:r>
        <w:t>A.6.2 Formato longo (long format)</w:t>
        <w:tab/>
      </w:r>
      <w:r>
        <w:t>113</w:t>
      </w:r>
    </w:p>
    <w:p>
      <w:pPr>
        <w:pStyle w:val="TOC2"/>
      </w:pPr>
      <w:r>
        <w:t>A.7 Controlo de Qualidade dos Dados</w:t>
        <w:tab/>
      </w:r>
      <w:r>
        <w:t>113</w:t>
      </w:r>
    </w:p>
    <w:p>
      <w:pPr>
        <w:pStyle w:val="TOC3"/>
      </w:pPr>
      <w:r>
        <w:t>A.7.1 Marcação inline de limitações</w:t>
        <w:tab/>
      </w:r>
      <w:r>
        <w:t>113</w:t>
      </w:r>
    </w:p>
    <w:p>
      <w:pPr>
        <w:pStyle w:val="TOC3"/>
      </w:pPr>
      <w:r>
        <w:t>A.7.2 Verificação de unidades</w:t>
        <w:tab/>
      </w:r>
      <w:r>
        <w:t>113</w:t>
      </w:r>
    </w:p>
    <w:p>
      <w:pPr>
        <w:pStyle w:val="TOC3"/>
      </w:pPr>
      <w:r>
        <w:t>A.7.3 Rastreabilidade total</w:t>
        <w:tab/>
      </w:r>
      <w:r>
        <w:t>113</w:t>
      </w:r>
    </w:p>
    <w:p>
      <w:pPr>
        <w:pStyle w:val="TOC2"/>
      </w:pPr>
      <w:r>
        <w:t>A.8 Escrita do Código de Geração</w:t>
        <w:tab/>
      </w:r>
      <w:r>
        <w:t>113</w:t>
      </w:r>
    </w:p>
    <w:p>
      <w:pPr>
        <w:pStyle w:val="TOC2"/>
      </w:pPr>
      <w:r>
        <w:t>A.9 Resultado Final</w:t>
        <w:tab/>
      </w:r>
      <w:r>
        <w:t>114</w:t>
      </w:r>
    </w:p>
    <w:p>
      <w:pPr>
        <w:pStyle w:val="TOC2"/>
      </w:pPr>
      <w:r>
        <w:t>A.10 Cobertura Global da Base de Dados e Lacunas</w:t>
        <w:tab/>
      </w:r>
      <w:r>
        <w:t>114</w:t>
      </w:r>
    </w:p>
    <w:p>
      <w:pPr>
        <w:pStyle w:val="TOC3"/>
      </w:pPr>
      <w:r>
        <w:t>A.10.1 O que está coberto</w:t>
        <w:tab/>
      </w:r>
      <w:r>
        <w:t>114</w:t>
      </w:r>
    </w:p>
    <w:p>
      <w:pPr>
        <w:pStyle w:val="TOC4"/>
      </w:pPr>
      <w:r>
        <w:t>A.10.1.1 Cobertura geográfica</w:t>
        <w:tab/>
      </w:r>
      <w:r>
        <w:t>114</w:t>
      </w:r>
    </w:p>
    <w:p>
      <w:pPr>
        <w:pStyle w:val="TOC4"/>
      </w:pPr>
      <w:r>
        <w:t>A.10.1.2 Cobertura etária</w:t>
        <w:tab/>
      </w:r>
      <w:r>
        <w:t>115</w:t>
      </w:r>
    </w:p>
    <w:p>
      <w:pPr>
        <w:pStyle w:val="TOC4"/>
      </w:pPr>
      <w:r>
        <w:t>A.10.1.3 Cobertura estatística</w:t>
        <w:tab/>
      </w:r>
      <w:r>
        <w:t>115</w:t>
      </w:r>
    </w:p>
    <w:p>
      <w:pPr>
        <w:pStyle w:val="TOC3"/>
      </w:pPr>
      <w:r>
        <w:t>A.10.2 Onde a cobertura falha</w:t>
        <w:tab/>
      </w:r>
      <w:r>
        <w:t>116</w:t>
      </w:r>
    </w:p>
    <w:p>
      <w:pPr>
        <w:pStyle w:val="TOC4"/>
      </w:pPr>
      <w:r>
        <w:t>A.10.2.1 Lacunas geográficas</w:t>
        <w:tab/>
      </w:r>
      <w:r>
        <w:t>116</w:t>
      </w:r>
    </w:p>
    <w:p>
      <w:pPr>
        <w:pStyle w:val="TOC4"/>
      </w:pPr>
      <w:r>
        <w:t>A.10.2.2 Lacunas demográficas</w:t>
        <w:tab/>
      </w:r>
      <w:r>
        <w:t>116</w:t>
      </w:r>
    </w:p>
    <w:p>
      <w:pPr>
        <w:pStyle w:val="TOC4"/>
      </w:pPr>
      <w:r>
        <w:t>A.10.2.3 Limitações qualitativas dos dados existentes</w:t>
        <w:tab/>
      </w:r>
      <w:r>
        <w:t>116</w:t>
      </w:r>
    </w:p>
    <w:p>
      <w:pPr>
        <w:pStyle w:val="TOC3"/>
      </w:pPr>
      <w:r>
        <w:t>A.10.3 Frentes identificadas para expansão futura</w:t>
        <w:tab/>
      </w:r>
      <w:r>
        <w:t>117</w:t>
      </w:r>
    </w:p>
    <w:p>
      <w:pPr>
        <w:pStyle w:val="TOC4"/>
      </w:pPr>
      <w:r>
        <w:t>A.10.3.1 Prioridade alta</w:t>
        <w:tab/>
      </w:r>
      <w:r>
        <w:t>117</w:t>
      </w:r>
    </w:p>
    <w:p>
      <w:pPr>
        <w:pStyle w:val="TOC4"/>
      </w:pPr>
      <w:r>
        <w:t>A.10.3.2 Prioridade média</w:t>
        <w:tab/>
      </w:r>
      <w:r>
        <w:t>117</w:t>
      </w:r>
    </w:p>
    <w:p>
      <w:pPr>
        <w:pStyle w:val="TOC4"/>
      </w:pPr>
      <w:r>
        <w:t>A.10.3.3 Pertinência direta para o tema da tese</w:t>
        <w:tab/>
      </w:r>
      <w:r>
        <w:t>117</w:t>
      </w:r>
    </w:p>
    <w:p>
      <w:pPr>
        <w:pStyle w:val="TextoNormal-IPCA"/>
        <w:rPr>
          <w:rFonts w:ascii="Arial" w:hAnsi="Arial"/>
          <w:caps/>
          <w:sz w:val="18"/>
        </w:rPr>
        <w:sectPr>
          <w:footerReference w:type="even" r:id="rId35"/>
          <w:footerReference w:type="default" r:id="rId36"/>
          <w:footerReference w:type="first" r:id="rId37"/>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rFonts w:ascii="Arial" w:hAnsi="Arial"/>
          <w:caps/>
          <w:sz w:val="18"/>
        </w:rPr>
      </w:r>
    </w:p>
    <w:p>
      <w:pPr>
        <w:pStyle w:val="TextoNormal-IPCA"/>
        <w:ind w:hanging="0"/>
        <w:rPr/>
        <w:sectPr>
          <w:footerReference w:type="even" r:id="rId38"/>
          <w:footerReference w:type="default" r:id="rId39"/>
          <w:footerReference w:type="first" r:id="rId40"/>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pPr>
      <w:r>
        <w:t>Capítulo 1 — Introdução</w:t>
      </w:r>
    </w:p>
    <w:p>
      <w:pPr>
        <w:pStyle w:val="Heading2"/>
        <w:numPr>
          <w:ilvl w:val="1"/>
          <w:numId w:val="0"/>
        </w:numPr>
      </w:pPr>
      <w:r>
        <w:t>1.1 Enquadramento geral, contexto e motivação</w:t>
      </w:r>
    </w:p>
    <w:p>
      <w:pPr>
        <w:pStyle w:val="TextoNormal-IPCA"/>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TextoNormal-IPCA"/>
      </w:pPr>
      <w:r>
        <w:t xml:space="preserve">Nos últimos anos, a impressão 3D e as plataformas </w:t>
      </w:r>
      <w:r>
        <w:rPr>
          <w:i/>
        </w:rPr>
        <w:t>open source</w:t>
      </w:r>
      <w: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TextoNormal-IPCA"/>
      </w:pPr>
      <w: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jc w:val="center"/>
      </w:pPr>
      <w:r>
        <w:drawing>
          <wp:inline distT="0" distB="0" distL="0" distR="0">
            <wp:extent cx="5579745" cy="3831424"/>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 1" descr="Image 1"/>
                    <pic:cNvPicPr>
                      <a:picLocks noChangeAspect="1" noChangeArrowheads="1"/>
                    </pic:cNvPicPr>
                  </pic:nvPicPr>
                  <pic:blipFill>
                    <a:blip r:embed="rId92"/>
                    <a:stretch>
                      <a:fillRect/>
                    </a:stretch>
                  </pic:blipFill>
                  <pic:spPr bwMode="auto">
                    <a:xfrm>
                      <a:off x="0" y="0"/>
                      <a:ext cx="5579745" cy="3831424"/>
                    </a:xfrm>
                    <a:prstGeom prst="rect">
                      <a:avLst/>
                    </a:prstGeom>
                    <a:noFill/>
                  </pic:spPr>
                </pic:pic>
              </a:graphicData>
            </a:graphic>
          </wp:inline>
        </w:drawing>
      </w:r>
    </w:p>
    <w:p>
      <w:pPr>
        <w:pStyle w:val="Caption"/>
      </w:pPr>
      <w:r>
        <w:t>Figura 1.1 — Exemplos de próteses e dispositivos associados à fabricação aditiva em contexto protésico.</w:t>
      </w:r>
    </w:p>
    <w:p>
      <w:pPr>
        <w:pStyle w:val="Nota-IPCA"/>
      </w:pPr>
      <w: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2"/>
        <w:numPr>
          <w:ilvl w:val="1"/>
          <w:numId w:val="0"/>
        </w:numPr>
      </w:pPr>
      <w:r>
        <w:t>1.2 Problema de investigação</w:t>
      </w:r>
    </w:p>
    <w:p>
      <w:pPr>
        <w:pStyle w:val="TextoNormal-IPCA"/>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TextoNormal-IPCA"/>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2"/>
        <w:numPr>
          <w:ilvl w:val="1"/>
          <w:numId w:val="0"/>
        </w:numPr>
      </w:pPr>
      <w:r>
        <w:t>1.3 Objetivos da investigação</w:t>
      </w:r>
    </w:p>
    <w:p>
      <w:pPr>
        <w:pStyle w:val="Heading3"/>
        <w:numPr>
          <w:ilvl w:val="2"/>
          <w:numId w:val="0"/>
        </w:numPr>
      </w:pPr>
      <w:r>
        <w:t>1.3.1 Objetivo geral</w:t>
      </w:r>
    </w:p>
    <w:p>
      <w:pPr>
        <w:pStyle w:val="TextoNormal-IPCA"/>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numPr>
          <w:ilvl w:val="2"/>
          <w:numId w:val="0"/>
        </w:numPr>
      </w:pPr>
      <w:r>
        <w:t>1.3.2 Objetivos específicos</w:t>
      </w:r>
    </w:p>
    <w:p>
      <w:pPr>
        <w:pStyle w:val="TextoNormal-IPCA"/>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TextoNormal-IPCA"/>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2"/>
        <w:numPr>
          <w:ilvl w:val="1"/>
          <w:numId w:val="0"/>
        </w:numPr>
      </w:pPr>
      <w:r>
        <w:t>1.4 Abordagem metodológica geral</w:t>
      </w:r>
    </w:p>
    <w:p>
      <w:pPr>
        <w:pStyle w:val="TextoNormal-IPCA"/>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TextoNormal-IPCA"/>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2"/>
        <w:numPr>
          <w:ilvl w:val="1"/>
          <w:numId w:val="0"/>
        </w:numPr>
      </w:pPr>
      <w:r>
        <w:t>1.5 Estrutura da dissertação</w:t>
      </w:r>
    </w:p>
    <w:p>
      <w:pPr>
        <w:pStyle w:val="TextoNormal-IPCA"/>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1"/>
        <w:pageBreakBefore/>
        <w:numPr>
          <w:ilvl w:val="0"/>
          <w:numId w:val="0"/>
        </w:numPr>
      </w:pPr>
      <w:r>
        <w:t>Capítulo 2 — Enquadramento Teórico e Estado da Arte</w:t>
      </w:r>
    </w:p>
    <w:p>
      <w:pPr>
        <w:pStyle w:val="Heading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TextoNormal-IPCA"/>
      </w:pPr>
      <w: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numPr>
          <w:ilvl w:val="2"/>
          <w:numId w:val="0"/>
        </w:numPr>
      </w:pPr>
      <w:r>
        <w:t>Tipologias de próteses de membro superior</w:t>
      </w:r>
    </w:p>
    <w:p>
      <w:pPr>
        <w:pStyle w:val="TextoNormal-IPCA"/>
      </w:pPr>
      <w: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rPr>
        <w:t xml:space="preserve"> </w:t>
      </w:r>
      <w:r>
        <w:t xml:space="preserve"> (Brack &amp; Amalu, 2021).</w:t>
      </w:r>
    </w:p>
    <w:p>
      <w:pPr>
        <w:pStyle w:val="TextoNormal-IPCA"/>
      </w:pPr>
      <w:r>
        <w:t>.</w:t>
      </w:r>
    </w:p>
    <w:p>
      <w:pPr>
        <w:pStyle w:val="TextoNormal-IPCA"/>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2"/>
          <w:numId w:val="0"/>
        </w:numPr>
      </w:pPr>
      <w:r>
        <w:t>Próteses mecânicas acionadas pelo corpo (body-powered)</w:t>
      </w:r>
    </w:p>
    <w:p>
      <w:pPr>
        <w:pStyle w:val="TextoNormal-IPCA"/>
      </w:pPr>
      <w: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w:t>
      </w:r>
    </w:p>
    <w:p>
      <w:pPr>
        <w:pStyle w:val="TextoNormal-IPCA"/>
      </w:pPr>
      <w:r>
        <w:t>Um atributo particularmente relevante é o feedback proprioceptivo</w:t>
      </w:r>
      <w:r>
        <w:rPr>
          <w:rStyle w:val="FootnoteReference"/>
        </w:rPr>
        <w:footnoteReference w:id="2"/>
      </w:r>
      <w: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2"/>
          <w:numId w:val="0"/>
        </w:numPr>
      </w:pPr>
      <w:r>
        <w:t>Próteses mioelétricas</w:t>
      </w:r>
    </w:p>
    <w:p>
      <w:pPr>
        <w:pStyle w:val="TextoNormal-IPCA"/>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Engdahl et al., 2024).</w:t>
      </w:r>
    </w:p>
    <w:p>
      <w:pPr>
        <w:pStyle w:val="Heading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 2" descr="Image 2"/>
                    <pic:cNvPicPr>
                      <a:picLocks noChangeAspect="1" noChangeArrowheads="1"/>
                    </pic:cNvPicPr>
                  </pic:nvPicPr>
                  <pic:blipFill>
                    <a:blip r:embed="rId93"/>
                    <a:stretch>
                      <a:fillRect/>
                    </a:stretch>
                  </pic:blipFill>
                  <pic:spPr bwMode="auto">
                    <a:xfrm>
                      <a:off x="0" y="0"/>
                      <a:ext cx="5579745" cy="5337956"/>
                    </a:xfrm>
                    <a:prstGeom prst="rect">
                      <a:avLst/>
                    </a:prstGeom>
                    <a:noFill/>
                  </pic:spPr>
                </pic:pic>
              </a:graphicData>
            </a:graphic>
          </wp:inline>
        </w:drawing>
      </w:r>
    </w:p>
    <w:p>
      <w:pPr>
        <w:pStyle w:val="Caption"/>
      </w:pPr>
      <w:r>
        <w:t>Figura 2.1 — Exemplos de próteses de membro superior impressas em 3D, ilustrando diversidade tipológica e construtiva.</w:t>
      </w:r>
    </w:p>
    <w:p>
      <w:pPr>
        <w:pStyle w:val="Nota-IPCA"/>
      </w:pPr>
      <w:r>
        <w:t>Fonte original: ten Kate, J., Smit, G., &amp; Breedveld, P. (2017). 3D-printed upper limb prostheses: A review. Disability and Rehabilitation: Assistive Technology, 12(3), 300-314. https://doi.org/10.1080/17483107.2016.1253117</w:t>
      </w:r>
    </w:p>
    <w:p>
      <w:pPr>
        <w:pStyle w:val="Heading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Soyer et al., 2016).</w:t>
      </w:r>
    </w:p>
    <w:p>
      <w:pPr>
        <w:pStyle w:val="TextoNormal-IPCA"/>
      </w:pPr>
      <w: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TextoNormal-IPCA"/>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 3" descr="Image 3"/>
                    <pic:cNvPicPr>
                      <a:picLocks noChangeAspect="1" noChangeArrowheads="1"/>
                    </pic:cNvPicPr>
                  </pic:nvPicPr>
                  <pic:blipFill>
                    <a:blip r:embed="rId94"/>
                    <a:stretch>
                      <a:fillRect/>
                    </a:stretch>
                  </pic:blipFill>
                  <pic:spPr bwMode="auto">
                    <a:xfrm>
                      <a:off x="0" y="0"/>
                      <a:ext cx="5579745" cy="3989517"/>
                    </a:xfrm>
                    <a:prstGeom prst="rect">
                      <a:avLst/>
                    </a:prstGeom>
                    <a:noFill/>
                  </pic:spPr>
                </pic:pic>
              </a:graphicData>
            </a:graphic>
          </wp:inline>
        </w:drawing>
      </w:r>
    </w:p>
    <w:p>
      <w:pPr>
        <w:pStyle w:val="Caption"/>
      </w:pPr>
      <w:r>
        <w:t>Figura 2.2 — Utilização, rejeição primária e rejeição secundária de próteses do membro superior adquiridas.</w:t>
      </w:r>
    </w:p>
    <w:p>
      <w:pPr>
        <w:pStyle w:val="Nota-IPCA"/>
      </w:pPr>
      <w:r>
        <w:t xml:space="preserve">Fonte original: Biddiss, E., Beaton, D., &amp; Chau, T. (2007). Consumer design priorities for upper limb prosthetics. Disability and Rehabilitation: Assistive Technology, 2(6), 346-357. </w:t>
      </w:r>
      <w:hyperlink r:id="rId95">
        <w:r>
          <w:rPr>
            <w:rStyle w:val="Hyperlink"/>
          </w:rPr>
          <w:t>https://doi.org/10.1080/17483100701714733</w:t>
        </w:r>
      </w:hyperlink>
    </w:p>
    <w:p>
      <w:pPr>
        <w:pStyle w:val="Heading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 xml:space="preserve"> </w:t>
      </w:r>
      <w: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2"/>
          <w:numId w:val="0"/>
        </w:numPr>
      </w:pPr>
      <w:r>
        <w:t>Design industrial em dispositivos médicos</w:t>
      </w:r>
    </w:p>
    <w:p>
      <w:pPr>
        <w:pStyle w:val="TextoNormal-IPCA"/>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pStyle w:val="TextoNormal-IPCA"/>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Caption"/>
      </w:pPr>
      <w:r>
        <w:t>Tabela 2.1 — Papéis dos profissionais de saúde no desenvolvimento de dispositivos médicos</w:t>
      </w:r>
    </w:p>
    <w:tbl>
      <w:tblPr>
        <w:tblStyle w:val="Tabelacomgrelha"/>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rPr>
                <w:b/>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Resultados clínicos, ensaios e usabilidade</w:t>
            </w:r>
          </w:p>
        </w:tc>
      </w:tr>
    </w:tbl>
    <w:p>
      <w:pPr>
        <w:pStyle w:val="Nota-IPCA"/>
      </w:pPr>
      <w:r>
        <w:t xml:space="preserve">Fonte adaptada. Referência original: Kaygan, H., &amp; Kaygan, P. (2025). Clients and carers: Healthcare professionals’ roles in medical device development processes in SMEs. The Design Journal, 28(2), 213-231. </w:t>
      </w:r>
      <w:hyperlink r:id="rId96">
        <w:r>
          <w:rPr>
            <w:rStyle w:val="Hyperlink"/>
          </w:rPr>
          <w:t>https://doi.org/10.1080/14606925.2024.2420152</w:t>
        </w:r>
      </w:hyperlink>
    </w:p>
    <w:p>
      <w:pPr>
        <w:pStyle w:val="Heading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pPr>
      <w:r>
        <w:t>Esta perspetiva aproxima-se dos modelos sociais e relacionais da deficiência, enfatizando que a exclusão pode ser produzida por decisões de projeto que não contemplam a diversidade de utilizadores (Clarkson &amp; Coleman, 2010).</w:t>
      </w:r>
    </w:p>
    <w:p>
      <w:pPr>
        <w:pStyle w:val="TextoNormal-IPCA"/>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Heading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t>efine requisitos específicos para a aplicação da engenharia de usabilidade a dispositivos médicos, reforçando a integração formal de avaliações formativas e sumativas no processo regulado de desenvolvimento.</w:t>
      </w:r>
      <w:r>
        <w:t xml:space="preserve"> (Fisher &amp; Johansen, 2020; Millet et al., 2018).</w:t>
      </w:r>
    </w:p>
    <w:p>
      <w:pPr>
        <w:pStyle w:val="TextoNormal-IPCA"/>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2"/>
          <w:numId w:val="0"/>
        </w:numPr>
      </w:pPr>
      <w:r>
        <w:t>Design Participativo e Co-design</w:t>
      </w:r>
    </w:p>
    <w:p>
      <w:pPr>
        <w:pStyle w:val="TextoNormal-IPCA"/>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2"/>
          <w:numId w:val="0"/>
        </w:numPr>
      </w:pPr>
      <w:r>
        <w:t>Metodologias, instrumentos e avaliação</w:t>
      </w:r>
    </w:p>
    <w:p>
      <w:pPr>
        <w:pStyle w:val="TextoNormal-IPCA"/>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w:t>
      </w:r>
      <w:r>
        <w:rPr>
          <w:rStyle w:val="FootnoteReference"/>
        </w:rPr>
        <w:footnoteReference w:id="3"/>
      </w:r>
      <w: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w:t>
      </w:r>
      <w:r>
        <w:rPr>
          <w:rStyle w:val="FootnoteReference"/>
        </w:rPr>
        <w:footnoteReference w:id="4"/>
      </w:r>
      <w: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w:t>
      </w:r>
    </w:p>
    <w:p>
      <w:pPr>
        <w:pStyle w:val="Heading3"/>
        <w:numPr>
          <w:ilvl w:val="2"/>
          <w:numId w:val="0"/>
        </w:numPr>
      </w:pPr>
      <w:r>
        <w:t>Desafios e lacunas</w:t>
      </w:r>
    </w:p>
    <w:p>
      <w:pPr>
        <w:pStyle w:val="TextoNormal-IPCA"/>
      </w:pPr>
      <w: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rPr>
        <w:t xml:space="preserve"> Oldfrey</w:t>
      </w:r>
      <w:r>
        <w:rPr>
          <w:b w:val="false"/>
          <w:i w:val="false"/>
        </w:rPr>
        <w:t xml:space="preserve"> et al 2024; </w:t>
      </w:r>
      <w:r>
        <w:rPr>
          <w:b w:val="false"/>
          <w:i w:val="false"/>
        </w:rPr>
        <w:t xml:space="preserve">  Mc Guinness et al</w:t>
      </w:r>
      <w:r>
        <w:rPr>
          <w:b w:val="false"/>
          <w:i w:val="false"/>
        </w:rPr>
        <w:t>, 2025</w:t>
      </w:r>
      <w:r>
        <w:t>).</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1"/>
          <w:numId w:val="0"/>
        </w:numPr>
      </w:pPr>
      <w:r>
        <w:t>2.3 Fabricação Aditiva e parametrização no design de produto</w:t>
      </w:r>
    </w:p>
    <w:p>
      <w:pPr>
        <w:pStyle w:val="TextoNormal-IPCA"/>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jc w:val="center"/>
      </w:pPr>
      <w:r>
        <w:drawing>
          <wp:inline distT="0" distB="0" distL="0" distR="0">
            <wp:extent cx="5579745" cy="3831424"/>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Image 4" descr="Image 4"/>
                    <pic:cNvPicPr>
                      <a:picLocks noChangeAspect="1" noChangeArrowheads="1"/>
                    </pic:cNvPicPr>
                  </pic:nvPicPr>
                  <pic:blipFill>
                    <a:blip r:embed="rId97"/>
                    <a:stretch>
                      <a:fillRect/>
                    </a:stretch>
                  </pic:blipFill>
                  <pic:spPr bwMode="auto">
                    <a:xfrm>
                      <a:off x="0" y="0"/>
                      <a:ext cx="5579745" cy="3831424"/>
                    </a:xfrm>
                    <a:prstGeom prst="rect">
                      <a:avLst/>
                    </a:prstGeom>
                    <a:noFill/>
                  </pic:spPr>
                </pic:pic>
              </a:graphicData>
            </a:graphic>
          </wp:inline>
        </w:drawing>
      </w:r>
    </w:p>
    <w:p>
      <w:pPr>
        <w:pStyle w:val="Caption"/>
      </w:pPr>
      <w:r>
        <w:t>Figura 2.3 — Fluxo digital entre aquisição, CAD/CAM e fabricação aditiva em próteses e ortóteses.</w:t>
      </w:r>
    </w:p>
    <w:p>
      <w:pPr>
        <w:pStyle w:val="Nota-IPCA"/>
      </w:pPr>
      <w: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98">
        <w:r>
          <w:rPr>
            <w:rStyle w:val="Hyperlink"/>
          </w:rPr>
          <w:t>https://www.mdpi.com/2673-1592/7/2/26/pdf?version=1740996517</w:t>
        </w:r>
      </w:hyperlink>
    </w:p>
    <w:p>
      <w:pPr>
        <w:pStyle w:val="TextoNormal-IPCA"/>
      </w:pPr>
      <w:r>
        <w:t>Neste enquadramento, a personalização deixa de ser entendida como exceção e passa a constituir uma estratégia estruturada, operacionalizada por meio de “seed designs”</w:t>
      </w:r>
      <w:r>
        <w:rPr>
          <w:rStyle w:val="FootnoteReference"/>
        </w:rPr>
        <w:footnoteReference w:id="5"/>
      </w:r>
      <w: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2"/>
          <w:numId w:val="0"/>
        </w:numPr>
      </w:pPr>
      <w:r>
        <w:t>Integração com Fabricação Aditiva e Design for Additive Manufacturing</w:t>
      </w:r>
    </w:p>
    <w:p>
      <w:pPr>
        <w:pStyle w:val="TextoNormal-IPCA"/>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Estudos aplicados demonstram que, ao determinar experimentalmente constrangimentos do processo e incorporá-los ao modelo paramétrico, é possível gerar milhares de variantes únicas com elevada taxa de sucesso funcional, minimizando as reimpressões (Wiberg et al., 2019). [^9]</w:t>
      </w:r>
    </w:p>
    <w:p>
      <w:pPr>
        <w:pStyle w:val="TextoNormal-IPCA"/>
      </w:pPr>
      <w:r>
        <w:t>Esta evidência reforça a necessidade de uma ligação sistemática entre as fases de design e manufatura, contrariando abordagens que tratam a fabricação como etapa posterior e corretiva (Chtioui et al., 2023; Wiberg et al., 2019).</w:t>
      </w:r>
    </w:p>
    <w:p>
      <w:pPr>
        <w:pStyle w:val="TextoNormal-IPCA"/>
      </w:pPr>
      <w: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Wiberg et al., 2019).[^10]</w:t>
      </w:r>
    </w:p>
    <w:p>
      <w:pPr>
        <w:pStyle w:val="Heading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jc w:val="center"/>
      </w:pPr>
      <w:r>
        <w:drawing>
          <wp:inline distT="0" distB="0" distL="0" distR="0">
            <wp:extent cx="5579745" cy="294796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Image 5" descr="Image 5"/>
                    <pic:cNvPicPr>
                      <a:picLocks noChangeAspect="1" noChangeArrowheads="1"/>
                    </pic:cNvPicPr>
                  </pic:nvPicPr>
                  <pic:blipFill>
                    <a:blip r:embed="rId99"/>
                    <a:stretch>
                      <a:fillRect/>
                    </a:stretch>
                  </pic:blipFill>
                  <pic:spPr bwMode="auto">
                    <a:xfrm>
                      <a:off x="0" y="0"/>
                      <a:ext cx="5579745" cy="2947965"/>
                    </a:xfrm>
                    <a:prstGeom prst="rect">
                      <a:avLst/>
                    </a:prstGeom>
                    <a:noFill/>
                  </pic:spPr>
                </pic:pic>
              </a:graphicData>
            </a:graphic>
          </wp:inline>
        </w:drawing>
      </w:r>
    </w:p>
    <w:p>
      <w:pPr>
        <w:pStyle w:val="Caption"/>
      </w:pPr>
      <w:r>
        <w:t>Figura 2.4 — Exemplo de configurador digital para personalização de uma prótese impressa em 3D.</w:t>
      </w:r>
    </w:p>
    <w:p>
      <w:pPr>
        <w:pStyle w:val="Nota-IPCA"/>
      </w:pPr>
      <w: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w:t>
      </w:r>
      <w:r>
        <w:rPr>
          <w:i/>
          <w:iCs/>
        </w:rPr>
        <w:t>file-to-factory</w:t>
      </w:r>
      <w:r>
        <w:t>”</w:t>
      </w:r>
      <w:r>
        <w:rPr>
          <w:rStyle w:val="FootnoteReference"/>
        </w:rPr>
        <w:footnoteReference w:id="6"/>
      </w:r>
      <w:r>
        <w:t xml:space="preserve"> viabiliza fluxos digitais em que o ficheiro parametrizado é convertido diretamente em instruções de fabrico, seja localmente (impressão 3D descentralizada) ou através de uma encomenda online[^11]. </w:t>
      </w:r>
      <w:r>
        <w:t>A literatura associa esta lógica à democratização do design e à expansão de estratégias de customização em massa (</w:t>
      </w:r>
      <w:r>
        <w:rPr>
          <w:rStyle w:val="Emphasis"/>
        </w:rPr>
        <w:t>mass customization</w:t>
      </w:r>
      <w:r>
        <w:t>) e personalização em massa (</w:t>
      </w:r>
      <w:r>
        <w:rPr>
          <w:rStyle w:val="Emphasis"/>
        </w:rPr>
        <w:t>mass personalization</w:t>
      </w:r>
      <w:r>
        <w:t>), reduzindo custos marginais ao dispensar moldes e dispositivos específicos de fabrico.[^12]</w:t>
      </w:r>
      <w:r>
        <w:t xml:space="preserve">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2"/>
          <w:numId w:val="0"/>
        </w:numPr>
      </w:pPr>
      <w:r>
        <w:t>Otimização, Geração e Avaliação de Desempenho</w:t>
      </w:r>
    </w:p>
    <w:p>
      <w:pPr>
        <w:pStyle w:val="TextoNormal-IPCA"/>
      </w:pPr>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rPr>
        <w:footnoteReference w:id="7"/>
      </w:r>
      <w:r>
        <w:t xml:space="preserve"> para selecionar soluções alinhadas com objetivos específicos (Lei et al., 2016; Yao et al., 2016).</w:t>
      </w:r>
    </w:p>
    <w:p>
      <w:pPr>
        <w:pStyle w:val="TextoNormal-IPCA"/>
      </w:pPr>
      <w: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Heading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conceção, a simulação e a fabricação digital em fluxo contínuo (Kandikjan et al., 2022).</w:t>
      </w:r>
    </w:p>
    <w:p>
      <w:pPr>
        <w:pStyle w:val="Heading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Wendo et al., 2022).</w:t>
      </w:r>
    </w:p>
    <w:p>
      <w:pPr>
        <w:pStyle w:val="TextoNormal-IPCA"/>
      </w:pPr>
      <w: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w:t>
      </w:r>
    </w:p>
    <w:p>
      <w:pPr>
        <w:pStyle w:val="TextoNormal-IPCA"/>
      </w:pPr>
      <w: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2"/>
          <w:numId w:val="0"/>
        </w:numPr>
      </w:pPr>
      <w:r>
        <w:t>Da dimensão linear à “forma” como dado de projeto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 name="Image 6" descr="Image 6"/>
                    <pic:cNvPicPr>
                      <a:picLocks noChangeAspect="1" noChangeArrowheads="1"/>
                    </pic:cNvPicPr>
                  </pic:nvPicPr>
                  <pic:blipFill>
                    <a:blip r:embed="rId100"/>
                    <a:stretch>
                      <a:fillRect/>
                    </a:stretch>
                  </pic:blipFill>
                  <pic:spPr bwMode="auto">
                    <a:xfrm>
                      <a:off x="0" y="0"/>
                      <a:ext cx="5579745" cy="4119711"/>
                    </a:xfrm>
                    <a:prstGeom prst="rect">
                      <a:avLst/>
                    </a:prstGeom>
                    <a:noFill/>
                  </pic:spPr>
                </pic:pic>
              </a:graphicData>
            </a:graphic>
          </wp:inline>
        </w:drawing>
      </w:r>
    </w:p>
    <w:p>
      <w:pPr>
        <w:pStyle w:val="Caption"/>
      </w:pPr>
      <w:r>
        <w:t>Figura 2.5 — Marcos anatómicos e medidas de referência da mão para fins de personalização.</w:t>
      </w:r>
    </w:p>
    <w:p>
      <w:pPr>
        <w:pStyle w:val="Nota-IPCA"/>
      </w:pPr>
      <w:r>
        <w:t>Fonte original: Yu, A., Yick, K. L., Ng, S. P., &amp; Yip, J. (2013). 2D and 3D anatomical analyses of hand dimensions for custom-made gloves. Applied Ergonomics, 44, 381-392.</w:t>
      </w:r>
    </w:p>
    <w:p>
      <w:pPr>
        <w:pStyle w:val="Heading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 xml:space="preserve">1. </w:t>
      </w: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t xml:space="preserve"> (Ibrahim et al., 2024).</w:t>
      </w:r>
    </w:p>
    <w:p>
      <w:pPr>
        <w:pStyle w:val="TextoNormal-IPCA"/>
      </w:pPr>
      <w:r>
        <w:t xml:space="preserve">2. </w:t>
      </w:r>
      <w: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t xml:space="preserve"> (Squibb et al., 2024).</w:t>
      </w:r>
    </w:p>
    <w:p>
      <w:pPr>
        <w:pStyle w:val="TextoNormal-IPCA"/>
      </w:pPr>
      <w: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w:t>
      </w:r>
    </w:p>
    <w:p>
      <w:pPr>
        <w:pStyle w:val="TextoNormal-IPCA"/>
      </w:pPr>
      <w:r>
        <w:t xml:space="preserve">4. </w:t>
      </w:r>
      <w: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t xml:space="preserve">(MRI: </w:t>
      </w:r>
      <w:r>
        <w:rPr>
          <w:rStyle w:val="Emphasis"/>
        </w:rPr>
        <w:t>Magnetic Resonance Imaging</w:t>
      </w:r>
      <w: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t>. Contudo, estas técnicas implicam maior custo e menor acessibilidade e, no caso do CT, exigem ainda considerar a exposição à radiação e a dependência de contexto hospitalar.</w:t>
      </w:r>
    </w:p>
    <w:p>
      <w:pPr>
        <w:pStyle w:val="TextoNormal-IPCA"/>
      </w:pPr>
      <w: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t>zonas de aquecimento localizado (</w:t>
      </w:r>
      <w:r>
        <w:rPr>
          <w:i/>
          <w:iCs/>
        </w:rPr>
        <w:t>Thermal hot spots</w:t>
      </w:r>
      <w:r>
        <w:t>)</w:t>
      </w:r>
      <w: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Young et al., 2023).</w:t>
      </w:r>
    </w:p>
    <w:p>
      <w:pPr>
        <w:pStyle w:val="Heading3"/>
        <w:numPr>
          <w:ilvl w:val="2"/>
          <w:numId w:val="0"/>
        </w:numPr>
      </w:pPr>
      <w:r>
        <w:t>Interpretação e aplicação de dados antropométricos no projeto</w:t>
      </w:r>
    </w:p>
    <w:p>
      <w:pPr>
        <w:pStyle w:val="TextoNormal-IPCA"/>
      </w:pPr>
      <w:r>
        <w:t>A passagem de dados antropométricos para critérios de projeto ocorre por diferentes vias analíticas:</w:t>
      </w:r>
    </w:p>
    <w:p>
      <w:pPr>
        <w:pStyle w:val="TextoNormal-IPCA"/>
      </w:pPr>
      <w:r>
        <w:t xml:space="preserve">– </w:t>
      </w:r>
      <w: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xml:space="preserve"> – </w:t>
      </w:r>
      <w:r>
        <w:t xml:space="preserve">Métodos multivariados e aprendizagem estatística: usados quando se trabalha com dados de alta dimensionalidade (malhas, secções, nuvens de pontos), permitindo extrair padrões de retificação ou modos de variação. </w:t>
      </w:r>
    </w:p>
    <w:p>
      <w:pPr>
        <w:pStyle w:val="TextoNormal-IPCA"/>
      </w:pPr>
      <w:r>
        <w:t xml:space="preserve">– </w:t>
      </w:r>
      <w: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t>PCA)</w:t>
      </w:r>
      <w:r>
        <w:rPr>
          <w:rStyle w:val="FootnoteReference"/>
        </w:rPr>
        <w:footnoteReference w:id="9"/>
      </w:r>
      <w:r>
        <w:t xml:space="preserve">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Young et al., 2023).</w:t>
      </w:r>
    </w:p>
    <w:p>
      <w:pPr>
        <w:pStyle w:val="Heading3"/>
        <w:numPr>
          <w:ilvl w:val="2"/>
          <w:numId w:val="0"/>
        </w:numPr>
      </w:pPr>
      <w:r>
        <w:t>Evidência por tipo de dispositivo</w:t>
      </w:r>
    </w:p>
    <w:p>
      <w:pPr>
        <w:pStyle w:val="TextoNormal-IPCA"/>
      </w:pPr>
      <w:r>
        <w:t>Embora os princípios sejam transversais, a literatura evidencia diferenças por tipo de dispositivo:</w:t>
      </w:r>
    </w:p>
    <w:p>
      <w:pPr>
        <w:pStyle w:val="TextoNormal-IPCA"/>
      </w:pPr>
      <w:r>
        <w:t xml:space="preserve">– </w:t>
      </w:r>
      <w: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t xml:space="preserve">(Kannenberg et al., 2024; Silva et al., 2024). </w:t>
      </w:r>
    </w:p>
    <w:p>
      <w:pPr>
        <w:pStyle w:val="TextoNormal-IPCA"/>
      </w:pPr>
      <w:r>
        <w:t xml:space="preserve">– </w:t>
      </w:r>
      <w: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t xml:space="preserve">(Chainando et al., 2025; Çıklaçandır et al., 2022). </w:t>
      </w:r>
    </w:p>
    <w:p>
      <w:pPr>
        <w:pStyle w:val="TextoNormal-IPCA"/>
      </w:pPr>
      <w:r>
        <w:t xml:space="preserve">– </w:t>
      </w:r>
      <w: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2"/>
        <w:numPr>
          <w:ilvl w:val="1"/>
          <w:numId w:val="0"/>
        </w:numPr>
      </w:pPr>
      <w:r>
        <w:t>2.6 Inteligência Artificial no processo de design</w:t>
      </w:r>
    </w:p>
    <w:p>
      <w:pPr>
        <w:pStyle w:val="TextoNormal-IPCA"/>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jc w:val="center"/>
      </w:pPr>
      <w:r>
        <w:drawing>
          <wp:inline distT="0" distB="0" distL="0" distR="0">
            <wp:extent cx="5579745" cy="2575982"/>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 name="Image 7" descr="Image 7"/>
                    <pic:cNvPicPr>
                      <a:picLocks noChangeAspect="1" noChangeArrowheads="1"/>
                    </pic:cNvPicPr>
                  </pic:nvPicPr>
                  <pic:blipFill>
                    <a:blip r:embed="rId101"/>
                    <a:stretch>
                      <a:fillRect/>
                    </a:stretch>
                  </pic:blipFill>
                  <pic:spPr bwMode="auto">
                    <a:xfrm>
                      <a:off x="0" y="0"/>
                      <a:ext cx="5579745" cy="2575982"/>
                    </a:xfrm>
                    <a:prstGeom prst="rect">
                      <a:avLst/>
                    </a:prstGeom>
                    <a:noFill/>
                  </pic:spPr>
                </pic:pic>
              </a:graphicData>
            </a:graphic>
          </wp:inline>
        </w:drawing>
      </w:r>
    </w:p>
    <w:p>
      <w:pPr>
        <w:pStyle w:val="Caption"/>
      </w:pPr>
      <w:r>
        <w:t>Figura 2.6 — Enquadramento de um fluxo de CAD assistido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10"/>
      </w:r>
      <w: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Krahe et al., 2020; Li et al., 2021).</w:t>
      </w:r>
    </w:p>
    <w:p>
      <w:pPr>
        <w:pStyle w:val="Heading3"/>
        <w:numPr>
          <w:ilvl w:val="2"/>
          <w:numId w:val="0"/>
        </w:numPr>
      </w:pPr>
      <w:r>
        <w:t>Como funciona: dados, treino, inferência e geração</w:t>
      </w:r>
    </w:p>
    <w:p>
      <w:pPr>
        <w:pStyle w:val="TextoNormal-IPCA"/>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w:t>
      </w:r>
      <w:r>
        <w:rPr>
          <w:rStyle w:val="FootnoteReference"/>
        </w:rPr>
        <w:footnoteReference w:id="11"/>
      </w:r>
      <w: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numPr>
          <w:ilvl w:val="2"/>
          <w:numId w:val="0"/>
        </w:numPr>
      </w:pPr>
      <w:r>
        <w:t>Formas de IA mais relevantes para o design</w:t>
      </w:r>
    </w:p>
    <w:p>
      <w:pPr>
        <w:pStyle w:val="TextoNormal-IPCA"/>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pStyle w:val="TextoNormal-IPCA"/>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numPr>
          <w:ilvl w:val="2"/>
          <w:numId w:val="0"/>
        </w:numPr>
      </w:pPr>
      <w:r>
        <w:t>IA ao longo do processo de design</w:t>
      </w:r>
    </w:p>
    <w:p>
      <w:pPr>
        <w:pStyle w:val="TextoNormal-IPCA"/>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Hippel &amp; Katz, 2002; Howard et al., 2022).</w:t>
      </w:r>
    </w:p>
    <w:p>
      <w:pPr>
        <w:pStyle w:val="TextoNormal-IPCA"/>
      </w:pPr>
      <w: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Kerr et al., 2024; Zhu &amp; Zhong, 2022).</w:t>
      </w:r>
    </w:p>
    <w:p>
      <w:pPr>
        <w:pStyle w:val="Heading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Hippel &amp; Katz, 2002).</w:t>
      </w:r>
    </w:p>
    <w:p>
      <w:pPr>
        <w:pStyle w:val="TextoNormal-IPCA"/>
      </w:pPr>
      <w:r>
        <w:t>O meta-design aprofunda esta lógica ao defender a participação “em uso”,</w:t>
      </w:r>
      <w: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t xml:space="preserve">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920066"/>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8" name="Image 8" descr="Image 8"/>
                    <pic:cNvPicPr>
                      <a:picLocks noChangeAspect="1" noChangeArrowheads="1"/>
                    </pic:cNvPicPr>
                  </pic:nvPicPr>
                  <pic:blipFill>
                    <a:blip r:embed="rId102"/>
                    <a:stretch>
                      <a:fillRect/>
                    </a:stretch>
                  </pic:blipFill>
                  <pic:spPr bwMode="auto">
                    <a:xfrm>
                      <a:off x="0" y="0"/>
                      <a:ext cx="5579745" cy="2920066"/>
                    </a:xfrm>
                    <a:prstGeom prst="rect">
                      <a:avLst/>
                    </a:prstGeom>
                    <a:noFill/>
                  </pic:spPr>
                </pic:pic>
              </a:graphicData>
            </a:graphic>
          </wp:inline>
        </w:drawing>
      </w:r>
    </w:p>
    <w:p>
      <w:pPr>
        <w:pStyle w:val="Caption"/>
      </w:pPr>
      <w:r>
        <w:t>Figura 2.7 — Modelo de processo para configurar participação em ecossistemas de inovação e cocriação.</w:t>
      </w:r>
    </w:p>
    <w:p>
      <w:pPr>
        <w:pStyle w:val="Nota-IPCA"/>
      </w:pPr>
      <w:r>
        <w:t xml:space="preserve">Fonte original: Akasaka, M., Veeckman, C., Georges, A., Schuurman, D., &amp; Coorevits, L. (2022). A framework for configuring participation in living labs. </w:t>
      </w:r>
      <w:hyperlink r:id="rId103">
        <w:r>
          <w:rPr>
            <w:rStyle w:val="Hyperlink"/>
          </w:rPr>
          <w:t>https://www.semanticscholar.org/paper/305d55af5fda06b4d1b33e7d29c1f16d1b7ea488</w:t>
        </w:r>
      </w:hyperlink>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 xml:space="preserve">Em paralelo, o conceito de </w:t>
      </w:r>
      <w:r>
        <w:rPr>
          <w:rStyle w:val="Emphasis"/>
        </w:rPr>
        <w:t>Software Shaping Workshop</w:t>
      </w:r>
      <w: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rPr>
        <w:t>Software Shaping Workshop</w:t>
      </w:r>
      <w: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pPr>
      <w:r>
        <w:t>Tabela 2.2 — Elementos centrais na configuração da participação em sistemas configuráveis</w:t>
      </w:r>
    </w:p>
    <w:tbl>
      <w:tblPr>
        <w:tblStyle w:val="Tabelacomgrelha"/>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rPr>
                <w:b/>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rPr>
                <w:b/>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Formato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Contacto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Que fatores promovem adesão e que barreiras dificultam continuidade</w:t>
            </w:r>
          </w:p>
        </w:tc>
      </w:tr>
    </w:tbl>
    <w:p>
      <w:pPr>
        <w:pStyle w:val="Nota-IPCA"/>
      </w:pPr>
      <w:r>
        <w:t xml:space="preserve">Fonte adaptada. Referência original: Akasaka, M., Veeckman, C., Georges, A., Schuurman, D., &amp; Coorevits, L. (2022). A framework for configuring participation in living labs. </w:t>
      </w:r>
      <w:hyperlink r:id="rId104">
        <w:r>
          <w:rPr>
            <w:rStyle w:val="Hyperlink"/>
          </w:rPr>
          <w:t>https://www.semanticscholar.org/paper/305d55af5fda06b4d1b33e7d29c1f16d1b7ea488</w:t>
        </w:r>
      </w:hyperlink>
    </w:p>
    <w:p>
      <w:pPr>
        <w:pStyle w:val="Heading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Fischer et al., 2017).</w:t>
      </w:r>
    </w:p>
    <w:p>
      <w:pPr>
        <w:pStyle w:val="TextoNormal-IPCA"/>
      </w:pPr>
      <w: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2"/>
          <w:numId w:val="0"/>
        </w:numPr>
      </w:pPr>
      <w:r>
        <w:t>Workflows participativos e infraestruturas remotas</w:t>
      </w:r>
    </w:p>
    <w:p>
      <w:pPr>
        <w:pStyle w:val="TextoNormal-IPCA"/>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2"/>
          <w:numId w:val="0"/>
        </w:numPr>
      </w:pPr>
      <w:r>
        <w:t>Aplicações em saúde, reabilitação e próteses</w:t>
      </w:r>
    </w:p>
    <w:p>
      <w:pPr>
        <w:pStyle w:val="TextoNormal-IPCA"/>
      </w:pPr>
      <w:r>
        <w:t>Em saúde, plataformas baseadas em</w:t>
      </w:r>
      <w:r>
        <w:rPr>
          <w:i/>
          <w:iCs/>
        </w:rPr>
        <w:t xml:space="preserve"> digital twins</w:t>
      </w:r>
      <w:r>
        <w:rPr>
          <w:rStyle w:val="FootnoteReference"/>
          <w:i/>
          <w:iCs/>
        </w:rPr>
        <w:footnoteReference w:id="12"/>
      </w:r>
      <w: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Kerr et al., 2024; Seregni et al., 2021).</w:t>
      </w:r>
    </w:p>
    <w:p>
      <w:pPr>
        <w:pStyle w:val="TextoNormal-IPCA"/>
      </w:pPr>
      <w:r>
        <w:t>No contexto protésico e assistivo, evidencia-se a relevância dos ecossistemas modulares e das cadeias de aprendizagem distribuída. Estudos sobre próteses pediátricas, serviços de reabilitação assistiva e modelos como o Victoria Hand Project</w:t>
      </w:r>
      <w: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Thorsen et al., 2023).</w:t>
      </w:r>
    </w:p>
    <w:p>
      <w:pPr>
        <w:pStyle w:val="Heading3"/>
        <w:numPr>
          <w:ilvl w:val="2"/>
          <w:numId w:val="0"/>
        </w:numPr>
      </w:pPr>
      <w:r>
        <w:t>Limitações e lacunas: sustentabilidade, adoção e equilíbrio entre normalização e improviso</w:t>
      </w:r>
    </w:p>
    <w:p>
      <w:pPr>
        <w:pStyle w:val="TextoNormal-IPCA"/>
      </w:pPr>
      <w: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Para além disso, a literatura identifica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Fischer et al., 2004).</w:t>
      </w:r>
    </w:p>
    <w:p>
      <w:pPr>
        <w:pStyle w:val="TextoNormal-IPCA"/>
      </w:pPr>
      <w: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2"/>
        <w:numPr>
          <w:ilvl w:val="1"/>
          <w:numId w:val="0"/>
        </w:numPr>
      </w:pPr>
      <w:r>
        <w:t>2.8 Análise crítica do estado da arte e lacunas identificadas</w:t>
      </w:r>
    </w:p>
    <w:p>
      <w:pPr>
        <w:pStyle w:val="TextoNormal-IPCA"/>
      </w:pPr>
      <w: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t>por nível de prontidão tecnológica, ou Technology Readiness Level (TRL)</w:t>
      </w:r>
      <w:r>
        <w:rPr>
          <w:rStyle w:val="FootnoteReference"/>
        </w:rPr>
        <w:footnoteReference w:id="13"/>
      </w:r>
      <w:r>
        <w:t>,</w:t>
      </w:r>
      <w:r>
        <w:t xml:space="preserve"> evidenciando que muitos contributos permanecem concentrados em fases ainda afastadas de uma adoção ampla e sustentada.</w:t>
      </w:r>
    </w:p>
    <w:p>
      <w:pPr>
        <w:pStyle w:val="Normal"/>
        <w:jc w:val="center"/>
      </w:pPr>
      <w:r>
        <w:drawing>
          <wp:inline distT="0" distB="0" distL="0" distR="0">
            <wp:extent cx="5579745" cy="3970918"/>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9" name="Image 9" descr="Image 9"/>
                    <pic:cNvPicPr>
                      <a:picLocks noChangeAspect="1" noChangeArrowheads="1"/>
                    </pic:cNvPicPr>
                  </pic:nvPicPr>
                  <pic:blipFill>
                    <a:blip r:embed="rId105"/>
                    <a:stretch>
                      <a:fillRect/>
                    </a:stretch>
                  </pic:blipFill>
                  <pic:spPr bwMode="auto">
                    <a:xfrm>
                      <a:off x="0" y="0"/>
                      <a:ext cx="5579745" cy="3970918"/>
                    </a:xfrm>
                    <a:prstGeom prst="rect">
                      <a:avLst/>
                    </a:prstGeom>
                    <a:noFill/>
                  </pic:spPr>
                </pic:pic>
              </a:graphicData>
            </a:graphic>
          </wp:inline>
        </w:drawing>
      </w:r>
    </w:p>
    <w:p>
      <w:pPr>
        <w:pStyle w:val="Caption"/>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Samuelsson et al., 2012).</w:t>
      </w:r>
    </w:p>
    <w:p>
      <w:pPr>
        <w:pStyle w:val="Heading3"/>
        <w:numPr>
          <w:ilvl w:val="2"/>
          <w:numId w:val="0"/>
        </w:numPr>
      </w:pPr>
      <w:r>
        <w:t>Lacuna 2 — Desalinhamento entre necessidades identificadas, métricas objetivas, e qualidade de vida</w:t>
      </w:r>
    </w:p>
    <w:p>
      <w:pPr>
        <w:pStyle w:val="TextoNormal-IPCA"/>
      </w:pPr>
      <w: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Manz et al., 2022).</w:t>
      </w:r>
    </w:p>
    <w:p>
      <w:pPr>
        <w:pStyle w:val="TextoNormal-IPCA"/>
      </w:pPr>
      <w: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Baldock et al., 2023; Richardson &amp; Dillon, 2017).</w:t>
      </w:r>
    </w:p>
    <w:p>
      <w:pPr>
        <w:pStyle w:val="TextoNormal-IPCA"/>
      </w:pPr>
      <w: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Richardson &amp; Dillon, 2017).</w:t>
      </w:r>
    </w:p>
    <w:p>
      <w:pPr>
        <w:pStyle w:val="Heading3"/>
        <w:numPr>
          <w:ilvl w:val="2"/>
          <w:numId w:val="0"/>
        </w:numPr>
      </w:pPr>
      <w:r>
        <w:t>Lacuna 4 — Evolução limitada das estratégias de controlo e da interação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Marinelli et al., 2022).</w:t>
      </w:r>
    </w:p>
    <w:p>
      <w:pPr>
        <w:pStyle w:val="Heading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2"/>
          <w:numId w:val="0"/>
        </w:numPr>
      </w:pPr>
      <w:r>
        <w:t>Implicações para esta investigação</w:t>
      </w:r>
    </w:p>
    <w:p>
      <w:pPr>
        <w:pStyle w:val="TextoNormal-IPCA"/>
      </w:pPr>
      <w:r>
        <w:t>Em conjunto, estas lacunas apontam para a necessidade de abordagens que:</w:t>
      </w:r>
    </w:p>
    <w:p>
      <w:pPr>
        <w:pStyle w:val="TextoNormal-IPCA"/>
        <w:numPr>
          <w:ilvl w:val="0"/>
          <w:numId w:val="1"/>
        </w:numPr>
      </w:pPr>
      <w:r>
        <w:t>reforcem a ligação entre personalização e validação empírica, através de fluxos integrados de aquisição de dados, geração de variantes e avaliação;</w:t>
      </w:r>
    </w:p>
    <w:p>
      <w:pPr>
        <w:pStyle w:val="TextoNormal-IPCA"/>
        <w:numPr>
          <w:ilvl w:val="0"/>
          <w:numId w:val="1"/>
        </w:numPr>
      </w:pPr>
      <w:r>
        <w:t>privilegiem avaliações ecologicamente válidas e longitudinais, aproximando as métricas de desempenho dos resultados relacionados com participação, autonomia e qualidade de vida;</w:t>
      </w:r>
    </w:p>
    <w:p>
      <w:pPr>
        <w:pStyle w:val="TextoNormal-IPCA"/>
        <w:numPr>
          <w:ilvl w:val="0"/>
          <w:numId w:val="1"/>
        </w:numPr>
      </w:pPr>
      <w:r>
        <w:t>tratem a interface corpo–prótese e o conforto como requisitos estruturantes do processo de projeto, e não como ajustes posteriores;</w:t>
      </w:r>
    </w:p>
    <w:p>
      <w:pPr>
        <w:pStyle w:val="TextoNormal-IPCA"/>
        <w:numPr>
          <w:ilvl w:val="0"/>
          <w:numId w:val="1"/>
        </w:numPr>
      </w:pPr>
      <w:r>
        <w:t>incorporem o envolvimento do utilizador como elemento contínuo, documentável e passível de análise, articulando métodos qualitativos e quantitativos;</w:t>
      </w:r>
    </w:p>
    <w:p>
      <w:pPr>
        <w:pStyle w:val="TextoNormal-IPCA"/>
        <w:numPr>
          <w:ilvl w:val="0"/>
          <w:numId w:val="1"/>
        </w:numPr>
      </w:pPr>
      <w:r>
        <w:t>considerem a acessibilidade, a manutenção e o contexto de serviço como dimensões constitutivas do problema de design (Anderson et al., 2024; Baumann &amp; Maria, 2023; Chadwell et al., 2020).</w:t>
      </w:r>
    </w:p>
    <w:p>
      <w:pPr>
        <w:pStyle w:val="Heading1"/>
        <w:pageBreakBefore/>
        <w:numPr>
          <w:ilvl w:val="0"/>
          <w:numId w:val="0"/>
        </w:numPr>
      </w:pPr>
      <w:r>
        <w:t>Capítulo 3 — Metodologia de Investigação</w:t>
      </w:r>
    </w:p>
    <w:p>
      <w:pPr>
        <w:pStyle w:val="Heading2"/>
        <w:numPr>
          <w:ilvl w:val="1"/>
          <w:numId w:val="0"/>
        </w:numPr>
      </w:pPr>
      <w:r>
        <w:t>3.1 Enquadramento metodológico e abordagem Research Through Design</w:t>
      </w:r>
    </w:p>
    <w:p>
      <w:pPr>
        <w:pStyle w:val="TextoNormal-IPCA"/>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Zimmerman et al., 2007).</w:t>
      </w:r>
    </w:p>
    <w:p>
      <w:pPr>
        <w:pStyle w:val="TextoNormal-IPCA"/>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TextoNormal-IPCA"/>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w:t>
      </w:r>
    </w:p>
    <w:p>
      <w:pPr>
        <w:pStyle w:val="TextoNormal-IPCA"/>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TextoNormal-IPCA"/>
      </w:pPr>
      <w: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w:t>
      </w:r>
    </w:p>
    <w:p>
      <w:pPr>
        <w:pStyle w:val="Normal"/>
        <w:jc w:val="center"/>
      </w:pPr>
      <w:r>
        <w:drawing>
          <wp:inline distT="0" distB="0" distL="0" distR="0">
            <wp:extent cx="5579745" cy="2129602"/>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 name="Image 10" descr="Image 10"/>
                    <pic:cNvPicPr>
                      <a:picLocks noChangeAspect="1" noChangeArrowheads="1"/>
                    </pic:cNvPicPr>
                  </pic:nvPicPr>
                  <pic:blipFill>
                    <a:blip r:embed="rId106"/>
                    <a:stretch>
                      <a:fillRect/>
                    </a:stretch>
                  </pic:blipFill>
                  <pic:spPr bwMode="auto">
                    <a:xfrm>
                      <a:off x="0" y="0"/>
                      <a:ext cx="5579745" cy="2129602"/>
                    </a:xfrm>
                    <a:prstGeom prst="rect">
                      <a:avLst/>
                    </a:prstGeom>
                    <a:noFill/>
                  </pic:spPr>
                </pic:pic>
              </a:graphicData>
            </a:graphic>
          </wp:inline>
        </w:drawing>
      </w:r>
    </w:p>
    <w:p>
      <w:pPr>
        <w:pStyle w:val="Caption"/>
      </w:pPr>
      <w:r>
        <w:t>Figura 3.1 — Processo interdisciplinar de desenvolvimento de uma prótese de membro superior impressa em 3D.</w:t>
      </w:r>
    </w:p>
    <w:p>
      <w:pPr>
        <w:pStyle w:val="Nota-IPCA"/>
      </w:pPr>
      <w:r>
        <w:t>Fonte original: Silva, L. A. da, Medola, F. O., Rodrigues, O. V., Rodrigues, A. C. T., &amp; Sandnes, F. E. (2018). Interdisciplinary-based development of user-friendly customized 3D printed upper limb prosthesis. Comunicação em conferência.</w:t>
      </w:r>
      <w:r>
        <w:br w:type="page"/>
      </w:r>
    </w:p>
    <w:p>
      <w:pPr>
        <w:pStyle w:val="Heading2"/>
        <w:numPr>
          <w:ilvl w:val="1"/>
          <w:numId w:val="0"/>
        </w:numPr>
      </w:pPr>
      <w:r>
        <w:t>3.2 O design industrial como prática investigativa</w:t>
      </w:r>
    </w:p>
    <w:p>
      <w:pPr>
        <w:pStyle w:val="TextoNormal-IPCA"/>
      </w:pPr>
      <w: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w:t>
      </w:r>
    </w:p>
    <w:p>
      <w:pPr>
        <w:pStyle w:val="TextoNormal-IPCA"/>
      </w:pPr>
      <w:r>
        <w:t xml:space="preserve">Partindo deste enquadramento, a investigação assume o desenvolvimento de um sistema paramétrico assistido por inteligência artificial como meio para explorar formas mais configuráveis, reprodutíveis e acessíveis de personalização protésica. </w:t>
      </w:r>
      <w: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2"/>
        <w:numPr>
          <w:ilvl w:val="1"/>
          <w:numId w:val="0"/>
        </w:numPr>
      </w:pPr>
      <w:r>
        <w:t>3.3 Estrutura metodológica do projeto</w:t>
      </w:r>
    </w:p>
    <w:p>
      <w:pPr>
        <w:pStyle w:val="TextoNormal-IPCA"/>
      </w:pPr>
      <w: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Zimmerman et al., 2007).</w:t>
      </w:r>
    </w:p>
    <w:p>
      <w:pPr>
        <w:pStyle w:val="TextoNormal-IPCA"/>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TextoNormal-IPCA"/>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TextoNormal-IPCA"/>
      </w:pPr>
      <w: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2"/>
        <w:numPr>
          <w:ilvl w:val="1"/>
          <w:numId w:val="0"/>
        </w:numPr>
      </w:pPr>
      <w:r>
        <w:t>3.4 Métodos de recolha e análise de dados</w:t>
      </w:r>
    </w:p>
    <w:p>
      <w:pPr>
        <w:pStyle w:val="TextoNormal-IPCA"/>
      </w:pPr>
      <w:r>
        <w:t xml:space="preserve">A investigação recorre a métodos qualitativos e experimentais, coerentes com a natureza prática do </w:t>
      </w:r>
      <w:r>
        <w:rPr>
          <w:i/>
          <w:iCs/>
        </w:rPr>
        <w:t>RTD</w:t>
      </w:r>
      <w:r>
        <w:t>. A recolha de dados realiza-se em diferentes níveis, combinando análise documental, comparação de precedentes, construção paramétrica, prototipagem iterativa e reflexão crítica sobre os resultados de cada ciclo.</w:t>
      </w:r>
    </w:p>
    <w:p>
      <w:pPr>
        <w:pStyle w:val="TextoNormal-IPCA"/>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TextoNormal-IPCA"/>
      </w:pPr>
      <w:r>
        <w:t>Durante o desenvolvimento do sistema paramétrico, os dados assumem natureza técnica e projetual, incluindo parâmetros geométricos, relações dimensionais, tempos de fabrico, consumo de material e desempenho estrutural dos protótipos</w:t>
      </w:r>
      <w:r>
        <w:t>. Estes dados são analisados de forma iterativa, permitindo reformular o modelo paramétrico e otimizar o seu desempenho.</w:t>
      </w:r>
    </w:p>
    <w:p>
      <w:pPr>
        <w:pStyle w:val="TextoNormal-IPCA"/>
      </w:pPr>
      <w: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TextoNormal-IPCA"/>
      </w:pPr>
      <w: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jc w:val="center"/>
      </w:pPr>
      <w:r>
        <w:drawing>
          <wp:inline distT="0" distB="0" distL="0" distR="0">
            <wp:extent cx="5579745" cy="1859915"/>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 name="Image 11" descr="Image 11"/>
                    <pic:cNvPicPr>
                      <a:picLocks noChangeAspect="1" noChangeArrowheads="1"/>
                    </pic:cNvPicPr>
                  </pic:nvPicPr>
                  <pic:blipFill>
                    <a:blip r:embed="rId107"/>
                    <a:stretch>
                      <a:fillRect/>
                    </a:stretch>
                  </pic:blipFill>
                  <pic:spPr bwMode="auto">
                    <a:xfrm>
                      <a:off x="0" y="0"/>
                      <a:ext cx="5579745" cy="1859915"/>
                    </a:xfrm>
                    <a:prstGeom prst="rect">
                      <a:avLst/>
                    </a:prstGeom>
                    <a:noFill/>
                  </pic:spPr>
                </pic:pic>
              </a:graphicData>
            </a:graphic>
          </wp:inline>
        </w:drawing>
      </w:r>
    </w:p>
    <w:p>
      <w:pPr>
        <w:pStyle w:val="Caption"/>
      </w:pPr>
      <w:r>
        <w:t>Figura 3.2 — Exemplo de recolha dimensional para ajuste de prótese impressa em 3D.</w:t>
      </w:r>
    </w:p>
    <w:p>
      <w:pPr>
        <w:pStyle w:val="Nota-IPCA"/>
      </w:pPr>
      <w: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2"/>
        <w:numPr>
          <w:ilvl w:val="1"/>
          <w:numId w:val="0"/>
        </w:numPr>
      </w:pPr>
      <w:r>
        <w:t>3.5 Critérios de avaliação e limitações metodológicas</w:t>
      </w:r>
    </w:p>
    <w:p>
      <w:pPr>
        <w:pStyle w:val="TextoNormal-IPCA"/>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w:t>
      </w:r>
    </w:p>
    <w:p>
      <w:pPr>
        <w:pStyle w:val="TextoNormal-IPCA"/>
      </w:pPr>
      <w: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r>
        <w:t xml:space="preserve">s OpenSCAD/WebAssembly </w:t>
      </w:r>
      <w:r/>
      <w:r>
        <w:t xml:space="preserve">e se os ficheiros </w:t>
      </w:r>
      <w:r>
        <w:t>3MF e STL</w:t>
      </w:r>
      <w:r/>
      <w: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TextoNormal-IPCA"/>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TextoNormal-IPCA"/>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TextoNormal-IPCA"/>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1"/>
        <w:pageBreakBefore/>
        <w:numPr>
          <w:ilvl w:val="0"/>
          <w:numId w:val="0"/>
        </w:numPr>
      </w:pPr>
      <w:r>
        <w:t>Capítulo 4 — Desenvolvimento do Modelo Paramétrico</w:t>
      </w:r>
    </w:p>
    <w:p>
      <w:pPr>
        <w:pStyle w:val="Heading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Guo, 2025; Peerdeman et al., 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Hofmann et al., 2016; Jones et al., 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w:t>
      </w:r>
      <w: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Herneth et al., 2024; Jones et al., 2023).</w:t>
      </w:r>
    </w:p>
    <w:p>
      <w:pPr>
        <w:pStyle w:val="Heading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2" name="Image 12" descr="Image 12"/>
                    <pic:cNvPicPr>
                      <a:picLocks noChangeAspect="1" noChangeArrowheads="1"/>
                    </pic:cNvPicPr>
                  </pic:nvPicPr>
                  <pic:blipFill>
                    <a:blip r:embed="rId108"/>
                    <a:stretch>
                      <a:fillRect/>
                    </a:stretch>
                  </pic:blipFill>
                  <pic:spPr bwMode="auto">
                    <a:xfrm>
                      <a:off x="0" y="0"/>
                      <a:ext cx="4667250" cy="3467100"/>
                    </a:xfrm>
                    <a:prstGeom prst="rect">
                      <a:avLst/>
                    </a:prstGeom>
                    <a:noFill/>
                  </pic:spPr>
                </pic:pic>
              </a:graphicData>
            </a:graphic>
          </wp:inline>
        </w:drawing>
      </w:r>
    </w:p>
    <w:p>
      <w:pPr>
        <w:pStyle w:val="Caption"/>
      </w:pPr>
      <w:r>
        <w:t>Figura 4.1 — Parâmetros antropométricos utilizados na modelação paramétrica de dedos protésicos.</w:t>
      </w:r>
    </w:p>
    <w:p>
      <w:pPr>
        <w:pStyle w:val="Nota-IPCA"/>
      </w:pPr>
      <w: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09">
        <w:r>
          <w:rPr>
            <w:rStyle w:val="Hyperlink"/>
          </w:rPr>
          <w:t>https://doi.org/10.1109/BioRob60516.2024.10719909</w:t>
        </w:r>
      </w:hyperlink>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Nag et al., 2003).</w:t>
      </w:r>
    </w:p>
    <w:p>
      <w:pPr>
        <w:pStyle w:val="Caption"/>
      </w:pPr>
      <w:r>
        <w:t>Tabela 4.1 — Principais parâmetros antropométricos da mão e do membro superior relevantes para modelação paramétrica</w:t>
      </w:r>
    </w:p>
    <w:tbl>
      <w:tblPr>
        <w:tblStyle w:val="Tabelacomgrelha"/>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Mão</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Mão</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Palma</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Dedos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Dedos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Dedos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Polegar</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Punho</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Ajuste do encaixe</w:t>
            </w:r>
          </w:p>
        </w:tc>
      </w:tr>
    </w:tbl>
    <w:p>
      <w:pPr>
        <w:pStyle w:val="Heading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pPr>
      <w:r>
        <w:t>Tabela 4.2 — Conjuntos mínimos de parâmetros por nível de amputação</w:t>
      </w:r>
    </w:p>
    <w:tbl>
      <w:tblPr>
        <w:tblStyle w:val="Tabelacomgrelha"/>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rPr>
                <w:b/>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rPr>
                <w:b/>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2"/>
          <w:numId w:val="0"/>
        </w:numPr>
      </w:pPr>
      <w:r>
        <w:t>Limitações do redimensionamento proporcional</w:t>
      </w:r>
    </w:p>
    <w:p>
      <w:pPr>
        <w:pStyle w:val="TextoNormal-IPCA"/>
      </w:pPr>
      <w:r>
        <w:t>Uma limitação recorrente em abordagens simplificadas de modelação é o uso de redimensionamento proporcional (</w:t>
      </w:r>
      <w:r>
        <w:rPr>
          <w:i/>
          <w:iCs/>
        </w:rPr>
        <w:t>uniform scaling</w:t>
      </w:r>
      <w: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jc w:val="center"/>
      </w:pPr>
      <w:r>
        <w:drawing>
          <wp:inline distT="0" distB="0" distL="0" distR="0">
            <wp:extent cx="5579745" cy="2641079"/>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3" name="Image 13" descr="Image 13"/>
                    <pic:cNvPicPr>
                      <a:picLocks noChangeAspect="1" noChangeArrowheads="1"/>
                    </pic:cNvPicPr>
                  </pic:nvPicPr>
                  <pic:blipFill>
                    <a:blip r:embed="rId110"/>
                    <a:stretch>
                      <a:fillRect/>
                    </a:stretch>
                  </pic:blipFill>
                  <pic:spPr bwMode="auto">
                    <a:xfrm>
                      <a:off x="0" y="0"/>
                      <a:ext cx="5579745" cy="2641079"/>
                    </a:xfrm>
                    <a:prstGeom prst="rect">
                      <a:avLst/>
                    </a:prstGeom>
                    <a:noFill/>
                  </pic:spPr>
                </pic:pic>
              </a:graphicData>
            </a:graphic>
          </wp:inline>
        </w:drawing>
      </w:r>
    </w:p>
    <w:p>
      <w:pPr>
        <w:pStyle w:val="Caption"/>
      </w:pPr>
      <w:r>
        <w:t>Figura 4.2 — Comparação entre o escalonamento uniforme e a modelação paramétrica de dedo protésico.</w:t>
      </w:r>
    </w:p>
    <w:p>
      <w:pPr>
        <w:pStyle w:val="Nota-IPCA"/>
      </w:pPr>
      <w: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11">
        <w:r>
          <w:rPr>
            <w:rStyle w:val="Hyperlink"/>
          </w:rPr>
          <w:t>https://doi.org/10.1115/DETC2018-85645</w:t>
        </w:r>
      </w:hyperlink>
    </w:p>
    <w:p>
      <w:pPr>
        <w:pStyle w:val="Heading3"/>
        <w:numPr>
          <w:ilvl w:val="2"/>
          <w:numId w:val="0"/>
        </w:numPr>
      </w:pPr>
      <w:r>
        <w:t>Métodos de recolha de dados antropométricos</w:t>
      </w:r>
    </w:p>
    <w:p>
      <w:pPr>
        <w:pStyle w:val="TextoNormal-IPCA"/>
      </w:pPr>
      <w: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Herbst et al., 2021).</w:t>
      </w:r>
    </w:p>
    <w:p>
      <w:pPr>
        <w:pStyle w:val="Caption"/>
      </w:pPr>
      <w:r>
        <w:t>Tabela 4.3 — Métodos de recolha de dados antropométricos e suas características</w:t>
      </w:r>
    </w:p>
    <w:tbl>
      <w:tblPr>
        <w:tblStyle w:val="Tabelacomgrelha"/>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rPr>
                <w:b/>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rPr>
                <w:b/>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TextoNormal-IPCA"/>
            </w:pPr>
            <w:r>
              <w:rPr>
                <w:b/>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TextoNormal-IPCA"/>
            </w:pPr>
            <w:r>
              <w:rPr>
                <w:b/>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rPr>
                <w:b/>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TextoNormal-IPCA"/>
            </w:pPr>
            <w: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TextoNormal-IPCA"/>
            </w:pPr>
            <w: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TextoNormal-IPCA"/>
            </w:pPr>
            <w: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TextoNormal-IPCA"/>
            </w:pPr>
            <w: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TextoNormal-IPCA"/>
            </w:pPr>
            <w: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TextoNormal-IPCA"/>
            </w:pPr>
            <w: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t>Aquisição preliminar</w:t>
            </w:r>
          </w:p>
        </w:tc>
      </w:tr>
    </w:tbl>
    <w:p>
      <w:pPr>
        <w:pStyle w:val="Heading3"/>
        <w:numPr>
          <w:ilvl w:val="2"/>
          <w:numId w:val="0"/>
        </w:numPr>
      </w:pPr>
      <w:r>
        <w:t>Bases de dados antropométricas, extração e normalização</w:t>
      </w:r>
    </w:p>
    <w:p>
      <w:pPr>
        <w:pStyle w:val="TextoNormal-IPCA"/>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TextoNormal-IPCA"/>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TextoNormal-IPCA"/>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w:t>
      </w:r>
    </w:p>
    <w:p>
      <w:pPr>
        <w:pStyle w:val="Caption"/>
      </w:pPr>
      <w:r>
        <w:t>Tabela 4.4 — Fontes integradas na base local de dados antropométricos</w:t>
      </w:r>
    </w:p>
    <w:tbl>
      <w:tblPr>
        <w:tblStyle w:val="Tabelacomgrelha"/>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rPr>
                <w:b/>
              </w:rPr>
              <w:t>Fonte</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rPr>
                <w:b/>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rPr>
                <w:b/>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rPr>
                <w:b/>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TextoNormal-IPCA"/>
            </w:pPr>
            <w: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TextoNormal-IPCA"/>
            </w:pPr>
            <w: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TextoNormal-IPCA"/>
            </w:pPr>
            <w: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TextoNormal-IPCA"/>
            </w:pPr>
            <w:r>
              <w:t>2</w:t>
            </w:r>
          </w:p>
        </w:tc>
      </w:tr>
    </w:tbl>
    <w:p>
      <w:pPr>
        <w:pStyle w:val="TextoNormal-IPCA"/>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 xml:space="preserve">Na base atual, existem 612 médias, 609 desvios-padrão, 513 percentis, 28 mínimos e 28 máximos. Esta assimetria é metodologicamente relevante: </w:t>
      </w:r>
      <w:r>
        <w:t>os conjuntos de dados (</w:t>
      </w:r>
      <w:r>
        <w:rPr>
          <w:i/>
          <w:iCs/>
        </w:rPr>
        <w:t>Datasets</w:t>
      </w:r>
      <w:r>
        <w:t>)</w:t>
      </w:r>
      <w: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TextoNormal-IPCA"/>
      </w:pPr>
      <w: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pPr>
      <w:r>
        <w:t>Tabela 4.5 — Estrutura hierárquica dos parâmetros no modelo paramétrico</w:t>
      </w:r>
    </w:p>
    <w:tbl>
      <w:tblPr>
        <w:tblStyle w:val="Tabelacomgrelha"/>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Derivados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Fabrico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Ajuste técnico</w:t>
            </w:r>
          </w:p>
        </w:tc>
      </w:tr>
    </w:tbl>
    <w:p>
      <w:pPr>
        <w:pStyle w:val="TextoNormal-IPCA"/>
      </w:pPr>
      <w:r>
        <w:t>A tradução destes parâmetros em geometria é realizada por meio de relações explícitas entre medições e componentes do modelo.</w:t>
      </w:r>
    </w:p>
    <w:p>
      <w:pPr>
        <w:pStyle w:val="Heading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OpenSCAD Community, n.d.).</w:t>
      </w:r>
    </w:p>
    <w:p>
      <w:pPr>
        <w:pStyle w:val="TextoNormal-IPCA"/>
      </w:pPr>
      <w: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Brooks, 2026).</w:t>
      </w:r>
    </w:p>
    <w:p>
      <w:pPr>
        <w:pStyle w:val="TextoNormal-IPCA"/>
      </w:pPr>
      <w: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Caption"/>
      </w:pPr>
      <w:r>
        <w:t>Tabela 4.6 — Mapeamento entre parâmetros antropométricos e elementos do modelo</w:t>
      </w:r>
    </w:p>
    <w:tbl>
      <w:tblPr>
        <w:tblStyle w:val="Tabelacomgrelha"/>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rPr>
                <w:b/>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rPr>
                <w:b/>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TextoNormal-IPCA"/>
      </w:pPr>
      <w: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Moreo, 2016; Romero et al., 2025).</w:t>
      </w:r>
    </w:p>
    <w:p>
      <w:pPr>
        <w:pStyle w:val="TextoNormal-IPCA"/>
      </w:pPr>
      <w: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3245551"/>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4" name="Image 14" descr="Image 14"/>
                    <pic:cNvPicPr>
                      <a:picLocks noChangeAspect="1" noChangeArrowheads="1"/>
                    </pic:cNvPicPr>
                  </pic:nvPicPr>
                  <pic:blipFill>
                    <a:blip r:embed="rId112"/>
                    <a:stretch>
                      <a:fillRect/>
                    </a:stretch>
                  </pic:blipFill>
                  <pic:spPr bwMode="auto">
                    <a:xfrm>
                      <a:off x="0" y="0"/>
                      <a:ext cx="5579745" cy="3245551"/>
                    </a:xfrm>
                    <a:prstGeom prst="rect">
                      <a:avLst/>
                    </a:prstGeom>
                    <a:noFill/>
                  </pic:spPr>
                </pic:pic>
              </a:graphicData>
            </a:graphic>
          </wp:inline>
        </w:drawing>
      </w:r>
    </w:p>
    <w:p>
      <w:pPr>
        <w:pStyle w:val="Caption"/>
      </w:pPr>
      <w:r>
        <w:t>Figura 4.3 — Relação entre modelo paramétrico digital, prototipagem e verificação de um dedo protésico.</w:t>
      </w:r>
    </w:p>
    <w:p>
      <w:pPr>
        <w:pStyle w:val="Nota-IPCA"/>
      </w:pPr>
      <w: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13">
        <w:r>
          <w:rPr>
            <w:rStyle w:val="Hyperlink"/>
          </w:rPr>
          <w:t>https://doi.org/10.1109/BioRob60516.2024.10719909</w:t>
        </w:r>
      </w:hyperlink>
    </w:p>
    <w:p>
      <w:pPr>
        <w:pStyle w:val="Heading3"/>
        <w:numPr>
          <w:ilvl w:val="2"/>
          <w:numId w:val="0"/>
        </w:numPr>
      </w:pPr>
      <w:r>
        <w:t>4.3.1 Estrutura técnica, parâmetros e restrições</w:t>
      </w:r>
    </w:p>
    <w:p>
      <w:pPr>
        <w:pStyle w:val="TextoNormal-IPCA"/>
      </w:pPr>
      <w:r>
        <w:t>Num modelo paramétrico baseado em OpenSCAD, a organização interna pode ser compreendida como uma arquitetura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Nini et al., 2024; Saldarriaga et al., 2024).</w:t>
      </w:r>
    </w:p>
    <w:p>
      <w:pPr>
        <w:pStyle w:val="Caption"/>
      </w:pPr>
      <w:r>
        <w:t>Tabela 4.7 — Estrutura técnica em camadas de um modelo paramétrico em OpenSCAD para próteses personalizadas</w:t>
      </w:r>
    </w:p>
    <w:tbl>
      <w:tblPr>
        <w:tblStyle w:val="Tabelacomgrelha"/>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Espessura mínima, folgas, raios mínimos</w:t>
            </w:r>
          </w:p>
        </w:tc>
      </w:tr>
    </w:tbl>
    <w:p>
      <w:pPr>
        <w:pStyle w:val="TextoNormal-IPCA"/>
      </w:pPr>
      <w: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numPr>
          <w:ilvl w:val="2"/>
          <w:numId w:val="0"/>
        </w:numPr>
      </w:pPr>
      <w:r>
        <w:t>4.3.2 Análise crítica da abordagem</w:t>
      </w:r>
    </w:p>
    <w:p>
      <w:pPr>
        <w:pStyle w:val="TextoNormal-IPCA"/>
      </w:pPr>
      <w: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w:t>
      </w:r>
    </w:p>
    <w:p>
      <w:pPr>
        <w:pStyle w:val="TextoNormal-IPCA"/>
      </w:pPr>
      <w:r>
        <w:t xml:space="preserve">Uma segunda vantagem reside na afinidade entre a modelação baseada em código, a automação e a partilha aberta. </w:t>
      </w:r>
      <w: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w:t>
      </w:r>
      <w:r>
        <w:t>Para um projeto que pretende aproximar parametrização, interface e apoio computacional, esta característica é especialmente relevante.</w:t>
      </w:r>
    </w:p>
    <w:p>
      <w:pPr>
        <w:pStyle w:val="TextoNormal-IPCA"/>
      </w:pPr>
      <w: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t xml:space="preserve">A segunda limitação é de natureza geométrica. A modelação por combinação de sólidos, habitualmente designada por </w:t>
      </w:r>
      <w:r>
        <w:rPr>
          <w:i/>
          <w:iCs/>
        </w:rPr>
        <w:t>Constructive Solid Geometry</w:t>
      </w:r>
      <w: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w:t>
      </w:r>
      <w: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TextoNormal-IPCA"/>
      </w:pPr>
      <w: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TextoNormal-IPCA"/>
      </w:pPr>
      <w: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t>É precisamente essa combinação entre explicitação, reexecução e possibilidade de revisão crítica que justifica a sua escolha como base para a modelação paramétrica aqui desenvolvida.</w:t>
      </w:r>
    </w:p>
    <w:p>
      <w:pPr>
        <w:pStyle w:val="Heading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pStyle w:val="TextoNormal-IPCA"/>
      </w:pPr>
      <w:r>
        <w:t xml:space="preserve">À medida que a estrutura geral se consolidou, o trabalho iterativo deslocou-se para a decomposição do sistema em módulos relativamente autónomos. </w:t>
      </w:r>
      <w: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w:t>
      </w:r>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TextoNormal-IPCA"/>
      </w:pPr>
      <w:r>
        <w:t xml:space="preserve">Outro eixo central do processo prendeu-se à relação entre personalização e fabricação. </w:t>
      </w:r>
      <w: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w:t>
      </w:r>
    </w:p>
    <w:p>
      <w:pPr>
        <w:pStyle w:val="TextoNormal-IPCA"/>
      </w:pPr>
      <w: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t>Por essa razão, várias revisões do modelo implicaram reajustes que articularam a correção formal da geometria com a necessidade de manter um equilíbrio plausível entre adaptação dimensional, comportamento funcional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w:t>
      </w:r>
    </w:p>
    <w:p>
      <w:pPr>
        <w:pStyle w:val="TextoNormal-IPCA"/>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1"/>
        <w:pageBreakBefore/>
        <w:numPr>
          <w:ilvl w:val="0"/>
          <w:numId w:val="0"/>
        </w:numPr>
      </w:pPr>
      <w:r>
        <w:t>Capítulo 5 — Plataforma Web e Integração Digital</w:t>
      </w:r>
    </w:p>
    <w:p>
      <w:pPr>
        <w:pStyle w:val="Heading2"/>
        <w:numPr>
          <w:ilvl w:val="1"/>
          <w:numId w:val="0"/>
        </w:numPr>
      </w:pPr>
      <w:r>
        <w:t>5.1 Enquadramento conceptual e perfis de utilizador</w:t>
      </w:r>
    </w:p>
    <w:p>
      <w:pPr>
        <w:pStyle w:val="TextoNormal-IPCA"/>
      </w:pPr>
      <w: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r>
        <w:t>ivamente técnica (Peixoto et al., 2025).</w:t>
      </w:r>
      <w:r/>
    </w:p>
    <w:p>
      <w:pPr>
        <w:pStyle w:val="Normal"/>
        <w:jc w:val="cente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579745" cy="2616780"/>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5" name="Image20"/>
                    <pic:cNvPicPr>
                      <a:picLocks noChangeAspect="1" noChangeArrowheads="1"/>
                    </pic:cNvPicPr>
                  </pic:nvPicPr>
                  <pic:blipFill>
                    <a:blip r:embed="rId114"/>
                    <a:stretch>
                      <a:fillRect/>
                    </a:stretch>
                  </pic:blipFill>
                  <pic:spPr bwMode="auto">
                    <a:xfrm>
                      <a:off x="0" y="0"/>
                      <a:ext cx="5579745" cy="2616780"/>
                    </a:xfrm>
                    <a:prstGeom prst="rect">
                      <a:avLst/>
                    </a:prstGeom>
                    <a:noFill/>
                  </pic:spPr>
                </pic:pic>
              </a:graphicData>
            </a:graphic>
          </wp:anchor>
        </w:drawing>
      </w:r>
    </w:p>
    <w:p>
      <w:pPr>
        <w:pStyle w:val="Caption"/>
      </w:pPr>
      <w:r>
        <w:t>Figura 5.1 — Fluxo geral de produção personalizada de próteses a partir de plataforma web – Hand Fab</w:t>
      </w:r>
    </w:p>
    <w:p>
      <w:pPr>
        <w:pStyle w:val="Nota-IPCA"/>
      </w:pPr>
      <w:r>
        <w:t>Produção própria</w:t>
      </w:r>
    </w:p>
    <w:p>
      <w:pPr>
        <w:pStyle w:val="TextoNormal-IPCA"/>
      </w:pPr>
      <w: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 xml:space="preserve">O perfil de administrador assegura a gestão global da plataforma, incluindo a criação de contas, a definição de permissões e a supervisão do ecossistema de configurações, incluindo da base de dados antropométricos. </w:t>
      </w:r>
      <w: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t xml:space="preserve"> O perfil de utilizador corresponde ao nível mais restrito, centrado na consulta das suas configurações, no acompanhamento do processo e em interações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TextoNormal-IPCA"/>
      </w:pPr>
      <w: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pStyle w:val="TextoNormal-IPCA"/>
      </w:pPr>
      <w: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2"/>
        <w:numPr>
          <w:ilvl w:val="1"/>
          <w:numId w:val="0"/>
        </w:numPr>
      </w:pPr>
      <w:r>
        <w:t>5.2 Arquitetura geral do sistema</w:t>
      </w:r>
    </w:p>
    <w:p>
      <w:pPr>
        <w:pStyle w:val="TextoNormal-IPCA"/>
      </w:pPr>
      <w: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Lei et al., 2016).</w:t>
      </w:r>
    </w:p>
    <w:p>
      <w:pPr>
        <w:pStyle w:val="TextoNormal-IPCA"/>
      </w:pPr>
      <w: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w:t>
      </w:r>
    </w:p>
    <w:p>
      <w:pPr>
        <w:pStyle w:val="Normal"/>
        <w:jc w:val="center"/>
      </w:pPr>
      <w:r>
        <w:drawing>
          <wp:inline distT="0" distB="0" distL="0" distR="0">
            <wp:extent cx="5579745" cy="3161855"/>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6" name="Image 15" descr="Image 15"/>
                    <pic:cNvPicPr>
                      <a:picLocks noChangeAspect="1" noChangeArrowheads="1"/>
                    </pic:cNvPicPr>
                  </pic:nvPicPr>
                  <pic:blipFill>
                    <a:blip r:embed="rId115"/>
                    <a:stretch>
                      <a:fillRect/>
                    </a:stretch>
                  </pic:blipFill>
                  <pic:spPr bwMode="auto">
                    <a:xfrm>
                      <a:off x="0" y="0"/>
                      <a:ext cx="5579745" cy="3161855"/>
                    </a:xfrm>
                    <a:prstGeom prst="rect">
                      <a:avLst/>
                    </a:prstGeom>
                    <a:noFill/>
                  </pic:spPr>
                </pic:pic>
              </a:graphicData>
            </a:graphic>
          </wp:inline>
        </w:drawing>
      </w:r>
    </w:p>
    <w:p>
      <w:pPr>
        <w:pStyle w:val="Caption"/>
      </w:pPr>
      <w:r>
        <w:t>Figura 5.1 — Fluxo geral de produção personalizada de próteses a partir de digitalização, CAD adaptativo e fabrico aditivo.</w:t>
      </w:r>
    </w:p>
    <w:p>
      <w:pPr>
        <w:pStyle w:val="Nota-IPCA"/>
      </w:pPr>
      <w:r>
        <w:t xml:space="preserve">Fonte original: Górski, F., Zawadzki, P., Wichniarek, R., Kuczko, W., Słupińska, S., &amp; Żukowska, M. (2022). Automated design and rapid manufacturing of low-cost customized upper limb prostheses. Journal of Physics: Conference Series, 2198, 012040. </w:t>
      </w:r>
      <w:hyperlink r:id="rId116">
        <w:r>
          <w:rPr>
            <w:rStyle w:val="Hyperlink"/>
          </w:rPr>
          <w:t>https://doi.org/10.1088/1742-6596/2198/1/012040</w:t>
        </w:r>
      </w:hyperlink>
    </w:p>
    <w:p>
      <w:pPr>
        <w:pStyle w:val="TextoNormal-IPCA"/>
      </w:pPr>
      <w:r>
        <w:t xml:space="preserve">No navegador do utilizador, a aplicação integra os componentes responsáveis pela interface, pela recolha e edição de parâmetros, pela gestão do estado da sessão e pela visualização local dos modelos. </w:t>
      </w:r>
      <w: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rPr>
        <w:t>frontend</w:t>
      </w:r>
      <w:r>
        <w:t>) e “retaguarda” (</w:t>
      </w:r>
      <w:r>
        <w:rPr>
          <w:i/>
          <w:iCs/>
        </w:rPr>
        <w:t>backend</w:t>
      </w:r>
      <w:r>
        <w:t>),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TextoNormal-IPCA"/>
      </w:pPr>
      <w: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rPr>
        <w:t>backen</w:t>
      </w:r>
      <w: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pPr>
      <w: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rPr>
          <w:rStyle w:val="SourceText"/>
        </w:rP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TextoNormal-IPCA"/>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TextoNormal-IPCA"/>
      </w:pPr>
      <w: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t>O valor da solução reside, por isso, menos numa promessa de desempenho absoluto e mais na capacidade de tornar executável, em ambiente web, um núcleo paramétrico explícito, verificável e sujeito a revisão crítica.</w:t>
      </w:r>
    </w:p>
    <w:p>
      <w:pPr>
        <w:pStyle w:val="Heading2"/>
        <w:numPr>
          <w:ilvl w:val="1"/>
          <w:numId w:val="0"/>
        </w:numPr>
      </w:pPr>
      <w:r>
        <w:t>5.4 Estrutura funcional da plataforma</w:t>
      </w:r>
    </w:p>
    <w:p>
      <w:pPr>
        <w:pStyle w:val="TextoNormal-IPCA"/>
      </w:pPr>
      <w: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t>Esta organização modular permite distribuir as funcionalidades da plataforma, ao mesmo tempo que estrutura o processo de personalização como uma sequência legível de operações.</w:t>
      </w:r>
    </w:p>
    <w:p>
      <w:pPr>
        <w:pStyle w:val="TextoNormal-IPCA"/>
      </w:pPr>
      <w:r>
        <w:t xml:space="preserve"> </w:t>
      </w:r>
      <w: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rPr>
        <w:t>feedback</w:t>
      </w:r>
      <w:r>
        <w:t xml:space="preserve"> com decisão (Ozdemir et al., 2022; Peixoto et al., 2025).</w:t>
      </w:r>
    </w:p>
    <w:p>
      <w:pPr>
        <w:pStyle w:val="TextoNormal-IPCA"/>
      </w:pPr>
      <w: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t>A sua pertinência para esta dissertação reside em demonstrar que a parametrização ganha valor quando é mediada por uma interface acessível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7" name="Image 16" descr="Image 16"/>
                    <pic:cNvPicPr>
                      <a:picLocks noChangeAspect="1" noChangeArrowheads="1"/>
                    </pic:cNvPicPr>
                  </pic:nvPicPr>
                  <pic:blipFill>
                    <a:blip r:embed="rId117"/>
                    <a:stretch>
                      <a:fillRect/>
                    </a:stretch>
                  </pic:blipFill>
                  <pic:spPr bwMode="auto">
                    <a:xfrm>
                      <a:off x="0" y="0"/>
                      <a:ext cx="5579745" cy="4547492"/>
                    </a:xfrm>
                    <a:prstGeom prst="rect">
                      <a:avLst/>
                    </a:prstGeom>
                    <a:noFill/>
                  </pic:spPr>
                </pic:pic>
              </a:graphicData>
            </a:graphic>
          </wp:inline>
        </w:drawing>
      </w:r>
    </w:p>
    <w:p>
      <w:pPr>
        <w:pStyle w:val="Caption"/>
      </w:pPr>
      <w:r>
        <w:t>Figura 5.2 — Ferramenta paramétrica para configuração de ajudas técnicas com variação de dimensões, materiais e peso.</w:t>
      </w:r>
    </w:p>
    <w:p>
      <w:pPr>
        <w:pStyle w:val="Nota-IPCA"/>
      </w:pPr>
      <w:r>
        <w:t xml:space="preserve">Fonte original: Li, M., &amp; Aflatoony, L. (2025). Parametric design and three-dimensional printing: Enabling occupational therapists to develop custom hand grips. Disability and Rehabilitation: Assistive Technology, 20(6), 1829-1837. </w:t>
      </w:r>
      <w:hyperlink r:id="rId118">
        <w:r>
          <w:rPr>
            <w:rStyle w:val="Hyperlink"/>
          </w:rPr>
          <w:t>https://doi.org/10.1080/17483107.2025.2483953</w:t>
        </w:r>
      </w:hyperlink>
    </w:p>
    <w:p>
      <w:pPr>
        <w:pStyle w:val="TextoNormal-IPCA"/>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r>
        <w:t>STL ou 3MF</w:t>
      </w:r>
      <w:r/>
      <w: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TextoNormal-IPCA"/>
      </w:pPr>
      <w: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rPr>
        <w:t>human-in-the-loop</w:t>
      </w:r>
      <w:r>
        <w:t xml:space="preserve"> assumida no projeto.</w:t>
      </w:r>
    </w:p>
    <w:p>
      <w:pPr>
        <w:pStyle w:val="TextoNormal-IPCA"/>
      </w:pPr>
      <w:r>
        <w:t xml:space="preserve">A evolução posterior do módulo acrescentou uma ancoragem opcional em dados populacionais. Quando o </w:t>
      </w:r>
      <w:r>
        <w:rPr>
          <w:i/>
          <w:iCs/>
        </w:rPr>
        <w:t>frontend</w:t>
      </w:r>
      <w: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t>O bloco de referência é então anexado ao pedido enviado à IA como ponto de ancoragem quantitativo, permitindo orientar a sugestão paramétrica sem se sobrepor a medições diretamente fornecidas pelo utilizador.</w:t>
      </w:r>
      <w:r>
        <w:t xml:space="preserve"> </w:t>
      </w:r>
      <w:r>
        <w:t>Esta solução reforça a continuidade entre três formas de introdução de dados na plataforma: a seleção manual de um perfil populacional de referência, a importação de perfis antropométricos e a sugestão assistida por IA.</w:t>
      </w:r>
    </w:p>
    <w:p>
      <w:pPr>
        <w:pStyle w:val="TextoNormal-IPCA"/>
      </w:pPr>
      <w: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t>Funcionalmente, este módulo transforma a configuração de um ato momentâneo numa sequência acumulativa, na qual diferentes estados podem ser guardados, recuperados e comparados ao longo do processo</w:t>
      </w:r>
      <w: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TextoNormal-IPCA"/>
      </w:pPr>
      <w: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r>
        <w:t>da plataforma não se esgota na manipulação de parâmetros e na visualização de</w:t>
      </w:r>
      <w:r/>
      <w: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r>
        <w:t>proxy seguro</w:t>
      </w:r>
      <w:r/>
      <w:r>
        <w:t>, mas enquadra essa capacidade dentro de uma estrutura funcional mais ampla, em que configuração, supervisão e persistência coexistem como partes de um mesmo sistema operativo.</w:t>
      </w:r>
    </w:p>
    <w:p>
      <w:pPr>
        <w:pStyle w:val="TextoNormal-IPCA"/>
      </w:pPr>
      <w: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TextoNormal-IPCA"/>
      </w:pPr>
      <w:r>
        <w:t>No caso do Paraglider Hand, também conhecido como Flexible Flyer, a integração partiu de uma mão mecânica acionada pelo corpo, derivada da linhagem Phoenix e UnLimbited.</w:t>
      </w:r>
      <w:r/>
      <w: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TextoNormal-IPCA"/>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TextoNormal-IPCA"/>
      </w:pPr>
      <w: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r>
        <w:t>parâmetros de hardware</w:t>
      </w:r>
      <w:r/>
      <w: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Lei et al., 2016).</w:t>
      </w:r>
    </w:p>
    <w:p>
      <w:pPr>
        <w:pStyle w:val="TextoNormal-IPCA"/>
      </w:pPr>
      <w: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TextoNormal-IPCA"/>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TextoNormal-IPCA"/>
      </w:pPr>
      <w:r>
        <w:t xml:space="preserve">Do ponto de vista funcional, a persistência dessas configurações em estruturas </w:t>
      </w:r>
      <w:r>
        <w:t>JSON</w:t>
      </w:r>
      <w:r/>
      <w: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 xml:space="preserve">O recurso ao </w:t>
      </w:r>
      <w:r>
        <w:t>SQLite</w:t>
      </w:r>
      <w:r/>
      <w: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TextoNormal-IPCA"/>
      </w:pPr>
      <w: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TextoNormal-IPCA"/>
      </w:pPr>
      <w: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Heading1"/>
        <w:pageBreakBefore/>
        <w:numPr>
          <w:ilvl w:val="0"/>
          <w:numId w:val="0"/>
        </w:numPr>
      </w:pPr>
      <w:r>
        <w:t>Capítulo 6 — Integração da Inteligência Artificial</w:t>
      </w:r>
    </w:p>
    <w:p>
      <w:pPr>
        <w:pStyle w:val="Heading2"/>
        <w:numPr>
          <w:ilvl w:val="1"/>
          <w:numId w:val="0"/>
        </w:numPr>
      </w:pPr>
      <w:r>
        <w:t>6.1 Papel da IA no sistema proposto</w:t>
      </w:r>
    </w:p>
    <w:p>
      <w:pPr>
        <w:pStyle w:val="TextoNormal-IPCA"/>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TextoNormal-IPCA"/>
      </w:pPr>
      <w:r>
        <w:t xml:space="preserve">Os estudos consultados indicam que, no caso das próteses de membro superior, a aprendizagem automática tem sido aplicada sobretudo à classificação de sinais </w:t>
      </w:r>
      <w:r>
        <w:t>EMG</w:t>
      </w:r>
      <w:r/>
      <w: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TextoNormal-IPCA"/>
      </w:pPr>
      <w:r>
        <w:t xml:space="preserve">Em contrapartida, continuam pouco consolidadas as abordagens que articulam, no mesmo sistema, a entrada antropométrica, o modelo paramétrico explícito, a sugestão assistida de parâmetros e a supervisão técnica. </w:t>
      </w:r>
      <w:r>
        <w:t>Esta lacuna é central para a presente investigação, pois permite situar a proposta como uma articulação entre componentes que os estudos consultados tendem a desenvolver de forma fragmentada.</w:t>
      </w:r>
    </w:p>
    <w:p>
      <w:pPr>
        <w:pStyle w:val="TextoNormal-IPCA"/>
      </w:pPr>
      <w: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t xml:space="preserve"> (da Silveira Romero et al., 2025; Lim et al., 2018; Saldarriaga et al., 2024). </w:t>
      </w:r>
      <w:r>
        <w:t>O sistema aqui proposto parte precisamente desta premissa: a geometria não é gerada de forma opaca por um modelo autónomo, mas sim por um modelo paramétrico explícito, definido em OpenSCAD e manipulável por meio de parâmetros rastreáveis.</w:t>
      </w:r>
      <w:r/>
    </w:p>
    <w:p>
      <w:pPr>
        <w:pStyle w:val="TextoNormal-IPCA"/>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t xml:space="preserve">s </w:t>
      </w:r>
      <w:r>
        <w:rPr>
          <w:i/>
          <w:iCs/>
        </w:rPr>
        <w:t>data-driven</w:t>
      </w:r>
      <w:r>
        <w:rPr>
          <w:i/>
          <w:iCs/>
        </w:rPr>
      </w:r>
      <w:r>
        <w:t xml:space="preserve"> orientadas a melhorar a adaptação, o conforto e a adequação estrutural, sem eliminar a necessidade de interpretação humana (Gu et al., 2024).</w:t>
      </w:r>
    </w:p>
    <w:p>
      <w:pPr>
        <w:pStyle w:val="TextoNormal-IPCA"/>
      </w:pPr>
      <w:r>
        <w:t>No processo de desenvolvimento, a IA funciona como uma ferramenta de apoio à decisão e à iteração: propõe pontos de partida, ajuda a comparar cenários, acelera os ciclos de teste e permanece articulada com a estrutura técnica do sistema.</w:t>
      </w:r>
    </w:p>
    <w:p>
      <w:pPr>
        <w:pStyle w:val="TextoNormal-IPCA"/>
      </w:pPr>
      <w:r>
        <w:t xml:space="preserve">Entre os antecedentes mais próximos desta lógica encontram-se trabalhos que combinam personalização anatómica, modelação paramétrica, fabrico aditivo e componentes inteligentes, como o estudo de Romero et al. (2025), </w:t>
      </w:r>
      <w:r>
        <w:t>bem como modelos de otimização estrutural orientados por dados anatómicos e restrições de adaptação, como o proposto por Gu et al. (2024).</w:t>
      </w:r>
    </w:p>
    <w:p>
      <w:pPr>
        <w:pStyle w:val="TextoNormal-IPCA"/>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Elbreki et al., 2022; Idris et al., 2024). O valor da IA reside na sua capacidade de reforçar um processo de personalização já estruturado por lógica paramétrica explícita, por requisitos de fabrico e por responsabilidade humana e menos na promessa de automatização total.</w:t>
      </w:r>
    </w:p>
    <w:p>
      <w:pPr>
        <w:pStyle w:val="Heading2"/>
        <w:numPr>
          <w:ilvl w:val="1"/>
          <w:numId w:val="0"/>
        </w:numPr>
      </w:pPr>
      <w:r>
        <w:t>6.2 IA na parametrização, personalização e apoio à decisão</w:t>
      </w:r>
    </w:p>
    <w:p>
      <w:pPr>
        <w:pStyle w:val="TextoNormal-IPCA"/>
      </w:pPr>
      <w: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w:t>
      </w:r>
      <w:r>
        <w:t>Neste enquadramento, a IA amplia a capacidade de utilização do modelo paramétrico, ajudando a propor intervalos plausíveis, combinações coerentes entre variáveis e pontos de partida mais ajustados ao caso específico.</w:t>
      </w:r>
    </w:p>
    <w:p>
      <w:pPr>
        <w:pStyle w:val="TextoNormal-IPCA"/>
      </w:pPr>
      <w: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t>O estudo de Lim et al. (2018),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TextoNormal-IPCA"/>
      </w:pPr>
      <w:r>
        <w:t>De forma convergente, Gu et al. (2024)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TextoNormal-IPCA"/>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TextoNormal-IPCA"/>
      </w:pPr>
      <w:r>
        <w:t>No protótipo implementado, esta lógica é operacionalizada por pedidos construídos a partir da descrição livre e do esquema ativo do modelo. A IA não infere valores num espaço aberto: trabalha sobre uma gramática paramétrica previamente declarada e sujeita a filtragem posterior pela aplicação, podendo ainda ser ancorada em perfis populacionais quando existe correspondência.</w:t>
      </w:r>
    </w:p>
    <w:p>
      <w:pPr>
        <w:pStyle w:val="TextoNormal-IPCA"/>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TextoNormal-IPCA"/>
      </w:pPr>
      <w:r>
        <w:t>É por isso que, nesta investigação, a personalização assistida por IA deve ser entendida como uma prática de human-in-the-loop.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a aceitação final, porém, continua dependente de verificação técnica e de julgamento contextual.</w:t>
      </w:r>
    </w:p>
    <w:p>
      <w:pPr>
        <w:pStyle w:val="Heading2"/>
        <w:numPr>
          <w:ilvl w:val="1"/>
          <w:numId w:val="0"/>
        </w:numPr>
      </w:pPr>
      <w:r>
        <w:t>6.3 Validação antropométrica assistida por IA no sistema</w:t>
      </w:r>
    </w:p>
    <w:p>
      <w:pPr>
        <w:pStyle w:val="TextoNormal-IPCA"/>
      </w:pPr>
      <w:r>
        <w:t>A validação antropométrica assistida por IA realizada no sistema deve ser entendida como validação interna de plausibilidade e de coerência paramétrica, não como validação clínica da prótese final. 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TextoNormal-IPCA"/>
      </w:pPr>
      <w:r>
        <w:t>Metodologicamente, o ensaio verificou a continuidade entre descrição livre, esquema de parâmetros, sugestão JSON, filtragem de campos e aplicação dos valores ao modelo. A IA foi avaliada apenas dentro da gramática paramétrica do modelo ativo, com nomes, legendas, limites e valores correntes já declarados pela plataforma.</w:t>
      </w:r>
    </w:p>
    <w:p>
      <w:pPr>
        <w:pStyle w:val="TextoNormal-IPCA"/>
      </w:pPr>
      <w: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t>O quinto critério foi a lateralidade em casos de amputação unilateral, verificando se o parâmetro responsável pela inversão lateral gerava a mão correspondente ao lado amputado, e não uma réplica da mão medida.</w:t>
      </w:r>
    </w:p>
    <w:p>
      <w:pPr>
        <w:pStyle w:val="TextoNormal-IPCA"/>
      </w:pPr>
      <w:r>
        <w:t>Os ensaios foram organizados em dois conjuntos: cinco perfis sintéticos baseados em indicadores populacionais indiretos e três cenários de amputação unilateral com informação completa, parcial ou apenas demográfica. A etapa geométrica prolongou depois o teste até à exportação em STL e 3MF nos modelos Flexy Beast, Paraglider Hand e UnLimbited Phoenix.</w:t>
      </w:r>
    </w:p>
    <w:p>
      <w:pPr>
        <w:pStyle w:val="TextoNormal-IPCA"/>
      </w:pPr>
      <w:r>
        <w:t>Os resultados, incluindo a preservação de medições fornecidas, a estimativa de campos em falta, a variabilidade estocástica e a falha posterior de lateralidade, são apresentados e discutidos nas Secções 8.2 e 8.3. Nesta secção interessa apenas delimitar o alcance da validação: trata-se de um teste de coerência interna do fluxo entre linguagem natural, parâmetros e geometria, não de medição direta, prototipagem física ou validação clínica.</w:t>
      </w:r>
    </w:p>
    <w:p>
      <w:pPr>
        <w:pStyle w:val="Heading2"/>
        <w:numPr>
          <w:ilvl w:val="1"/>
          <w:numId w:val="0"/>
        </w:numPr>
      </w:pPr>
      <w:r>
        <w:t>6.4 Ajuste, validação e limitações éticas e técnicas</w:t>
      </w:r>
    </w:p>
    <w:p>
      <w:pPr>
        <w:pStyle w:val="TextoNormal-IPCA"/>
      </w:pPr>
      <w: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t>Por essa razão, os valores sugeridos pela IA devem ser entendidos como hipóteses operativas sujeitas a validação posterior, e não como prescrições definitivas.</w:t>
      </w:r>
    </w:p>
    <w:p>
      <w:pPr>
        <w:pStyle w:val="TextoNormal-IPCA"/>
      </w:pPr>
      <w: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t>(Panchal et al., 2019; Yüksel et al., 2023).</w:t>
      </w:r>
    </w:p>
    <w:p>
      <w:pPr>
        <w:pStyle w:val="TextoNormal-IPCA"/>
      </w:pPr>
      <w: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w:t>
      </w:r>
    </w:p>
    <w:p>
      <w:pPr>
        <w:pStyle w:val="Normal"/>
        <w:jc w:val="center"/>
      </w:pPr>
      <w:r>
        <w:drawing>
          <wp:inline distT="0" distB="0" distL="0" distR="0">
            <wp:extent cx="5579745" cy="195291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8" name="Image 17" descr="Image 17"/>
                    <pic:cNvPicPr>
                      <a:picLocks noChangeAspect="1" noChangeArrowheads="1"/>
                    </pic:cNvPicPr>
                  </pic:nvPicPr>
                  <pic:blipFill>
                    <a:blip r:embed="rId119"/>
                    <a:stretch>
                      <a:fillRect/>
                    </a:stretch>
                  </pic:blipFill>
                  <pic:spPr bwMode="auto">
                    <a:xfrm>
                      <a:off x="0" y="0"/>
                      <a:ext cx="5579745" cy="1952910"/>
                    </a:xfrm>
                    <a:prstGeom prst="rect">
                      <a:avLst/>
                    </a:prstGeom>
                    <a:noFill/>
                  </pic:spPr>
                </pic:pic>
              </a:graphicData>
            </a:graphic>
          </wp:inline>
        </w:drawing>
      </w:r>
    </w:p>
    <w:p>
      <w:pPr>
        <w:pStyle w:val="Caption"/>
      </w:pPr>
      <w:r>
        <w:t>Figura 6.1 — Relação entre desafios de explicabilidade e princípios de IA responsável.</w:t>
      </w:r>
    </w:p>
    <w:p>
      <w:pPr>
        <w:pStyle w:val="TextoNormal-IPCA"/>
      </w:pPr>
      <w: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120">
        <w:r>
          <w:rPr>
            <w:rStyle w:val="Hyperlink"/>
          </w:rPr>
          <w:t>https://doi.org/10.1016/j.inffus.2019.12.012</w:t>
        </w:r>
      </w:hyperlink>
    </w:p>
    <w:p>
      <w:pPr>
        <w:pStyle w:val="TextoNormal-IPCA"/>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TextoNormal-IPCA"/>
      </w:pPr>
      <w: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TextoNormal-IPCA"/>
      </w:pPr>
      <w: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TextoNormal-IPCA"/>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1"/>
        <w:pageBreakBefore/>
        <w:numPr>
          <w:ilvl w:val="0"/>
          <w:numId w:val="0"/>
        </w:numPr>
      </w:pPr>
      <w:r>
        <w:t>Capítulo 7 — Interface, Interação e Experiência de Utilização</w:t>
      </w:r>
    </w:p>
    <w:p>
      <w:pPr>
        <w:pStyle w:val="Heading2"/>
        <w:numPr>
          <w:ilvl w:val="1"/>
          <w:numId w:val="0"/>
        </w:numPr>
      </w:pPr>
      <w:r>
        <w:t>7.1 Estratégia de interação e decisões de UI/UX</w:t>
      </w:r>
    </w:p>
    <w:p>
      <w:pPr>
        <w:pStyle w:val="TextoNormal-IPCA"/>
      </w:pPr>
      <w: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TextoNormal-IPCA"/>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Peixoto et al., 2025).</w:t>
      </w:r>
    </w:p>
    <w:p>
      <w:pPr>
        <w:pStyle w:val="TextoNormal-IPCA"/>
      </w:pPr>
      <w: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rPr>
        <w:t>feedback</w:t>
      </w:r>
      <w: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Quintero et al., 2018).</w:t>
      </w:r>
    </w:p>
    <w:p>
      <w:pPr>
        <w:pStyle w:val="TextoNormal-IPCA"/>
      </w:pPr>
      <w: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r>
        <w:t>UI/UX</w:t>
      </w:r>
      <w:r/>
      <w: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TextoNormal-IPCA"/>
      </w:pPr>
      <w: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TextoNormal-IPCA"/>
      </w:pPr>
      <w: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pStyle w:val="TextoNormal-IPCA"/>
      </w:pPr>
      <w:r>
        <w:t>A interface privilegia a clareza operacional em relação à exuberância formal, em coerência com o contexto do projeto: trata-se de uma ferramenta de configuração protésica, e não de um configurador lúdico ou promocional.</w:t>
      </w:r>
    </w:p>
    <w:p>
      <w:pPr>
        <w:pStyle w:val="TextoNormal-IPCA"/>
      </w:pPr>
      <w: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Quintero et al., 2018).</w:t>
      </w:r>
    </w:p>
    <w:p>
      <w:pPr>
        <w:pStyle w:val="TextoNormal-IPCA"/>
      </w:pPr>
      <w: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TextoNormal-IPCA"/>
      </w:pPr>
      <w: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Heading2"/>
        <w:numPr>
          <w:ilvl w:val="1"/>
          <w:numId w:val="0"/>
        </w:numPr>
      </w:pPr>
      <w:r>
        <w:t>7.2 Experiência do designer e do utilizador final</w:t>
      </w:r>
    </w:p>
    <w:p>
      <w:pPr>
        <w:pStyle w:val="TextoNormal-IPCA"/>
      </w:pPr>
      <w: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TextoNormal-IPCA"/>
      </w:pPr>
      <w: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t>Em contrapartida, quando a configuração incide sobre preferências de controlo, clareza do sistema ou aspetos estéticos que o utilizador consegue avaliar diretamente, a sua participação torna-se mais substantiva.</w:t>
      </w:r>
    </w:p>
    <w:p>
      <w:pPr>
        <w:pStyle w:val="TextoNormal-IPCA"/>
      </w:pPr>
      <w: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Saldarriaga et al., 2024).</w:t>
      </w:r>
    </w:p>
    <w:p>
      <w:pPr>
        <w:pStyle w:val="TextoNormal-IPCA"/>
      </w:pPr>
      <w: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w:t>
      </w:r>
      <w: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TextoNormal-IPCA"/>
      </w:pPr>
      <w: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t>A interface contribui, assim, para tornar a adaptação menos distante do utilizador, apresentando-a como um processo parcialmente observável, compreensível e passível de acompanhamento.</w:t>
      </w:r>
    </w:p>
    <w:p>
      <w:pPr>
        <w:pStyle w:val="TextoNormal-IPCA"/>
      </w:pPr>
      <w:r>
        <w:t xml:space="preserve">Quando a aceitação de uma prótese não depende apenas do desempenho funcional, mas também da perceção de adequação, de participação e de controlo sobre o resultado, este aspecto assume relevância. </w:t>
      </w:r>
      <w:r>
        <w:t>Os estudos analisados sugerem, de forma consistente, que a clareza com que o sistema comunica o seu funcionamento influencia a experiência de utilização.</w:t>
      </w:r>
    </w:p>
    <w:p>
      <w:pPr>
        <w:pStyle w:val="TextoNormal-IPCA"/>
      </w:pPr>
      <w:r>
        <w:t>Quando a plataforma torna mais visíveis os efeitos das ações, os limites das escolhas e a relação entre os dados introduzidos e o comportamento do modelo, reforça a facilidade de utilização e a confiança subjetiva.</w:t>
      </w:r>
    </w:p>
    <w:p>
      <w:pPr>
        <w:pStyle w:val="TextoNormal-IPCA"/>
      </w:pPr>
      <w: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t xml:space="preserve"> (Peixoto et al., 2025).</w:t>
      </w:r>
    </w:p>
    <w:p>
      <w:pPr>
        <w:pStyle w:val="TextoNormal-IPCA"/>
      </w:pPr>
      <w:r>
        <w:t xml:space="preserve">A diferença entre estes níveis de participação torna-se mais clara quando se consideram três domínios de personalização que os estudos analisados abordam de forma diferenciada. </w:t>
      </w:r>
      <w: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TextoNormal-IPCA"/>
      </w:pPr>
      <w: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9" name="Image 18" descr="Image 18"/>
                    <pic:cNvPicPr>
                      <a:picLocks noChangeAspect="1" noChangeArrowheads="1"/>
                    </pic:cNvPicPr>
                  </pic:nvPicPr>
                  <pic:blipFill>
                    <a:blip r:embed="rId121"/>
                    <a:stretch>
                      <a:fillRect/>
                    </a:stretch>
                  </pic:blipFill>
                  <pic:spPr bwMode="auto">
                    <a:xfrm>
                      <a:off x="0" y="0"/>
                      <a:ext cx="5038725" cy="4724400"/>
                    </a:xfrm>
                    <a:prstGeom prst="rect">
                      <a:avLst/>
                    </a:prstGeom>
                    <a:noFill/>
                  </pic:spPr>
                </pic:pic>
              </a:graphicData>
            </a:graphic>
          </wp:inline>
        </w:drawing>
      </w:r>
    </w:p>
    <w:p>
      <w:pPr>
        <w:pStyle w:val="Caption"/>
      </w:pPr>
      <w:r>
        <w:t>Figura 7.1 — Teste de uma prótese impressa em 3D com utilizador em contexto aplicado.</w:t>
      </w:r>
    </w:p>
    <w:p>
      <w:pPr>
        <w:pStyle w:val="Nota-IPCA"/>
      </w:pPr>
      <w:r>
        <w:t>Fonte original: Silva, L. A. da, Medola, F. O., Rodrigues, O. V., Rodrigues, A. C. T., &amp; Sandnes, F. E. (2018). Interdisciplinary-based development of user-friendly customized 3D printed upper limb prosthesis. Comunicação em conferência.</w:t>
      </w:r>
    </w:p>
    <w:p>
      <w:pPr>
        <w:pStyle w:val="TextoNormal-IPCA"/>
      </w:pPr>
      <w: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t>A utilização da plataforma deve ser entendida, por isso, como uma forma de organizar a intervenção dos diferentes participantes no processo de personalização, articulando decisões técnicas, acompanhamento pelo utilizador e mediação pela interface.</w:t>
      </w:r>
      <w: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w:t>
      </w:r>
      <w:r>
        <w:t>A distribuição diferenciada de acesso, interpretação e decisão conduz, assim, à questão seguinte: compreender de que modo a plataforma medeia o processo de design, para além de definir quem participa na sua utilização.</w:t>
      </w:r>
    </w:p>
    <w:p>
      <w:pPr>
        <w:pStyle w:val="Heading2"/>
        <w:numPr>
          <w:ilvl w:val="1"/>
          <w:numId w:val="0"/>
        </w:numPr>
      </w:pPr>
      <w:r>
        <w:t>7.3 Mediação do processo de design e reflexão crítica</w:t>
      </w:r>
    </w:p>
    <w:p>
      <w:pPr>
        <w:pStyle w:val="TextoNormal-IPCA"/>
      </w:pPr>
      <w: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TextoNormal-IPCA"/>
      </w:pPr>
      <w:r>
        <w:t>Neste sentido, a interface assume uma dimensão simultaneamente operacional e epistemológica, ao influenciar a forma como o problema é compreendido, como as alternativas são exploradas e como as decisões são justificadas.</w:t>
      </w:r>
    </w:p>
    <w:p>
      <w:pPr>
        <w:pStyle w:val="TextoNormal-IPCA"/>
      </w:pPr>
      <w: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TextoNormal-IPCA"/>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Alili et al., 2023).</w:t>
      </w:r>
    </w:p>
    <w:p>
      <w:pPr>
        <w:pStyle w:val="TextoNormal-IPCA"/>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TextoNormal-IPCA"/>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TextoNormal-IPCA"/>
      </w:pPr>
      <w:r>
        <w:t>Nesta perspetiva, a mediação digital participa na forma como as decisões de projeto são preparadas, avaliadas e justificadas. Esta observação conduz a uma reflexão crítica sobre o papel da plataforma no próprio processo de design.</w:t>
      </w:r>
    </w:p>
    <w:p>
      <w:pPr>
        <w:pStyle w:val="TextoNormal-IPCA"/>
      </w:pPr>
      <w: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Quintero et al., 2018; Bai et al., 2024).</w:t>
      </w:r>
    </w:p>
    <w:p>
      <w:pPr>
        <w:pStyle w:val="TextoNormal-IPCA"/>
      </w:pPr>
      <w:r>
        <w:t>A mediação do processo de design preserva a responsabilidade pelas decisões de projeto e a necessidade de validação técnica, reorganizando ambas num ambiente digital mais controlado e explícito.</w:t>
      </w:r>
    </w:p>
    <w:p>
      <w:pPr>
        <w:pStyle w:val="TextoNormal-IPCA"/>
      </w:pPr>
      <w: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TextoNormal-IPCA"/>
      </w:pPr>
      <w: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1"/>
        <w:pageBreakBefore/>
        <w:numPr>
          <w:ilvl w:val="0"/>
          <w:numId w:val="0"/>
        </w:numPr>
      </w:pPr>
      <w:r>
        <w:t>Capítulo 8 — Avaliação e Discussão</w:t>
      </w:r>
    </w:p>
    <w:p>
      <w:pPr>
        <w:pStyle w:val="Heading2"/>
        <w:numPr>
          <w:ilvl w:val="1"/>
          <w:numId w:val="0"/>
        </w:numPr>
      </w:pPr>
      <w:r>
        <w:t>8.1 Estratégia e critérios de avaliação</w:t>
      </w:r>
    </w:p>
    <w:p>
      <w:pPr>
        <w:pStyle w:val="TextoNormal-IPCA"/>
      </w:pPr>
      <w:r>
        <w:t>A avaliação do sistema foi organizada em torno de três níveis complementares: coerência técnica do modelo paramétrico, funcionamento da plataforma digital e plausibilidade das sugestões assistidas por IA.</w:t>
      </w:r>
    </w:p>
    <w:p>
      <w:pPr>
        <w:pStyle w:val="TextoNormal-IPCA"/>
      </w:pPr>
      <w:r>
        <w:t>Esta separação demonstrou-se necessária pois o projeto combina componentes de natureza distinta.</w:t>
      </w:r>
    </w:p>
    <w:p>
      <w:pPr>
        <w:pStyle w:val="TextoNormal-IPCA"/>
      </w:pPr>
      <w: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TextoNormal-IPCA"/>
      </w:pPr>
      <w: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TextoNormal-IPCA"/>
      </w:pPr>
      <w: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TextoNormal-IPCA"/>
      </w:pPr>
      <w: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TextoNormal-IPCA"/>
      </w:pPr>
      <w: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TextoNormal-IPCA"/>
      </w:pPr>
      <w: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w:t>
      </w:r>
    </w:p>
    <w:p>
      <w:pPr>
        <w:pStyle w:val="Normal"/>
        <w:jc w:val="center"/>
      </w:pPr>
      <w:r>
        <w:drawing>
          <wp:inline distT="0" distB="0" distL="0" distR="0">
            <wp:extent cx="5579745" cy="3487340"/>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0" name="Image 19" descr="Image 19"/>
                    <pic:cNvPicPr>
                      <a:picLocks noChangeAspect="1" noChangeArrowheads="1"/>
                    </pic:cNvPicPr>
                  </pic:nvPicPr>
                  <pic:blipFill>
                    <a:blip r:embed="rId122"/>
                    <a:stretch>
                      <a:fillRect/>
                    </a:stretch>
                  </pic:blipFill>
                  <pic:spPr bwMode="auto">
                    <a:xfrm>
                      <a:off x="0" y="0"/>
                      <a:ext cx="5579745" cy="3487340"/>
                    </a:xfrm>
                    <a:prstGeom prst="rect">
                      <a:avLst/>
                    </a:prstGeom>
                    <a:noFill/>
                  </pic:spPr>
                </pic:pic>
              </a:graphicData>
            </a:graphic>
          </wp:inline>
        </w:drawing>
      </w:r>
    </w:p>
    <w:p>
      <w:pPr>
        <w:pStyle w:val="Caption"/>
      </w:pPr>
      <w:r>
        <w:t>Figura 8.1 — Tarefas funcionais usadas em avaliação de prótese personalizada de membro superior.</w:t>
      </w:r>
    </w:p>
    <w:p>
      <w:pPr>
        <w:pStyle w:val="Nota-IPCA"/>
      </w:pPr>
      <w: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1"/>
          <w:numId w:val="0"/>
        </w:numPr>
      </w:pPr>
      <w:r>
        <w:t>8.2 Validação antropométrica das sugestões de IA</w:t>
      </w:r>
    </w:p>
    <w:p>
      <w:pPr>
        <w:pStyle w:val="TextoNormal-IPCA"/>
      </w:pPr>
      <w: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TextoNormal-IPCA"/>
      </w:pPr>
      <w: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TextoNormal-IPCA"/>
      </w:pPr>
      <w:r>
        <w:t>Nas cinco situações, a IA produziu JSON válido, usou apenas parâmetros existentes, respeitou os limites declarados do modelo e manteve a ordenação anatómica esperada entre os dedos.</w:t>
      </w:r>
    </w:p>
    <w:p>
      <w:pPr>
        <w:pStyle w:val="Caption"/>
      </w:pPr>
      <w:r>
        <w:t>Tabela 8.1 — Entradas/prompt utilizadas para criação dos perfis de validação antropométrica por IA</w:t>
      </w:r>
    </w:p>
    <w:tbl>
      <w:tblPr>
        <w:tblStyle w:val="Tabelacomgrelha"/>
        <w:tblW w:w="5000" w:type="pct"/>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extoNormal-IPCA"/>
            </w:pPr>
            <w:r>
              <w:rPr>
                <w:b/>
              </w:rPr>
              <w:t>Conjunto experimental</w:t>
            </w:r>
          </w:p>
        </w:tc>
        <w:tc>
          <w:tcPr>
            <w:tcW w:w="1927" w:type="dxa"/>
            <w:tcBorders/>
            <w:vAlign w:val="center"/>
          </w:tcPr>
          <w:p>
            <w:pPr>
              <w:pStyle w:val="TextoNormal-IPCA"/>
            </w:pPr>
            <w:r>
              <w:rPr>
                <w:b/>
              </w:rPr>
              <w:t>Tipo de perfil criado</w:t>
            </w:r>
          </w:p>
        </w:tc>
        <w:tc>
          <w:tcPr>
            <w:tcW w:w="2597" w:type="dxa"/>
            <w:tcBorders/>
            <w:vAlign w:val="center"/>
          </w:tcPr>
          <w:p>
            <w:pPr>
              <w:pStyle w:val="TextoNormal-IPCA"/>
            </w:pPr>
            <w:r>
              <w:rPr>
                <w:b/>
              </w:rPr>
              <w:t>Descrição usada como entrada</w:t>
            </w:r>
          </w:p>
        </w:tc>
        <w:tc>
          <w:tcPr>
            <w:tcW w:w="2595" w:type="dxa"/>
            <w:tcBorders/>
            <w:vAlign w:val="center"/>
          </w:tcPr>
          <w:p>
            <w:pPr>
              <w:pStyle w:val="TextoNormal-IPCA"/>
            </w:pPr>
            <w:r>
              <w:rPr>
                <w:b/>
              </w:rPr>
              <w:t>Finalidade da validação</w:t>
            </w:r>
          </w:p>
        </w:tc>
      </w:tr>
      <w:tr>
        <w:trPr/>
        <w:tc>
          <w:tcPr>
            <w:tcW w:w="1907" w:type="dxa"/>
            <w:tcBorders/>
            <w:vAlign w:val="center"/>
          </w:tcPr>
          <w:p>
            <w:pPr>
              <w:pStyle w:val="TextoNormal-IPCA"/>
            </w:pPr>
            <w:r>
              <w:t>Ensaio 1 — indicadores populacionais indiretos</w:t>
            </w:r>
          </w:p>
        </w:tc>
        <w:tc>
          <w:tcPr>
            <w:tcW w:w="1927" w:type="dxa"/>
            <w:tcBorders/>
            <w:vAlign w:val="center"/>
          </w:tcPr>
          <w:p>
            <w:pPr>
              <w:pStyle w:val="TextoNormal-IPCA"/>
            </w:pPr>
            <w:r>
              <w:t>Adulto masculino com dados demográficos e regionais</w:t>
            </w:r>
          </w:p>
        </w:tc>
        <w:tc>
          <w:tcPr>
            <w:tcW w:w="2597" w:type="dxa"/>
            <w:tcBorders/>
            <w:vAlign w:val="center"/>
          </w:tcPr>
          <w:p>
            <w:pPr>
              <w:pStyle w:val="TextoNormal-IPCA"/>
            </w:pPr>
            <w:r>
              <w:t>man, 28 years old, 82 kg, 180 cm height, Brazil, arm length 70 cm</w:t>
            </w:r>
          </w:p>
        </w:tc>
        <w:tc>
          <w:tcPr>
            <w:tcW w:w="2595" w:type="dxa"/>
            <w:tcBorders/>
            <w:vAlign w:val="center"/>
          </w:tcPr>
          <w:p>
            <w:pPr>
              <w:pStyle w:val="TextoNormal-IPCA"/>
            </w:pPr>
            <w:r>
              <w:t>Testar a inferência paramétrica sem medições diretas da mão</w:t>
            </w:r>
          </w:p>
        </w:tc>
      </w:tr>
      <w:tr>
        <w:trPr/>
        <w:tc>
          <w:tcPr>
            <w:tcW w:w="1907" w:type="dxa"/>
            <w:tcBorders/>
            <w:vAlign w:val="center"/>
          </w:tcPr>
          <w:p>
            <w:pPr>
              <w:pStyle w:val="TextoNormal-IPCA"/>
            </w:pPr>
            <w:r>
              <w:t>Ensaio 1 — indicadores populacionais indiretos</w:t>
            </w:r>
          </w:p>
        </w:tc>
        <w:tc>
          <w:tcPr>
            <w:tcW w:w="1927" w:type="dxa"/>
            <w:tcBorders/>
            <w:vAlign w:val="center"/>
          </w:tcPr>
          <w:p>
            <w:pPr>
              <w:pStyle w:val="TextoNormal-IPCA"/>
            </w:pPr>
            <w:r>
              <w:t>Criança do sexo feminino, com estrutura corporal pequena</w:t>
            </w:r>
          </w:p>
        </w:tc>
        <w:tc>
          <w:tcPr>
            <w:tcW w:w="2597" w:type="dxa"/>
            <w:tcBorders/>
            <w:vAlign w:val="center"/>
          </w:tcPr>
          <w:p>
            <w:pPr>
              <w:pStyle w:val="TextoNormal-IPCA"/>
            </w:pPr>
            <w:r>
              <w:t>girl, 10 years old, 32 kg, 138 cm height, Japan, small frame</w:t>
            </w:r>
          </w:p>
        </w:tc>
        <w:tc>
          <w:tcPr>
            <w:tcW w:w="2595" w:type="dxa"/>
            <w:tcBorders/>
            <w:vAlign w:val="center"/>
          </w:tcPr>
          <w:p>
            <w:pPr>
              <w:pStyle w:val="TextoNormal-IPCA"/>
            </w:pPr>
            <w:r>
              <w:t>Verificar o ajuste à idade e a redução das dimensões e dos componentes mecânicos</w:t>
            </w:r>
          </w:p>
        </w:tc>
      </w:tr>
      <w:tr>
        <w:trPr/>
        <w:tc>
          <w:tcPr>
            <w:tcW w:w="1907" w:type="dxa"/>
            <w:tcBorders/>
            <w:vAlign w:val="center"/>
          </w:tcPr>
          <w:p>
            <w:pPr>
              <w:pStyle w:val="TextoNormal-IPCA"/>
            </w:pPr>
            <w:r>
              <w:t>Ensaio 1 — indicadores populacionais indiretos</w:t>
            </w:r>
          </w:p>
        </w:tc>
        <w:tc>
          <w:tcPr>
            <w:tcW w:w="1927" w:type="dxa"/>
            <w:tcBorders/>
            <w:vAlign w:val="center"/>
          </w:tcPr>
          <w:p>
            <w:pPr>
              <w:pStyle w:val="TextoNormal-IPCA"/>
            </w:pPr>
            <w:r>
              <w:t>Mulher idosa com dados demográficos e regionais</w:t>
            </w:r>
          </w:p>
        </w:tc>
        <w:tc>
          <w:tcPr>
            <w:tcW w:w="2597" w:type="dxa"/>
            <w:tcBorders/>
            <w:vAlign w:val="center"/>
          </w:tcPr>
          <w:p>
            <w:pPr>
              <w:pStyle w:val="TextoNormal-IPCA"/>
            </w:pPr>
            <w:r>
              <w:t>woman, 65 years old, 68 kg, 160 cm height, Nigeria, arm length 62 cm</w:t>
            </w:r>
          </w:p>
        </w:tc>
        <w:tc>
          <w:tcPr>
            <w:tcW w:w="2595" w:type="dxa"/>
            <w:tcBorders/>
            <w:vAlign w:val="center"/>
          </w:tcPr>
          <w:p>
            <w:pPr>
              <w:pStyle w:val="TextoNormal-IPCA"/>
            </w:pPr>
            <w:r>
              <w:t>Avaliar a plausibilidade dos parâmetros num perfil adulto feminino e sénior</w:t>
            </w:r>
          </w:p>
        </w:tc>
      </w:tr>
      <w:tr>
        <w:trPr/>
        <w:tc>
          <w:tcPr>
            <w:tcW w:w="1907" w:type="dxa"/>
            <w:tcBorders/>
            <w:vAlign w:val="center"/>
          </w:tcPr>
          <w:p>
            <w:pPr>
              <w:pStyle w:val="TextoNormal-IPCA"/>
            </w:pPr>
            <w:r>
              <w:t>Ensaio 1 — indicadores populacionais indiretos</w:t>
            </w:r>
          </w:p>
        </w:tc>
        <w:tc>
          <w:tcPr>
            <w:tcW w:w="1927" w:type="dxa"/>
            <w:tcBorders/>
            <w:vAlign w:val="center"/>
          </w:tcPr>
          <w:p>
            <w:pPr>
              <w:pStyle w:val="TextoNormal-IPCA"/>
            </w:pPr>
            <w:r>
              <w:t>Adulto masculino com indicação qualitativa de mãos largas</w:t>
            </w:r>
          </w:p>
        </w:tc>
        <w:tc>
          <w:tcPr>
            <w:tcW w:w="2597" w:type="dxa"/>
            <w:tcBorders/>
            <w:vAlign w:val="center"/>
          </w:tcPr>
          <w:p>
            <w:pPr>
              <w:pStyle w:val="TextoNormal-IPCA"/>
            </w:pPr>
            <w:r>
              <w:t>man, 50 years old, 95 kg, 175 cm height, Germany, broad hands, arm length 66 cm</w:t>
            </w:r>
          </w:p>
        </w:tc>
        <w:tc>
          <w:tcPr>
            <w:tcW w:w="2595" w:type="dxa"/>
            <w:tcBorders/>
            <w:vAlign w:val="center"/>
          </w:tcPr>
          <w:p>
            <w:pPr>
              <w:pStyle w:val="TextoNormal-IPCA"/>
            </w:pPr>
            <w:r>
              <w:t>Verificar a resposta do sistema a uma característica anatómica descrita qualitativamente</w:t>
            </w:r>
          </w:p>
        </w:tc>
      </w:tr>
      <w:tr>
        <w:trPr/>
        <w:tc>
          <w:tcPr>
            <w:tcW w:w="1907" w:type="dxa"/>
            <w:tcBorders/>
            <w:vAlign w:val="center"/>
          </w:tcPr>
          <w:p>
            <w:pPr>
              <w:pStyle w:val="TextoNormal-IPCA"/>
            </w:pPr>
            <w:r>
              <w:t>Ensaio 1 — indicadores populacionais indiretos</w:t>
            </w:r>
          </w:p>
        </w:tc>
        <w:tc>
          <w:tcPr>
            <w:tcW w:w="1927" w:type="dxa"/>
            <w:tcBorders/>
            <w:vAlign w:val="center"/>
          </w:tcPr>
          <w:p>
            <w:pPr>
              <w:pStyle w:val="TextoNormal-IPCA"/>
            </w:pPr>
            <w:r>
              <w:t>Adolescente masculino alto e magro</w:t>
            </w:r>
          </w:p>
        </w:tc>
        <w:tc>
          <w:tcPr>
            <w:tcW w:w="2597" w:type="dxa"/>
            <w:tcBorders/>
            <w:vAlign w:val="center"/>
          </w:tcPr>
          <w:p>
            <w:pPr>
              <w:pStyle w:val="TextoNormal-IPCA"/>
            </w:pPr>
            <w:r>
              <w:t>teenage boy, 15 years old, 60 kg, 168 cm height, India, slim build, arm length 67 cm</w:t>
            </w:r>
          </w:p>
        </w:tc>
        <w:tc>
          <w:tcPr>
            <w:tcW w:w="2595" w:type="dxa"/>
            <w:tcBorders/>
            <w:vAlign w:val="center"/>
          </w:tcPr>
          <w:p>
            <w:pPr>
              <w:pStyle w:val="TextoNormal-IPCA"/>
            </w:pPr>
            <w:r>
              <w:t>Testar a fronteira entre perfil pediátrico e dimensões próximas de adulto</w:t>
            </w:r>
          </w:p>
        </w:tc>
      </w:tr>
      <w:tr>
        <w:trPr/>
        <w:tc>
          <w:tcPr>
            <w:tcW w:w="1907" w:type="dxa"/>
            <w:tcBorders/>
            <w:vAlign w:val="center"/>
          </w:tcPr>
          <w:p>
            <w:pPr>
              <w:pStyle w:val="TextoNormal-IPCA"/>
            </w:pPr>
            <w:r>
              <w:t>Ensaio 2 — amputação unilateral</w:t>
            </w:r>
          </w:p>
        </w:tc>
        <w:tc>
          <w:tcPr>
            <w:tcW w:w="1927" w:type="dxa"/>
            <w:tcBorders/>
            <w:vAlign w:val="center"/>
          </w:tcPr>
          <w:p>
            <w:pPr>
              <w:pStyle w:val="TextoNormal-IPCA"/>
            </w:pPr>
            <w:r>
              <w:t>Entrada completa com medições da mão intacta</w:t>
            </w:r>
          </w:p>
        </w:tc>
        <w:tc>
          <w:tcPr>
            <w:tcW w:w="2597" w:type="dxa"/>
            <w:tcBorders/>
            <w:vAlign w:val="center"/>
          </w:tcPr>
          <w:p>
            <w:pPr>
              <w:pStyle w:val="TextoNormal-IPCA"/>
            </w:pPr>
            <w:r>
              <w:t>Medições completas da mão esquerda intacta: palma 84 mm; indicador 72 mm; médio 78 mm; anelar 75 mm; mínimo 58 mm; polegar 64 mm; prótese necessária para a mão direita</w:t>
            </w:r>
          </w:p>
        </w:tc>
        <w:tc>
          <w:tcPr>
            <w:tcW w:w="2595" w:type="dxa"/>
            <w:tcBorders/>
            <w:vAlign w:val="center"/>
          </w:tcPr>
          <w:p>
            <w:pPr>
              <w:pStyle w:val="TextoNormal-IPCA"/>
            </w:pPr>
            <w:r>
              <w:t>Confirmar a preservação dos valores fornecidos e a geração contralateral</w:t>
            </w:r>
          </w:p>
        </w:tc>
      </w:tr>
      <w:tr>
        <w:trPr/>
        <w:tc>
          <w:tcPr>
            <w:tcW w:w="1907" w:type="dxa"/>
            <w:tcBorders/>
            <w:vAlign w:val="center"/>
          </w:tcPr>
          <w:p>
            <w:pPr>
              <w:pStyle w:val="TextoNormal-IPCA"/>
            </w:pPr>
            <w:r>
              <w:t>Ensaio 2 — amputação unilateral</w:t>
            </w:r>
          </w:p>
        </w:tc>
        <w:tc>
          <w:tcPr>
            <w:tcW w:w="1927" w:type="dxa"/>
            <w:tcBorders/>
            <w:vAlign w:val="center"/>
          </w:tcPr>
          <w:p>
            <w:pPr>
              <w:pStyle w:val="TextoNormal-IPCA"/>
            </w:pPr>
            <w:r>
              <w:t>Entrada parcial com dados demográficos e uma medição direta</w:t>
            </w:r>
          </w:p>
        </w:tc>
        <w:tc>
          <w:tcPr>
            <w:tcW w:w="2597" w:type="dxa"/>
            <w:tcBorders/>
            <w:vAlign w:val="center"/>
          </w:tcPr>
          <w:p>
            <w:pPr>
              <w:pStyle w:val="TextoNormal-IPCA"/>
            </w:pPr>
            <w:r>
              <w:t>Homem, 40 anos; mão direita intacta; largura da palma 90 mm; prótese necessária para a mão esquerda</w:t>
            </w:r>
          </w:p>
        </w:tc>
        <w:tc>
          <w:tcPr>
            <w:tcW w:w="2595" w:type="dxa"/>
            <w:tcBorders/>
            <w:vAlign w:val="center"/>
          </w:tcPr>
          <w:p>
            <w:pPr>
              <w:pStyle w:val="TextoNormal-IPCA"/>
            </w:pPr>
            <w:r>
              <w:t>Confirmar a manutenção da medida fornecida e a estimativa proporcional dos campos em falta</w:t>
            </w:r>
          </w:p>
        </w:tc>
      </w:tr>
      <w:tr>
        <w:trPr/>
        <w:tc>
          <w:tcPr>
            <w:tcW w:w="1907" w:type="dxa"/>
            <w:tcBorders/>
            <w:vAlign w:val="center"/>
          </w:tcPr>
          <w:p>
            <w:pPr>
              <w:pStyle w:val="TextoNormal-IPCA"/>
            </w:pPr>
            <w:r>
              <w:t>Ensaio 2 — amputação unilateral</w:t>
            </w:r>
          </w:p>
        </w:tc>
        <w:tc>
          <w:tcPr>
            <w:tcW w:w="1927" w:type="dxa"/>
            <w:tcBorders/>
            <w:vAlign w:val="center"/>
          </w:tcPr>
          <w:p>
            <w:pPr>
              <w:pStyle w:val="TextoNormal-IPCA"/>
            </w:pPr>
            <w:r>
              <w:t>Entrada apenas demográfica</w:t>
            </w:r>
          </w:p>
        </w:tc>
        <w:tc>
          <w:tcPr>
            <w:tcW w:w="2597" w:type="dxa"/>
            <w:tcBorders/>
            <w:vAlign w:val="center"/>
          </w:tcPr>
          <w:p>
            <w:pPr>
              <w:pStyle w:val="TextoNormal-IPCA"/>
            </w:pPr>
            <w:r>
              <w:t>Mulher, 30 anos, asiática oriental, 158 cm; prótese necessária para a mão direita</w:t>
            </w:r>
          </w:p>
        </w:tc>
        <w:tc>
          <w:tcPr>
            <w:tcW w:w="2595" w:type="dxa"/>
            <w:tcBorders/>
            <w:vAlign w:val="center"/>
          </w:tcPr>
          <w:p>
            <w:pPr>
              <w:pStyle w:val="TextoNormal-IPCA"/>
            </w:pPr>
            <w:r>
              <w:t>Verificar a adaptação do sistema quando não existem medições diretas da mão</w:t>
            </w:r>
          </w:p>
        </w:tc>
      </w:tr>
    </w:tbl>
    <w:p>
      <w:pPr>
        <w:pStyle w:val="Nota-IPCA"/>
      </w:pPr>
      <w:r>
        <w:t>Fonte: elaboração própria a partir dos prompts registados no protocolo de validação antropométrica assistida por IA (</w:t>
      </w:r>
      <w:r>
        <w:t>docs/ai</w:t>
      </w:r>
      <w:r>
        <w:rPr>
          <w:i/>
        </w:rPr>
        <w:t>anthropometric</w:t>
      </w:r>
      <w:r>
        <w:t>validation.md</w:t>
      </w:r>
      <w:r>
        <w:t>) e nos metadados de execução dos ensaios (</w:t>
      </w:r>
      <w:r>
        <w:t>docs/</w:t>
      </w:r>
      <w:r>
        <w:rPr>
          <w:i/>
        </w:rPr>
        <w:t>-ai-sim/run-metadata.json</w:t>
      </w:r>
      <w:r>
        <w:t>). A coluna apresenta a entrada de paciente usada no prompt; o prompt completo incluía ainda o schema vivo do modelo, os intervalos permitidos e a instrução de devolver apenas JSON válido.</w:t>
      </w:r>
    </w:p>
    <w:p>
      <w:pPr>
        <w:pStyle w:val="TextoNormal-IPCA"/>
      </w:pPr>
      <w: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TextoNormal-IPCA"/>
      </w:pPr>
      <w: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TextoNormal-IPCA"/>
      </w:pPr>
      <w:r>
        <w:t>A falha, neste caso, estava na regra de teste demasiado rígida, e não na sugestão da IA.</w:t>
      </w:r>
    </w:p>
    <w:p>
      <w:pPr>
        <w:pStyle w:val="TextoNormal-IPCA"/>
      </w:pPr>
      <w: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Caption"/>
      </w:pPr>
      <w:r>
        <w:t>Tabela 8.2 — Síntese da validação antropométrica assistida por IA</w:t>
      </w:r>
    </w:p>
    <w:tbl>
      <w:tblPr>
        <w:tblStyle w:val="Tabelacomgrelha"/>
        <w:tblW w:w="5000" w:type="pct"/>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extoNormal-IPCA"/>
            </w:pPr>
            <w:r>
              <w:rPr>
                <w:b/>
              </w:rPr>
              <w:t>Eixo avaliado</w:t>
            </w:r>
          </w:p>
        </w:tc>
        <w:tc>
          <w:tcPr>
            <w:tcW w:w="3719" w:type="dxa"/>
            <w:tcBorders/>
            <w:vAlign w:val="center"/>
          </w:tcPr>
          <w:p>
            <w:pPr>
              <w:pStyle w:val="TextoNormal-IPCA"/>
            </w:pPr>
            <w:r>
              <w:rPr>
                <w:b/>
              </w:rPr>
              <w:t>Resultado observado</w:t>
            </w:r>
          </w:p>
        </w:tc>
        <w:tc>
          <w:tcPr>
            <w:tcW w:w="3009" w:type="dxa"/>
            <w:tcBorders/>
            <w:vAlign w:val="center"/>
          </w:tcPr>
          <w:p>
            <w:pPr>
              <w:pStyle w:val="TextoNormal-IPCA"/>
            </w:pPr>
            <w:r>
              <w:rPr>
                <w:b/>
              </w:rPr>
              <w:t>Interpretação</w:t>
            </w:r>
          </w:p>
        </w:tc>
      </w:tr>
      <w:tr>
        <w:trPr/>
        <w:tc>
          <w:tcPr>
            <w:tcW w:w="2298" w:type="dxa"/>
            <w:tcBorders/>
            <w:vAlign w:val="center"/>
          </w:tcPr>
          <w:p>
            <w:pPr>
              <w:pStyle w:val="TextoNormal-IPCA"/>
            </w:pPr>
            <w:r>
              <w:t>Conformidade com o esquema</w:t>
            </w:r>
          </w:p>
        </w:tc>
        <w:tc>
          <w:tcPr>
            <w:tcW w:w="3719" w:type="dxa"/>
            <w:tcBorders/>
            <w:vAlign w:val="center"/>
          </w:tcPr>
          <w:p>
            <w:pPr>
              <w:pStyle w:val="TextoNormal-IPCA"/>
            </w:pPr>
            <w:r>
              <w:t>Respostas interpretáveis, campos previstos e valores dentro dos limites definidos</w:t>
            </w:r>
          </w:p>
        </w:tc>
        <w:tc>
          <w:tcPr>
            <w:tcW w:w="3009" w:type="dxa"/>
            <w:tcBorders/>
            <w:vAlign w:val="center"/>
          </w:tcPr>
          <w:p>
            <w:pPr>
              <w:pStyle w:val="TextoNormal-IPCA"/>
            </w:pPr>
            <w:r>
              <w:t>O esquema de parâmetros reduziu a ocorrência de sugestões inválidas</w:t>
            </w:r>
          </w:p>
        </w:tc>
      </w:tr>
      <w:tr>
        <w:trPr/>
        <w:tc>
          <w:tcPr>
            <w:tcW w:w="2298" w:type="dxa"/>
            <w:tcBorders/>
            <w:vAlign w:val="center"/>
          </w:tcPr>
          <w:p>
            <w:pPr>
              <w:pStyle w:val="TextoNormal-IPCA"/>
            </w:pPr>
            <w:r>
              <w:t>Proporcionalidade digital</w:t>
            </w:r>
          </w:p>
        </w:tc>
        <w:tc>
          <w:tcPr>
            <w:tcW w:w="3719" w:type="dxa"/>
            <w:tcBorders/>
            <w:vAlign w:val="center"/>
          </w:tcPr>
          <w:p>
            <w:pPr>
              <w:pStyle w:val="TextoNormal-IPCA"/>
            </w:pPr>
            <w:r>
              <w:t>Dedo médio mais longo, dedo mínimo mais curto e polegar inferior ao dedo médio</w:t>
            </w:r>
          </w:p>
        </w:tc>
        <w:tc>
          <w:tcPr>
            <w:tcW w:w="3009" w:type="dxa"/>
            <w:tcBorders/>
            <w:vAlign w:val="center"/>
          </w:tcPr>
          <w:p>
            <w:pPr>
              <w:pStyle w:val="TextoNormal-IPCA"/>
            </w:pPr>
            <w:r>
              <w:t>As principais relações anatómicas entre os dedos foram preservadas</w:t>
            </w:r>
          </w:p>
        </w:tc>
      </w:tr>
      <w:tr>
        <w:trPr/>
        <w:tc>
          <w:tcPr>
            <w:tcW w:w="2298" w:type="dxa"/>
            <w:tcBorders/>
            <w:vAlign w:val="center"/>
          </w:tcPr>
          <w:p>
            <w:pPr>
              <w:pStyle w:val="TextoNormal-IPCA"/>
            </w:pPr>
            <w:r>
              <w:t>Entradas completas</w:t>
            </w:r>
          </w:p>
        </w:tc>
        <w:tc>
          <w:tcPr>
            <w:tcW w:w="3719" w:type="dxa"/>
            <w:tcBorders/>
            <w:vAlign w:val="center"/>
          </w:tcPr>
          <w:p>
            <w:pPr>
              <w:pStyle w:val="TextoNormal-IPCA"/>
            </w:pPr>
            <w:r>
              <w:t>Medições fornecidas mantidas sem alteração</w:t>
            </w:r>
          </w:p>
        </w:tc>
        <w:tc>
          <w:tcPr>
            <w:tcW w:w="3009" w:type="dxa"/>
            <w:tcBorders/>
            <w:vAlign w:val="center"/>
          </w:tcPr>
          <w:p>
            <w:pPr>
              <w:pStyle w:val="TextoNormal-IPCA"/>
            </w:pPr>
            <w:r>
              <w:t>A IA preservou os valores diretamente declarados pelo utilizador</w:t>
            </w:r>
          </w:p>
        </w:tc>
      </w:tr>
      <w:tr>
        <w:trPr/>
        <w:tc>
          <w:tcPr>
            <w:tcW w:w="2298" w:type="dxa"/>
            <w:tcBorders/>
            <w:vAlign w:val="center"/>
          </w:tcPr>
          <w:p>
            <w:pPr>
              <w:pStyle w:val="TextoNormal-IPCA"/>
            </w:pPr>
            <w:r>
              <w:t>Entradas parciais</w:t>
            </w:r>
          </w:p>
        </w:tc>
        <w:tc>
          <w:tcPr>
            <w:tcW w:w="3719" w:type="dxa"/>
            <w:tcBorders/>
            <w:vAlign w:val="center"/>
          </w:tcPr>
          <w:p>
            <w:pPr>
              <w:pStyle w:val="TextoNormal-IPCA"/>
            </w:pPr>
            <w:r>
              <w:t>Campos em falta estimados a partir da medida fornecida</w:t>
            </w:r>
          </w:p>
        </w:tc>
        <w:tc>
          <w:tcPr>
            <w:tcW w:w="3009" w:type="dxa"/>
            <w:tcBorders/>
            <w:vAlign w:val="center"/>
          </w:tcPr>
          <w:p>
            <w:pPr>
              <w:pStyle w:val="TextoNormal-IPCA"/>
            </w:pPr>
            <w:r>
              <w:t>O sistema combinou dados explícitos com referências populacionais</w:t>
            </w:r>
          </w:p>
        </w:tc>
      </w:tr>
      <w:tr>
        <w:trPr/>
        <w:tc>
          <w:tcPr>
            <w:tcW w:w="2298" w:type="dxa"/>
            <w:tcBorders/>
            <w:vAlign w:val="center"/>
          </w:tcPr>
          <w:p>
            <w:pPr>
              <w:pStyle w:val="TextoNormal-IPCA"/>
            </w:pPr>
            <w:r>
              <w:t>Entradas apenas demográficas</w:t>
            </w:r>
          </w:p>
        </w:tc>
        <w:tc>
          <w:tcPr>
            <w:tcW w:w="3719" w:type="dxa"/>
            <w:tcBorders/>
            <w:vAlign w:val="center"/>
          </w:tcPr>
          <w:p>
            <w:pPr>
              <w:pStyle w:val="TextoNormal-IPCA"/>
            </w:pPr>
            <w:r>
              <w:t>Conjunto completo e plausível de parâmetros</w:t>
            </w:r>
          </w:p>
        </w:tc>
        <w:tc>
          <w:tcPr>
            <w:tcW w:w="3009" w:type="dxa"/>
            <w:tcBorders/>
            <w:vAlign w:val="center"/>
          </w:tcPr>
          <w:p>
            <w:pPr>
              <w:pStyle w:val="TextoNormal-IPCA"/>
            </w:pPr>
            <w:r>
              <w:t>O fluxo gerou um ponto de partida para utilizadores sem domínio técnico</w:t>
            </w:r>
          </w:p>
        </w:tc>
      </w:tr>
      <w:tr>
        <w:trPr/>
        <w:tc>
          <w:tcPr>
            <w:tcW w:w="2298" w:type="dxa"/>
            <w:tcBorders/>
            <w:vAlign w:val="center"/>
          </w:tcPr>
          <w:p>
            <w:pPr>
              <w:pStyle w:val="TextoNormal-IPCA"/>
            </w:pPr>
            <w:r>
              <w:t>Lateralidade</w:t>
            </w:r>
          </w:p>
        </w:tc>
        <w:tc>
          <w:tcPr>
            <w:tcW w:w="3719" w:type="dxa"/>
            <w:tcBorders/>
            <w:vAlign w:val="center"/>
          </w:tcPr>
          <w:p>
            <w:pPr>
              <w:pStyle w:val="TextoNormal-IPCA"/>
            </w:pPr>
            <w:r>
              <w:t>Correta nos cenários iniciais, mas inconsistente em pedidos explícitos de mão esquerda na avaliação centrada no utilizador</w:t>
            </w:r>
          </w:p>
        </w:tc>
        <w:tc>
          <w:tcPr>
            <w:tcW w:w="3009" w:type="dxa"/>
            <w:tcBorders/>
            <w:vAlign w:val="center"/>
          </w:tcPr>
          <w:p>
            <w:pPr>
              <w:pStyle w:val="TextoNormal-IPCA"/>
            </w:pPr>
            <w:r>
              <w:t>A lateralidade passou a ser controlada pela interface e excluída das sugestões da IA</w:t>
            </w:r>
          </w:p>
        </w:tc>
      </w:tr>
    </w:tbl>
    <w:p>
      <w:pPr>
        <w:pStyle w:val="TextoNormal-IPCA"/>
      </w:pPr>
      <w: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2"/>
        <w:numPr>
          <w:ilvl w:val="1"/>
          <w:numId w:val="0"/>
        </w:numPr>
      </w:pPr>
      <w:r>
        <w:t>8.3 Validação geométrica entre modelos</w:t>
      </w:r>
    </w:p>
    <w:p>
      <w:pPr>
        <w:pStyle w:val="TextoNormal-IPCA"/>
      </w:pPr>
      <w: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Caption"/>
      </w:pPr>
      <w:r>
        <w:t>Tabela 8.3 — Modelos e mecanismos de escala avaliados</w:t>
      </w:r>
    </w:p>
    <w:tbl>
      <w:tblPr>
        <w:tblStyle w:val="Tabelacomgrelha"/>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Fiel ao modelo original, mas inadequado para mãos pequenas</w:t>
            </w:r>
          </w:p>
        </w:tc>
      </w:tr>
    </w:tbl>
    <w:p>
      <w:pPr>
        <w:pStyle w:val="TextoNormal-IPCA"/>
      </w:pPr>
      <w:r>
        <w:t>Nota: os rácios apresentados são adimensionais. Um valor de 1,000 corresponde à dimensão do baseline; valores inferiores indicam redução e valores superiores indicam aumento face ao modelo de referência.</w:t>
      </w:r>
    </w:p>
    <w:p>
      <w:pPr>
        <w:pStyle w:val="TextoNormal-IPCA"/>
      </w:pPr>
      <w: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Caption"/>
      </w:pPr>
      <w:r>
        <w:t>Tabela 8.4 — Rácio adimensional da maior dimensão da palma exportada face ao baseline</w:t>
      </w:r>
    </w:p>
    <w:tbl>
      <w:tblPr>
        <w:tblStyle w:val="Tabelacomgrelha"/>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rPr>
                <w:b/>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rPr>
                <w:b/>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Baseline</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1,000</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1,000</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Criança</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0,761</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0,747</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0,932</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0,928</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TextoNormal-IPCA"/>
            </w:pPr>
            <w:r>
              <w:t>1,148</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1,157</w:t>
            </w:r>
          </w:p>
        </w:tc>
        <w:tc>
          <w:tcPr>
            <w:tcW w:w="2257" w:type="dxa"/>
            <w:tcBorders>
              <w:top w:val="single" w:sz="4" w:space="0" w:color="808080"/>
              <w:left w:val="single" w:sz="4" w:space="0" w:color="808080"/>
              <w:bottom w:val="single" w:sz="4" w:space="0" w:color="808080"/>
              <w:right w:val="single" w:sz="4" w:space="0" w:color="808080"/>
            </w:tcBorders>
          </w:tcPr>
          <w:p>
            <w:pPr>
              <w:pStyle w:val="TextoNormal-IPCA"/>
            </w:pPr>
            <w:r>
              <w:t>1,171</w:t>
            </w:r>
          </w:p>
        </w:tc>
      </w:tr>
    </w:tbl>
    <w:p>
      <w:pPr>
        <w:pStyle w:val="TextoNormal-IPCA"/>
      </w:pPr>
      <w: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TextoNormal-IPCA"/>
      </w:pPr>
      <w:r>
        <w:t>A correção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pPr>
      <w:r>
        <w:t>Esta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2"/>
        <w:numPr>
          <w:ilvl w:val="1"/>
          <w:numId w:val="0"/>
        </w:numPr>
      </w:pPr>
      <w:r>
        <w:t>8.4 Discussão dos resultados face aos objetivos</w:t>
      </w:r>
    </w:p>
    <w:p>
      <w:pPr>
        <w:pStyle w:val="TextoNormal-IPCA"/>
      </w:pPr>
      <w: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TextoNormal-IPCA"/>
      </w:pPr>
      <w: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TextoNormal-IPCA"/>
      </w:pPr>
      <w:r>
        <w:t>A avaliação também delimita os limites do sistema: as sugestões de IA não devem ser lidas como prescrições fixas, a validação interna não substitui referência clínica direta e cada modelo mantém constrangimentos geométricos próprios. O caso da lateralidade, discutido na Secção 8.2, evidencia a necessidade de deslocar decisões críticas para controlos explícitos da interface. Consequentemente, os resultados são promissores enquanto validação de coerência interna e de acessibilidade paramétrica, mas permanecem preliminares enquanto validação protésica.</w:t>
      </w:r>
    </w:p>
    <w:p>
      <w:pPr>
        <w:pStyle w:val="TextoNormal-IPCA"/>
      </w:pPr>
      <w:r>
        <w:t>A principal conclusão metodológica é que a robustez do sistema depende menos da presença isolada da IA do que da qualidade das regras, limites e mecanismos de validação que enquadram a sua atuação. O esquema de parâmetros, os limites declarados, a filtragem dos campos devolvidos, a ancoragem populacional, a renderização e a exportação formam uma cadeia de verificações que reduz riscos de parâmetros inválidos, lateralidade inferida ou escalas incompatíveis com o modelo físico.</w:t>
      </w:r>
    </w:p>
    <w:p>
      <w:pPr>
        <w:pStyle w:val="Heading1"/>
        <w:pageBreakBefore/>
        <w:numPr>
          <w:ilvl w:val="0"/>
          <w:numId w:val="0"/>
        </w:numPr>
      </w:pPr>
      <w:r>
        <w:t>Capítulo 9 — Conclusões e Trabalhos Futuros</w:t>
      </w:r>
    </w:p>
    <w:p>
      <w:pPr>
        <w:pStyle w:val="Heading2"/>
        <w:numPr>
          <w:ilvl w:val="1"/>
          <w:numId w:val="0"/>
        </w:numPr>
      </w:pPr>
      <w:r>
        <w:t>9.1 Síntese dos principais contributos</w:t>
      </w:r>
    </w:p>
    <w:p>
      <w:pPr>
        <w:pStyle w:val="TextoNormal-IPCA"/>
      </w:pPr>
      <w: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TextoNormal-IPCA"/>
      </w:pPr>
      <w: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TextoNormal-IPCA"/>
      </w:pPr>
      <w: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TextoNormal-IPCA"/>
      </w:pPr>
      <w: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TextoNormal-IPCA"/>
      </w:pPr>
      <w: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TextoNormal-IPCA"/>
      </w:pPr>
      <w:r>
        <w:t>Quarto, a avaliação centrada no utilizador mostrou que a acessibilidade paramétrica depende também das salvaguardas da interface. Entradas vagas e formuladas em diferentes línguas foram tratadas com robustez, mas decisões críticas, como lateralidade, adequação do modelo escolhido e proveniência das estimativas, exigem controlos explícitos para evitar confiança excessiva no resultado.</w:t>
      </w:r>
    </w:p>
    <w:p>
      <w:pPr>
        <w:pStyle w:val="TextoNormal-IPCA"/>
      </w:pPr>
      <w: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TextoNormal-IPCA"/>
      </w:pPr>
      <w: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Heading2"/>
        <w:numPr>
          <w:ilvl w:val="1"/>
          <w:numId w:val="0"/>
        </w:numPr>
      </w:pPr>
      <w:r>
        <w:t>9.2 Contributos para o Design Industrial</w:t>
      </w:r>
    </w:p>
    <w:p>
      <w:pPr>
        <w:pStyle w:val="TextoNormal-IPCA"/>
      </w:pPr>
      <w: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TextoNormal-IPCA"/>
      </w:pPr>
      <w:r>
        <w:t>Esta abordagem reforça o papel do designer como mediador entre dados, tecnologia, fabrico e experiência humana.</w:t>
      </w:r>
    </w:p>
    <w:p>
      <w:pPr>
        <w:pStyle w:val="TextoNormal-IPCA"/>
      </w:pPr>
      <w: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TextoNormal-IPCA"/>
      </w:pPr>
      <w: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rPr>
        <w:t>human-in-the-loop</w:t>
      </w:r>
      <w:r>
        <w:t>, articulada com regras explícitas, dados antropométricos, visualização, exportação e revisão técnica.</w:t>
      </w:r>
    </w:p>
    <w:p>
      <w:pPr>
        <w:pStyle w:val="Heading2"/>
        <w:numPr>
          <w:ilvl w:val="1"/>
          <w:numId w:val="0"/>
        </w:numPr>
      </w:pPr>
      <w:r>
        <w:t>9.3 Limitações e perspetivas de desenvolvimento futuro</w:t>
      </w:r>
    </w:p>
    <w:p>
      <w:pPr>
        <w:pStyle w:val="TextoNormal-IPCA"/>
      </w:pPr>
      <w: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TextoNormal-IPCA"/>
      </w:pPr>
      <w:r>
        <w:t>A componente de IA exige desenvolvimento adicional. A saída deve ser validada por esquema JSON no servidor, prevendo-se a repetição automática do pedido sempre que a resposta se afaste da estrutura definida.</w:t>
      </w:r>
    </w:p>
    <w:p>
      <w:pPr>
        <w:pStyle w:val="TextoNormal-IPCA"/>
      </w:pPr>
      <w: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TextoNormal-IPCA"/>
      </w:pPr>
      <w: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TextoNormal-IPCA"/>
      </w:pPr>
      <w: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TtulosPrembulo-IPCA"/>
        <w:pageBreakBefore/>
        <w:numPr>
          <w:ilvl w:val="0"/>
          <w:numId w:val="0"/>
        </w:numPr>
      </w:pPr>
      <w:r>
        <w:t>Referências Bibliográficas</w:t>
      </w:r>
    </w:p>
    <w:p>
      <w:pPr>
        <w:pStyle w:val="Bibliography"/>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pPr>
      <w:r>
        <w:t>Albin, T., &amp; Molenbroek, J. F. M. (2023). Introduction to the special issue, anthropometry in design. https://repository.tudelft.nl/file/Fileda5bfdc9-98bc-41d3-a402-553d5f0d0a63</w:t>
      </w:r>
    </w:p>
    <w:p>
      <w:pPr>
        <w:pStyle w:val="Bibliography"/>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pPr>
      <w:r>
        <w:t>ASTM International. (2024). Standard guide for assessing fit accommodation of exoskeletons for manufacturers and designers. https://www.astm.org/f3661-24.html</w:t>
      </w:r>
    </w:p>
    <w:p>
      <w:pPr>
        <w:pStyle w:val="Bibliography"/>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pPr>
      <w:r>
        <w:t>Bates, T., Fergason, J., &amp; Pierrie, S. N. (2020). Technological advances in prosthesis design and rehabilitation following upper extremity limb loss. https://www.semanticscholar.org/paper/905056ffa9fa963e8df8b974d90b94c05a5f7e29</w:t>
      </w:r>
    </w:p>
    <w:p>
      <w:pPr>
        <w:pStyle w:val="Bibliography"/>
      </w:pPr>
      <w:r>
        <w:t>Bradtmiller, B. (2022). Design for all, design for disabled: How important is anthropometry? https://researchonline.jcu.edu.au/76898/</w:t>
      </w:r>
    </w:p>
    <w:p>
      <w:pPr>
        <w:pStyle w:val="Bibliography"/>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pPr>
      <w:r>
        <w:t>Kaygan, H., &amp; Kaygan, P. (2025). Clients and carers: Healthcare professionals’ roles in medical device development processes in SMEs. The Design Journal, 28(2), 213-231. https://doi.org/10.1080/14606925.2024.2420152</w:t>
      </w:r>
    </w:p>
    <w:p>
      <w:pPr>
        <w:pStyle w:val="Bibliography"/>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pPr>
      <w:r>
        <w:t>Colombo, G., Facoetti, G., Rizzi, C., &amp; Vitali, A. (2015). Low cost hand-tracking devices to design customized medical devices. Interacción. https://doi.org/10.1007/978-3-319-21067-436</w:t>
      </w:r>
    </w:p>
    <w:p>
      <w:pPr>
        <w:pStyle w:val="Bibliography"/>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pPr>
      <w:r>
        <w:t>Engdahl, S., Gonzalez, M. A., Lee, C., &amp; Gates, D. H. (2024). Perspectives on the comparative benefits of body-powered and myoelectric upper limb prostheses. https://jneuroengrehab.biomedcentral.com/counter/pdf/10.1186/s12984-024-01436-4</w:t>
      </w:r>
    </w:p>
    <w:p>
      <w:pPr>
        <w:pStyle w:val="Bibliography"/>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pPr>
      <w:r>
        <w:t>Fink, C., &amp; Diamond, Y. (2023). Prosthesis options and management in upper extremity amputation. https://www.semanticscholar.org/paper/3532a770446eb6144ef25a6b0162d1f98b61e0ff</w:t>
      </w:r>
    </w:p>
    <w:p>
      <w:pPr>
        <w:pStyle w:val="Bibliography"/>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pPr>
      <w:r>
        <w:t>Kandikjan, T., Djokikj, J., Mircheski, I., &amp; Angeleska, E. (2022). Integrating parametric design and additive manufacturing knowledge in industrial design education. https://www.semanticscholar.org/paper/7d28a8c124ef0a3599dd937791a3f3e093775ac0</w:t>
      </w:r>
    </w:p>
    <w:p>
      <w:pPr>
        <w:pStyle w:val="Bibliography"/>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pPr>
      <w:r>
        <w:t>Lei, N., Yao, X., Moon, S. K., &amp; Bi, G. (2016). An additive manufacturing process model for product family design. https://dr.ntu.edu.sg/bitstream/10356/83735/1/An%20additive%20manufacturing%20process%20model%20for%20product%20family%20design.pdf</w:t>
      </w:r>
    </w:p>
    <w:p>
      <w:pPr>
        <w:pStyle w:val="Bibliography"/>
      </w:pPr>
      <w:r>
        <w:t>Lindell, E., Tingsvik, H., Guo, L., &amp; Peterson, J. (2021). 3D body scan as anthropometric tool for individualized prosthetic socks. https://sciendo.com/pdf/10.2478/aut-2021-0007</w:t>
      </w:r>
    </w:p>
    <w:p>
      <w:pPr>
        <w:pStyle w:val="Bibliography"/>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pPr>
      <w:r>
        <w:t>Peixoto, S., Martins, N., Miranda, D., Matos, D., &amp; Carvalho, V. (2025). The design process in the development of an online platform for personalizing wearable prostheses: A preliminary approach. Designs, 9(2), 39. https://doi.org/10.3390/designs9020039</w:t>
      </w:r>
    </w:p>
    <w:p>
      <w:pPr>
        <w:pStyle w:val="Bibliography"/>
      </w:pPr>
      <w:r>
        <w:t>Parlamento Europeu, &amp; Conselho da União Europeia. (2017). Regulation (EU) 2017/745 of the European Parliament and of the Council of 5 April 2017 on medical devices. https://eur-lex.europa.eu/eli/reg/2017/745/oj</w:t>
      </w:r>
    </w:p>
    <w:p>
      <w:pPr>
        <w:pStyle w:val="Bibliography"/>
      </w:pPr>
      <w:r>
        <w:t>Chapman, K., Allen, C., &amp; Kendall, E. (2025). Methods for co-designing health communication initiatives with people with disability: A scoping review. Health Communication. https://doi.org/10.1080/10810730.2025.2462679</w:t>
      </w:r>
    </w:p>
    <w:p>
      <w:pPr>
        <w:pStyle w:val="Bibliography"/>
      </w:pPr>
      <w:r>
        <w:t>Clarkson, J., &amp; Coleman, R. (2010). Inclusive design. Design Studies. https://doi.org/10.1080/09544821003693689</w:t>
      </w:r>
    </w:p>
    <w:p>
      <w:pPr>
        <w:pStyle w:val="Bibliography"/>
      </w:pPr>
      <w:r>
        <w:t>Chtioui, N., Gaha, R., &amp; Benamara, A. (2023). Design for additive manufacturing: Review and framework proposal. https://sei.ardascience.com/index.php/journal/article/download/185/169</w:t>
      </w:r>
    </w:p>
    <w:p>
      <w:pPr>
        <w:pStyle w:val="Bibliography"/>
      </w:pPr>
      <w:r>
        <w:t>Fisher, M., &amp; Johansen, E. (2020). Human-centered design for medical devices and diagnostics in global health. https://www.semanticscholar.org/paper/89c3c6bd56f4d0b54f5da3e3c96f18e815d9f5d4</w:t>
      </w:r>
    </w:p>
    <w:p>
      <w:pPr>
        <w:pStyle w:val="Bibliography"/>
      </w:pPr>
      <w:r>
        <w:t>Millet, A., Akle, A. A., &amp; Legardeur, J. (2018). Human centred criteria for healthcare design. https://www.semanticscholar.org/paper/267b655f123f4f167f1f9e7e6c8a1f17f73a73d0</w:t>
      </w:r>
    </w:p>
    <w:p>
      <w:pPr>
        <w:pStyle w:val="Bibliography"/>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pPr>
      <w:r>
        <w:t>Resnik, L., Klinger, S. L., Krauthamer, V., &amp; Barnabe, K. (2010). U.S. Food and Drug Administration regulation of prosthetic research, development, and testing. https://www.semanticscholar.org/paper/71e1fef52dde69cbcea4f62c709f7c6689f9463d</w:t>
      </w:r>
    </w:p>
    <w:p>
      <w:pPr>
        <w:pStyle w:val="Bibliography"/>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pPr>
      <w:r>
        <w:t>Segura, D., Romero, E., Abarca, V. E., &amp; Elías, D. A. (2024). Upper limb prostheses by the level of amputation: A systematic review. Prosthesis, 6(2), 22. https://www.mdpi.com/2673-1592/6/2/22/pdf?version=1710818539</w:t>
      </w:r>
    </w:p>
    <w:p>
      <w:pPr>
        <w:pStyle w:val="Bibliography"/>
      </w:pPr>
      <w:r>
        <w:t>Smail, L. C., Neal, C., Wilkins, C., &amp; Packham, T. (2020). Comfort and function remain key factors in upper limb prosthetic abandonment: Findings of a scoping review. https://www.semanticscholar.org/paper/b5eb3fd2414ebedaa5d2283451268fafa2db0a81</w:t>
      </w:r>
    </w:p>
    <w:p>
      <w:pPr>
        <w:pStyle w:val="Bibliography"/>
      </w:pPr>
      <w:r>
        <w:t>Soyer, K., Unver, B., Tamer, S., &amp; Ulger, O. (2016). The importance of rehabilitation concerning upper extremity amputees: A systematic review. https://pjms.com.pk/index.php/pjms/article/view/9922/4660</w:t>
      </w:r>
    </w:p>
    <w:p>
      <w:pPr>
        <w:pStyle w:val="Bibliography"/>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pPr>
      <w:r>
        <w:t>Shah, S., &amp; Robinson, I. (2006). User involvement in healthcare technology development and assessment: Structured literature review. https://www.semanticscholar.org/paper/299d5b2c1d65791cc4c9f2db76edf20f479adcbc</w:t>
      </w:r>
    </w:p>
    <w:p>
      <w:pPr>
        <w:pStyle w:val="Bibliography"/>
      </w:pPr>
      <w:r>
        <w:t>Silva, L. A. da, Medola, F. O., Rodrigues, O. V., Rodrigues, A. C. T., &amp; Sandnes, F. E. (2018). Interdisciplinary-based development of user-friendly customized 3D printed upper limb prosthesis. Comunicação em conferência.</w:t>
      </w:r>
    </w:p>
    <w:p>
      <w:pPr>
        <w:pStyle w:val="Bibliography"/>
      </w:pPr>
      <w:r>
        <w:t>Silva, R., Silva, B., Fernandes, C., Morouco, P., Alves, N., &amp; Veloso, A. (2024). A review on 3D scanners studies for producing customized orthoses. Sensors, 24(5), 1373. https://pmc.ncbi.nlm.nih.gov/articles/PMC10935386/pdf/sensors-24-01373.pdf</w:t>
      </w:r>
    </w:p>
    <w:p>
      <w:pPr>
        <w:pStyle w:val="Bibliography"/>
      </w:pPr>
      <w:r>
        <w:t>Story, M. (2006). Applying the principles of universal design to medical devices. https://www.semanticscholar.org/paper/d0d84425d517331607c9120290ed26d1bf2e1862</w:t>
      </w:r>
    </w:p>
    <w:p>
      <w:pPr>
        <w:pStyle w:val="Bibliography"/>
      </w:pPr>
      <w:r>
        <w:t>Stralen, M. V. (2018). Mass customization: A critical perspective on parametric design, digital fabrication and design democratization. https://www.semanticscholar.org/paper/a18f2c4d248e791d2a9b84f3cab268d5a377cc10</w:t>
      </w:r>
    </w:p>
    <w:p>
      <w:pPr>
        <w:pStyle w:val="Bibliography"/>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pPr>
      <w:r>
        <w:t>White, J., &amp; Mosca, E. I. (2022). Developing innovative solutions for universal design in healthcare and other sectors. https://www.semanticscholar.org/paper/df2bb0d53af547bd89b2c716933c2a544bf422b1</w:t>
      </w:r>
    </w:p>
    <w:p>
      <w:pPr>
        <w:pStyle w:val="Bibliography"/>
      </w:pPr>
      <w:r>
        <w:t>Wiberg, A., Persson, J., &amp; Ölvander, J. (2019). Design for additive manufacturing: A review of available design methods and software. https://www.semanticscholar.org/paper/e03bf769f344512519f1005baa1d6b83fe4fc8ed</w:t>
      </w:r>
    </w:p>
    <w:p>
      <w:pPr>
        <w:pStyle w:val="Bibliography"/>
      </w:pPr>
      <w:r>
        <w:t>Wilke, H., Badke-Schaub, P., &amp; Thoring, K. (2020). The healthcare design dilemma: Perils of a technology-driven design process for medical products. https://www.semanticscholar.org/paper/078781d9389d4618fc1b5db9347ab68ca7ef46d9</w:t>
      </w:r>
    </w:p>
    <w:p>
      <w:pPr>
        <w:pStyle w:val="Bibliography"/>
      </w:pPr>
      <w:r>
        <w:t>Walters, S., Seminati, E., Metcalfe, B., Bailey, N. Y., &amp; Pegg, E. C. (2025). Demystifying upper limb hybrid prostheses: A scoping review. https://www.semanticscholar.org/paper/d659aff9bb182a3c92377571973e6e077a3b1838</w:t>
      </w:r>
    </w:p>
    <w:p>
      <w:pPr>
        <w:pStyle w:val="Bibliography"/>
      </w:pPr>
      <w:r>
        <w:t>Yao, X., Moon, S. K., &amp; Bi, G. (2016). A cost-driven design methodology for additive manufactured variable platforms in product families. https://www.semanticscholar.org/paper/f7bc9dc2a80714c18ac068f45b99408b0f4fe65e</w:t>
      </w:r>
    </w:p>
    <w:p>
      <w:pPr>
        <w:pStyle w:val="Bibliography"/>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pPr>
      <w:r>
        <w:t>Burnap, A., Hauser, J., &amp; Timoshenko, A. (2019). Design and evaluation of product aesthetics: A human-machine hybrid approach. https://www.semanticscholar.org/paper/7a7994f2de74a61cbdeb3c230d1ee343a0d5e783</w:t>
      </w:r>
    </w:p>
    <w:p>
      <w:pPr>
        <w:pStyle w:val="Bibliography"/>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pPr>
      <w:r>
        <w:t>Figoli, F. A., Mattioli, F., &amp; Rampino, L. (2022). AI in design idea development: A workshop on creativity and human-AI collaboration. https://dl.designresearchsociety.org/cgi/viewcontent.cgi?article=2915&amp;context=drs-conference-papers</w:t>
      </w:r>
    </w:p>
    <w:p>
      <w:pPr>
        <w:pStyle w:val="Bibliography"/>
      </w:pPr>
      <w:r>
        <w:t>Idris, M. Z., Hashim, M. E. A. H. B., Albakry, N., &amp; Septian, N. (2024). Exploring the integration of artificial intelligence in co-design framework for designer. https://ebpj.e-iph.co.uk/index.php/EBProceedings/article/download/6348/3640</w:t>
      </w:r>
    </w:p>
    <w:p>
      <w:pPr>
        <w:pStyle w:val="Bibliography"/>
      </w:pPr>
      <w:r>
        <w:t>Kadenhe, N., Al Musleh, M., &amp; Lompot, A. (2025). Human-AI co-design and co-creation: A review of emerging approaches, challenges, and future directions. https://www.semanticscholar.org/paper/61c04706b7af0be5be4b0d15f595d4ab41874d12</w:t>
      </w:r>
    </w:p>
    <w:p>
      <w:pPr>
        <w:pStyle w:val="Bibliography"/>
      </w:pPr>
      <w:r>
        <w:t>Khanolkar, P., Vrolijk, A., &amp; Olechowski, A. (2023). Mapping artificial intelligence-based methods to engineering design stages: A focused literature review. https://www.semanticscholar.org/paper/4d63443d45e1a7156c5972ef009ed07bb0650117</w:t>
      </w:r>
    </w:p>
    <w:p>
      <w:pPr>
        <w:pStyle w:val="Bibliography"/>
      </w:pPr>
      <w:r>
        <w:t>Krahe, C., Bräunche, A., Jacob, A., Stricker, N., &amp; Lanza, G. (2020). Deep learning for automated product design. https://www.semanticscholar.org/paper/a5b9b4f63805f2b1773bc8214b29e38dbac27975</w:t>
      </w:r>
    </w:p>
    <w:p>
      <w:pPr>
        <w:pStyle w:val="Bibliography"/>
      </w:pPr>
      <w:r>
        <w:t>Li, X., Demirel, H., Goldstein, M., &amp; Sha, Z. (2021). Exploring generative design thinking for engineering design and design education. https://peer.asee.org/38349.pdf</w:t>
      </w:r>
    </w:p>
    <w:p>
      <w:pPr>
        <w:pStyle w:val="Bibliography"/>
      </w:pPr>
      <w: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Bibliography"/>
      </w:pPr>
      <w:r>
        <w:t>Panchal, J. H., Fuge, M., Liu, Y., Missoum, S., &amp; Tucker, C. S. (2019). Special issue: Machine learning for engineering design. Journal of Mechanical Design. https://www.semanticscholar.org/paper/2c4f7ca9381db7debefe61d04da51f9e8e63d09d</w:t>
      </w:r>
    </w:p>
    <w:p>
      <w:pPr>
        <w:pStyle w:val="Bibliography"/>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pPr>
      <w:r>
        <w:t>Rezwana, J., &amp; Maher, M. (2022). Understanding user perceptions, collaborative experience, and user engagement in different human-AI interaction designs for co-creative systems. https://arxiv.org/pdf/2204.13217</w:t>
      </w:r>
    </w:p>
    <w:p>
      <w:pPr>
        <w:pStyle w:val="Bibliography"/>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pPr>
      <w:r>
        <w:t>Verganti, R., Vendraminelli, L., &amp; Iansiti, M. (2020). Innovation and design in the age of artificial intelligence. https://onlinelibrary.wiley.com/doi/pdfdirect/10.1111/jpim.12523</w:t>
      </w:r>
    </w:p>
    <w:p>
      <w:pPr>
        <w:pStyle w:val="Bibliography"/>
      </w:pPr>
      <w:r>
        <w:t>Virós-i-Martin, A., &amp; Selva, D. (2021). A framework to study human-AI collaborative design space exploration. https://www.semanticscholar.org/paper/716be148371af443169531b0856ae07dfe400869</w:t>
      </w:r>
    </w:p>
    <w:p>
      <w:pPr>
        <w:pStyle w:val="Bibliography"/>
      </w:pPr>
      <w:r>
        <w:t>Wang, X., &amp; Hu, B. (2024). Machine learning algorithms for improved product design user experience. https://www.semanticscholar.org/paper/717e7ad25dcafec12f01b6732773bdf9c5a49661</w:t>
      </w:r>
    </w:p>
    <w:p>
      <w:pPr>
        <w:pStyle w:val="Bibliography"/>
      </w:pPr>
      <w:r>
        <w:t>Yüksel, N., Börklü, H. R., Sezer, H. K., &amp; Canyurt, O. (2023). Review of artificial intelligence applications in engineering design perspective. https://www.semanticscholar.org/paper/cd38b58edf6690459767097aca745a3806824236</w:t>
      </w:r>
    </w:p>
    <w:p>
      <w:pPr>
        <w:pStyle w:val="Bibliography"/>
      </w:pPr>
      <w:r>
        <w:t>Akasaka, M., Veeckman, C., Georges, A., Schuurman, D., &amp; Coorevits, L. (2022). A framework for configuring participation in living labs. https://www.semanticscholar.org/paper/305d55af5fda06b4d1b33e7d29c1f16d1b7ea488</w:t>
      </w:r>
    </w:p>
    <w:p>
      <w:pPr>
        <w:pStyle w:val="Bibliography"/>
      </w:pPr>
      <w:r>
        <w:t>Akyol, P., Barker, T., Hall, R., Morrissey, K., McCarthy, J., &amp; Mackley, K. L. (2021). DiaFit: Designing customizable wearables for Type 1 diabetes monitoring. https://www.semanticscholar.org/paper/ea18361f7564fb19db367899adb6295a07bfa05c</w:t>
      </w:r>
    </w:p>
    <w:p>
      <w:pPr>
        <w:pStyle w:val="Bibliography"/>
      </w:pPr>
      <w:r>
        <w:t>Cole, E. (2011). Patient-centered design: Interface personalization for individuals with brain injury.</w:t>
      </w:r>
    </w:p>
    <w:p>
      <w:pPr>
        <w:pStyle w:val="Bibliography"/>
      </w:pPr>
      <w:r>
        <w:t>Costabile, M. F., Fogli, D., Lanzilotti, R., Marcante, A., Mussio, P., Provenza, L. P., &amp; Piccinno, A. (2007). Meta-design to face co-evolution and communication gaps between users and designers.</w:t>
      </w:r>
    </w:p>
    <w:p>
      <w:pPr>
        <w:pStyle w:val="Bibliography"/>
      </w:pPr>
      <w:r>
        <w:t>Dechev, N., Penner, A., Barlow, I., Vukovic, G., &amp; Lalji, M. (2023). Accessible prosthetic arms: Victoria Hand Project and the impact of 3D printing.</w:t>
      </w:r>
    </w:p>
    <w:p>
      <w:pPr>
        <w:pStyle w:val="Bibliography"/>
      </w:pPr>
      <w:r>
        <w:t>Dexter, M., Crooks, E., Davies, P., &amp; Simm, W. (2013). Open design and cystic fibrosis: Enabling participation in the design process.</w:t>
      </w:r>
    </w:p>
    <w:p>
      <w:pPr>
        <w:pStyle w:val="Bibliography"/>
      </w:pPr>
      <w:r>
        <w:t>Fischer, G., Giaccardi, E., Ye, Y., Sutcliffe, A. G., &amp; Mehandjiev, N. (2004). Meta-design.</w:t>
      </w:r>
    </w:p>
    <w:p>
      <w:pPr>
        <w:pStyle w:val="Bibliography"/>
      </w:pPr>
      <w:r>
        <w:t>Fischer, G., Fogli, D., &amp; Piccinno, A. (2017). Revisiting and broadening the meta-design framework for end-user development.</w:t>
      </w:r>
    </w:p>
    <w:p>
      <w:pPr>
        <w:pStyle w:val="Bibliography"/>
      </w:pPr>
      <w:r>
        <w:t>Frangos, P., Mierdel, S., &amp; Koirala, S. (2016). Democratising design in scientific innovation: Application of an open value network to open source hardware design.</w:t>
      </w:r>
    </w:p>
    <w:p>
      <w:pPr>
        <w:pStyle w:val="Bibliography"/>
      </w:pPr>
      <w:r>
        <w:t>Franke, N., &amp; von Hippel, E. (2002). Satisfying heterogeneous user needs via innovation toolkits: The case of Apache security software.</w:t>
      </w:r>
    </w:p>
    <w:p>
      <w:pPr>
        <w:pStyle w:val="Bibliography"/>
      </w:pPr>
      <w:r>
        <w:t>Govender, R., Abrahmsén-Alami, S., Larsson, A., Borde, A., Liljeblad, A., &amp; Folestad, S. (2020). Independent tailoring of dose and drug release via a modularized product design concept for mass customization. Pharmaceutics.</w:t>
      </w:r>
    </w:p>
    <w:p>
      <w:pPr>
        <w:pStyle w:val="Bibliography"/>
      </w:pPr>
      <w:r>
        <w:t>Howard, D., Davies, L., Dwyer, A., &amp; Williams, J. (2022). Assessing the use of co-design to produce bespoke assistive technology solutions within a current healthcare service: A service evaluation.</w:t>
      </w:r>
    </w:p>
    <w:p>
      <w:pPr>
        <w:pStyle w:val="Bibliography"/>
      </w:pPr>
      <w:r>
        <w:t>Hippel, E. von, &amp; Katz, R. (2002). Shifting innovation to users via toolkits. Management Science, 48(7).</w:t>
      </w:r>
    </w:p>
    <w:p>
      <w:pPr>
        <w:pStyle w:val="Bibliography"/>
      </w:pPr>
      <w:r>
        <w:t>Hussaini, A., Kyberd, P., Mulindwa, B., Ssekitoleko, R., Keeble, W., Kenney, L., &amp; Howard, D. (2023). 3D printing in LMICs: Functional design for upper limb prosthetics in Uganda.</w:t>
      </w:r>
    </w:p>
    <w:p>
      <w:pPr>
        <w:pStyle w:val="Bibliography"/>
      </w:pPr>
      <w:r>
        <w:t>Kerr, A., Del Din, S., Clarkson, P. J., &amp; Rochester, L. (2024). A participatory model for cocreating accessible rehabilitation technology for stroke survivors: User-centered design approach.</w:t>
      </w:r>
    </w:p>
    <w:p>
      <w:pPr>
        <w:pStyle w:val="Bibliography"/>
      </w:pPr>
      <w:r>
        <w:t>Kuhl, M., Lutz, J., Krause, D., &amp; Vielhaber, M. (2020). Design of personalized devices: The tradeoff between individual value and personalization workload. Applied Sciences.</w:t>
      </w:r>
    </w:p>
    <w:p>
      <w:pPr>
        <w:pStyle w:val="Bibliography"/>
      </w:pPr>
      <w:r>
        <w:t>Mikołajewski, D., Rojek, I., Kotlarz, P., Dorożyński, J., &amp; Kopowski, J. (2023). Personalization of the 3D-printed upper limb exoskeleton design: Mechanical and IT aspects. Applied Sciences.</w:t>
      </w:r>
    </w:p>
    <w:p>
      <w:pPr>
        <w:pStyle w:val="Bibliography"/>
      </w:pPr>
      <w:r>
        <w:t>Peters, C., &amp; Richter, P. (2023). Individualizing patient pathways through modularization: Design and evaluation of healthcare-specific modularization parameters.</w:t>
      </w:r>
    </w:p>
    <w:p>
      <w:pPr>
        <w:pStyle w:val="Bibliography"/>
      </w:pPr>
      <w:r>
        <w:t>Seregni, F., Arlati, S., Colombo, V., Spoladore, D., Greci, L., Pedroli, E., Serino, S., Cipresso, P., Goulene, K., Stroulia, E., Rizzo, A., &amp; Sacco, M. (2021). Virtual coaching for rehabilitation: The participatory design experience of the vCare Project.</w:t>
      </w:r>
    </w:p>
    <w:p>
      <w:pPr>
        <w:pStyle w:val="Bibliography"/>
      </w:pPr>
      <w:r>
        <w:t>Sims, T., Cranny, A., Metcalf, C., Chappell, P., &amp; Donovan-Hall, M. (2017). Participatory design of pediatric upper limb prostheses: Qualitative methods and prototyping.</w:t>
      </w:r>
    </w:p>
    <w:p>
      <w:pPr>
        <w:pStyle w:val="Bibliography"/>
      </w:pPr>
      <w:r>
        <w:t>Thorsen, R., Hansen, A. H., &amp; Nilsen, E. R. (2023). From patient to maker: A workflow including people with cerebral palsy in co-creating assistive devices using 3D printing technologies.</w:t>
      </w:r>
    </w:p>
    <w:p>
      <w:pPr>
        <w:pStyle w:val="Bibliography"/>
      </w:pPr>
      <w:r>
        <w:t>Zhu, Z., &amp; Zhong, R. Y. (2022). A digital twin enabled wearable device for customized healthcare.</w:t>
      </w:r>
    </w:p>
    <w:p>
      <w:pPr>
        <w:pStyle w:val="Bibliography"/>
      </w:pPr>
      <w:r>
        <w:t>Alluhydan, A., Alsaadi, S., Almutairi, A., &amp; Alharbi, A. (2023). Functionality and comfort design of lower-limb prosthetics: A review.</w:t>
      </w:r>
    </w:p>
    <w:p>
      <w:pPr>
        <w:pStyle w:val="Bibliography"/>
      </w:pPr>
      <w:r>
        <w:t>Anderson, C. B., Stephens, A. R., Scully, A., Pasquina, P. F., &amp; Highsmith, M. J. (2024). A narrative review of prosthesis design decision making after lower-limb amputation for developing shared decision-making resources.</w:t>
      </w:r>
    </w:p>
    <w:p>
      <w:pPr>
        <w:pStyle w:val="Bibliography"/>
      </w:pPr>
      <w:r>
        <w:t>Andrysek, J. (2010). Lower-limb prosthetic technologies in the developing world: A review of literature from 1994-2010.</w:t>
      </w:r>
    </w:p>
    <w:p>
      <w:pPr>
        <w:pStyle w:val="Bibliography"/>
      </w:pPr>
      <w:r>
        <w:t>Baldock, C., Greaves, M., Chockalingam, N., &amp; Kark, L. (2023). Adjustable prosthetic sockets: A systematic review of industrial and research design characteristics and their justifications.</w:t>
      </w:r>
    </w:p>
    <w:p>
      <w:pPr>
        <w:pStyle w:val="Bibliography"/>
      </w:pPr>
      <w:r>
        <w:t>Baumann, C., &amp; Maria, P. (2023). Improving access to prosthetic limbs in Germany: An explorative review.</w:t>
      </w:r>
    </w:p>
    <w:p>
      <w:pPr>
        <w:pStyle w:val="Bibliography"/>
      </w:pPr>
      <w:r>
        <w:t>Chadwell, A., Kenney, L., Thies, S., Galpin, A., &amp; Head, J. (2020). Technology for monitoring everyday prosthesis use: A systematic review.</w:t>
      </w:r>
    </w:p>
    <w:p>
      <w:pPr>
        <w:pStyle w:val="Bibliography"/>
      </w:pPr>
      <w:r>
        <w:t>Cordella, F., Ciancio, A. L., Sacchetti, R., Davalli, A., Cutti, A. G., Guglielmelli, E., &amp; Zollo, L. (2016). Literature review on needs of upper limb prosthesis users.</w:t>
      </w:r>
    </w:p>
    <w:p>
      <w:pPr>
        <w:pStyle w:val="Bibliography"/>
      </w:pPr>
      <w:r>
        <w:t>Domínguez-Ruiz, M., Ráez-Ballesteros, E., &amp; Castillo-Castañeda, E. (2023). Low limb prostheses and complex human prosthetic interaction: A systematic literature review.</w:t>
      </w:r>
    </w:p>
    <w:p>
      <w:pPr>
        <w:pStyle w:val="Bibliography"/>
      </w:pPr>
      <w:r>
        <w:t>Ghillebert, J., Schoukens, J., &amp; Vanderborght, B. (2019). Guidelines and recommendations to investigate the efficacy of a lower-limb prosthetic device: A systematic review.</w:t>
      </w:r>
    </w:p>
    <w:p>
      <w:pPr>
        <w:pStyle w:val="Bibliography"/>
      </w:pPr>
      <w:r>
        <w:t>Hafner, B. J., &amp; Sawers, A. B. (2016). Issues affecting the level of prosthetics research evidence: Secondary analysis of a systematic review.</w:t>
      </w:r>
    </w:p>
    <w:p>
      <w:pPr>
        <w:pStyle w:val="Bibliography"/>
      </w:pPr>
      <w:r>
        <w:t>Manz, S. M., Menges, M. M., Schaffernicht, E., Mattes, K., &amp; Kannenberg, A. (2022). A review of user needs to inform the development of lower-limb prostheses.</w:t>
      </w:r>
    </w:p>
    <w:p>
      <w:pPr>
        <w:pStyle w:val="Bibliography"/>
      </w:pPr>
      <w:r>
        <w:t>Marinelli, M., Putrino, D., Stella, F., &amp; Guglielmelli, E. (2022). Active upper limb prostheses: A review on current state and upcoming breakthroughs.</w:t>
      </w:r>
    </w:p>
    <w:p>
      <w:pPr>
        <w:pStyle w:val="Bibliography"/>
      </w:pPr>
      <w:r>
        <w:t>Richardson, C., &amp; Dillon, M. P. (2017). User experience of transtibial prosthetic liners: A systematic review.</w:t>
      </w:r>
    </w:p>
    <w:p>
      <w:pPr>
        <w:pStyle w:val="Bibliography"/>
      </w:pPr>
      <w:r>
        <w:t>Samuelsson, K. A. M., Töytäri, O., Salminen, A.-L., &amp; Brandt, Å. (2012). Effects of lower limb prosthesis on activity, participation, and quality of life: A systematic review.</w:t>
      </w:r>
    </w:p>
    <w:p>
      <w:pPr>
        <w:pStyle w:val="Bibliography"/>
      </w:pPr>
      <w:r>
        <w:t>Walker, M., Paras, A., Boonstra, N., &amp; Murrup-Stewart, C. (2019). Towards including end-users in the design of prosthetic hands: Ethical analysis of a survey of Australians with upper-limb difference.</w:t>
      </w:r>
    </w:p>
    <w:p>
      <w:pPr>
        <w:pStyle w:val="Bibliography"/>
      </w:pPr>
      <w:r>
        <w:t>Windrich, M., Grimmer, M., Christ, O., Rinderknecht, S., &amp; Beckerle, P. (2016). Active lower limb prosthetics: A systematic review of design issues and solutions.</w:t>
      </w:r>
    </w:p>
    <w:p>
      <w:pPr>
        <w:pStyle w:val="Bibliography"/>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pPr>
      <w:r>
        <w:t>Chatzioglou, G. N., Pinar, Y., &amp; Govsa, F. (2024). Biometric analysis hand parameters in young adults for prosthetic hand and ergonomic product applications. Anatomy &amp; Cell Biology, 57, 172-182. https://doi.org/10.5115/acb.23.310</w:t>
      </w:r>
    </w:p>
    <w:p>
      <w:pPr>
        <w:pStyle w:val="Bibliography"/>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pPr>
      <w:r>
        <w:t>Nag, A., Nag, P. K., &amp; Desai, H. (2003). Hand anthropometry of Indian women. Indian Journal of Medical Research, 117, 260-269.</w:t>
      </w:r>
    </w:p>
    <w:p>
      <w:pPr>
        <w:pStyle w:val="Bibliography"/>
      </w:pPr>
      <w:r>
        <w:t>Rodríguez-Vega, G., &amp; Rodríguez-Vega, D. A. (2024). Normative data for the anthropometric hand dimensions of the Mexican population. European Public &amp; Social Innovation Review, 9, 1-15. https://doi.org/10.31637/epsir-2024-932</w:t>
      </w:r>
    </w:p>
    <w:p>
      <w:pPr>
        <w:pStyle w:val="Bibliography"/>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pPr>
      <w:r>
        <w:t>Hu, H., Li, Z., Yan, J., Wang, X., Xiao, H., Duan, J., &amp; Zheng, L. (2007). Anthropometric measurement of the Chinese elderly living in the Beijing area. International Journal of Industrial Ergonomics, 37(4), 303-311. https://doi.org/10.1016/j.ergon.2006.11.006</w:t>
      </w:r>
    </w:p>
    <w:p>
      <w:pPr>
        <w:pStyle w:val="Bibliography"/>
      </w:pPr>
      <w:r>
        <w:t>Mistarihi, M. Z. (2020). A data set on anthropometric measurements and degree of discomfort of physically disabled workers for ergonomic requirements in work space design. Data in Brief, 30, 105420. https://doi.org/10.1016/j.dib.2020.105420</w:t>
      </w:r>
    </w:p>
    <w:p>
      <w:pPr>
        <w:pStyle w:val="Bibliography"/>
      </w:pPr>
      <w:r>
        <w:t>Molenbroek, J. F. M. (1998). Geron study on Dutch elderly anthropometry. DINED database. Delft University of Technology. https://dined.io.tudelft.nl</w:t>
      </w:r>
    </w:p>
    <w:p>
      <w:pPr>
        <w:pStyle w:val="Bibliography"/>
      </w:pPr>
      <w:r>
        <w:t>Molenbroek, J. F. M., Kroon-Ramaekers, Y. M. T., &amp; Snijders, C. J. (2003). Revision of the Dutch standard for furniture in schools. Ergonomics, 46(5), 491-498. https://doi.org/10.1080/0014013031000085635</w:t>
      </w:r>
    </w:p>
    <w:p>
      <w:pPr>
        <w:pStyle w:val="Bibliography"/>
      </w:pPr>
      <w:r>
        <w:t>Steenbekkers, L. P. A., &amp; van Beijsterveldt, C. E. M. (Eds.). (1998). Design-relevant characteristics of ageing users. Delft University Press.</w:t>
      </w:r>
    </w:p>
    <w:p>
      <w:pPr>
        <w:pStyle w:val="Bibliography"/>
      </w:pPr>
      <w:r>
        <w:t>Cross, N. (1982). Designerly ways of knowing. Design Studies, 3(4), 221-227. https://doi.org/10.1016/0142-694X(82)90040-0</w:t>
      </w:r>
    </w:p>
    <w:p>
      <w:pPr>
        <w:pStyle w:val="Bibliography"/>
      </w:pPr>
      <w:r>
        <w:t>Design Council. (2020). Framework for innovation. https://www.designcouncil.org.uk/our-resources/framework-for-innovation/</w:t>
      </w:r>
    </w:p>
    <w:p>
      <w:pPr>
        <w:pStyle w:val="Bibliography"/>
      </w:pPr>
      <w:r>
        <w:t>Frayling, C. (1994). Research in art and design (Royal College of Art Research Papers, Vol. 1, No. 1, 1993/4). Royal College of Art.</w:t>
      </w:r>
    </w:p>
    <w:p>
      <w:pPr>
        <w:pStyle w:val="Bibliography"/>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pPr>
      <w:r>
        <w:t>Biddiss, E., Beaton, D., &amp; Chau, T. (2007). Consumer design priorities for upper limb prosthetics. Disability and Rehabilitation: Assistive Technology, 2(6), 346-357. https://doi.org/10.1080/17483100701714733</w:t>
      </w:r>
    </w:p>
    <w:p>
      <w:pPr>
        <w:pStyle w:val="Bibliography"/>
      </w:pPr>
      <w:r>
        <w:t>Brack, T., &amp; Amalu, E. H. (2021). A review of technology, materials and R&amp;D challenges of upper limb prosthesis for improved user suitability. Journal of Orthopaedics, 24, 88-96. https://doi.org/10.1016/j.jor.2021.03.011</w:t>
      </w:r>
    </w:p>
    <w:p>
      <w:pPr>
        <w:pStyle w:val="Bibliography"/>
      </w:pPr>
      <w:r>
        <w:t>Guo, M. (2025). Human-centered design strategies for prosthetics based on user needs. Interdisciplinary Humanities and Communication Studies, 1(1), 39-48.</w:t>
      </w:r>
    </w:p>
    <w:p>
      <w:pPr>
        <w:pStyle w:val="Bibliography"/>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pPr>
      <w:r>
        <w:t>Cabibihan, J.-J., Pattofatto, S., Jomaa, M., Benallal, A., &amp; Carrozza, M. C. (2018). A method for 3-D printing patient-specific prosthetic arms with high accuracy shape and size. IEEE Access, 6, 25029-25039. https://doi.org/10.1109/ACCESS.2018.2831907</w:t>
      </w:r>
    </w:p>
    <w:p>
      <w:pPr>
        <w:pStyle w:val="Bibliography"/>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pPr>
      <w:r>
        <w:t>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Bibliography"/>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pPr>
      <w:r>
        <w:t>Moreo, A. M. (2016). Parametric design of a 3D printable hand prosthesis for children in developing countries [Master's thesis, Delft University of Technology].</w:t>
      </w:r>
    </w:p>
    <w:p>
      <w:pPr>
        <w:pStyle w:val="Bibliography"/>
      </w:pPr>
      <w:r>
        <w:t>Romero, M., Sánchez, J., &amp; Álvarez, H. (2025). Development of parametric prostheses for different levels of human hand amputations manufactured through additive manufacturing. Applied Sciences, 15(3), 1124. https://doi.org/10.3390/app15031124</w:t>
      </w:r>
    </w:p>
    <w:p>
      <w:pPr>
        <w:pStyle w:val="Bibliography"/>
      </w:pPr>
      <w:r>
        <w:t>Machado, F., Malpica, N., &amp; Borromeo, S. (2019). Parametric CAD modeling for open source scientific hardware: Comparing OpenSCAD and FreeCAD Python scripts. PLOS ONE, 14(12), e0225795. https://doi.org/10.1371/journal.pone.0225795</w:t>
      </w:r>
    </w:p>
    <w:p>
      <w:pPr>
        <w:pStyle w:val="Bibliography"/>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pPr>
      <w:r>
        <w:t>Menaka, S., Raja A, W., Ramakrishnan, S., Karthikeswaran, D., Sridar, K., &amp; Sivaranjani, T. (2025). AI-driven computer-aided design (CAD) systems: Leveraging neural networks for optimized engineering product development. International Journal of Applied Mathematics, 38(5s).</w:t>
      </w:r>
    </w:p>
    <w:p>
      <w:pPr>
        <w:pStyle w:val="Bibliography"/>
      </w:pPr>
      <w:r>
        <w:t>Nilsiam, Y., &amp; Pearce, J. M. (2017). Free and open source 3-D model customizer for websites to democratize design with OpenSCAD. Designs, 1(1), 5. https://doi.org/10.3390/designs1010005</w:t>
      </w:r>
    </w:p>
    <w:p>
      <w:pPr>
        <w:pStyle w:val="Bibliography"/>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pPr>
      <w:r>
        <w:t>ten Kate, J., Smit, G., &amp; Breedveld, P. (2017). 3D-printed upper limb prostheses: A review. Disability and Rehabilitation: Assistive Technology, 12(3), 300-314. https://doi.org/10.1080/17483107.2016.1253117</w:t>
      </w:r>
    </w:p>
    <w:p>
      <w:pPr>
        <w:pStyle w:val="Bibliography"/>
      </w:pPr>
      <w:r>
        <w:t>Yu, A., Yick, K. L., Ng, S. P., &amp; Yip, J. (2013). 2D and 3D anatomical analyses of hand dimensions for custom-made gloves. Applied Ergonomics, 44, 381-392.</w:t>
      </w:r>
    </w:p>
    <w:p>
      <w:pPr>
        <w:pStyle w:val="Bibliography"/>
      </w:pPr>
      <w:r>
        <w:t xml:space="preserve">Base local consolidada de dados antropométricos da mão e do membro superior distal. (2026). [Conjunto de dados]. Material de apoio da investigação, </w:t>
      </w:r>
      <w:r>
        <w:t>material/antropometria/dados antropométricos/multi</w:t>
      </w:r>
      <w:r>
        <w:rPr>
          <w:i/>
        </w:rPr>
        <w:t>population</w:t>
      </w:r>
      <w:r>
        <w:t>hand.csv</w:t>
      </w:r>
      <w:r>
        <w:t>.</w:t>
      </w:r>
    </w:p>
    <w:p>
      <w:pPr>
        <w:pStyle w:val="Bibliography"/>
      </w:pPr>
      <w:r>
        <w:rPr>
          <w:b w:val="false"/>
          <w:i w:val="false"/>
        </w:rPr>
        <w:t xml:space="preserve">   </w:t>
      </w:r>
      <w:r>
        <w:rPr>
          <w:b w:val="false"/>
          <w:i w:val="false"/>
        </w:rPr>
        <w:t>Brack, R., &amp; Amalu, E. H. (2021). A review  of technology, materials and R&amp;D  challenges of upper limb prosthesis for  improved user suitability. Journal of</w:t>
      </w:r>
    </w:p>
    <w:p>
      <w:pPr>
        <w:pStyle w:val="Bibliography"/>
      </w:pPr>
      <w:r>
        <w:rPr>
          <w:b w:val="false"/>
          <w:i w:val="false"/>
        </w:rPr>
        <w:t xml:space="preserve">   </w:t>
      </w:r>
      <w:r>
        <w:rPr>
          <w:b w:val="false"/>
          <w:i w:val="false"/>
        </w:rPr>
        <w:t>Orthopaedics, 23, 88–96.  https://doi.org/10.1016/j.jor.2020.12.009</w:t>
      </w:r>
    </w:p>
    <w:p>
      <w:pPr>
        <w:pStyle w:val="TtulosPrembulo-IPCA"/>
        <w:pageBreakBefore/>
        <w:numPr>
          <w:ilvl w:val="0"/>
          <w:numId w:val="0"/>
        </w:numPr>
      </w:pPr>
      <w:r>
        <w:t>Anexo A — Metodologia de extração e codificação de dados antropométricos da mão</w:t>
      </w:r>
    </w:p>
    <w:p>
      <w:pPr>
        <w:pStyle w:val="Heading2"/>
        <w:numPr>
          <w:ilvl w:val="1"/>
          <w:numId w:val="0"/>
        </w:numPr>
      </w:pPr>
      <w:r>
        <w:t>A.1 Contexto e Objetivo</w:t>
      </w:r>
    </w:p>
    <w:p>
      <w:pPr>
        <w:pStyle w:val="Bibliography"/>
      </w:pPr>
      <w: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Bibliography"/>
      </w:pPr>
      <w:r>
        <w:t>Foram produzidos três ficheiros CSV complementares:</w:t>
      </w:r>
    </w:p>
    <w:p>
      <w:pPr>
        <w:pStyle w:val="Bibliography"/>
      </w:pPr>
      <w:r>
        <w:t xml:space="preserve">- </w:t>
      </w:r>
      <w:r>
        <w:t>ansur</w:t>
      </w:r>
      <w:r>
        <w:rPr>
          <w:i/>
        </w:rPr>
        <w:t>1988</w:t>
      </w:r>
      <w:r>
        <w:t>complete.csv</w:t>
      </w:r>
      <w:r>
        <w:t xml:space="preserve"> — 2.726 linhas, 47 dimensões corporais do estudo ANSUR 1988 (Gordon et al., 1989), população militar norte-americana</w:t>
      </w:r>
    </w:p>
    <w:p>
      <w:pPr>
        <w:pStyle w:val="Bibliography"/>
      </w:pPr>
      <w:r>
        <w:t xml:space="preserve">- </w:t>
      </w:r>
      <w:r>
        <w:t>ansur</w:t>
      </w:r>
      <w:r>
        <w:rPr>
          <w:i/>
        </w:rPr>
        <w:t>1988</w:t>
      </w:r>
      <w:r>
        <w:t>hand</w:t>
      </w:r>
      <w:r>
        <w:rPr>
          <w:i/>
        </w:rPr>
        <w:t>arm.csv</w:t>
      </w:r>
      <w:r>
        <w:t xml:space="preserve"> — 696 linhas, subconjunto do ANSUR restrito às medições da mão, antebraço e braço</w:t>
      </w:r>
    </w:p>
    <w:p>
      <w:pPr>
        <w:pStyle w:val="Bibliography"/>
      </w:pPr>
      <w:r>
        <w:t xml:space="preserve">- </w:t>
      </w:r>
      <w:r>
        <w:t>multi</w:t>
      </w:r>
      <w:r>
        <w:rPr>
          <w:i/>
        </w:rPr>
        <w:t>population</w:t>
      </w:r>
      <w:r>
        <w:t>hand.csv</w:t>
      </w:r>
      <w:r>
        <w:t xml:space="preserve"> — 1.790 linhas, dados de onze estudos populacionais independentes de nove países diferentes</w:t>
      </w:r>
    </w:p>
    <w:p>
      <w:pPr>
        <w:pStyle w:val="Heading2"/>
        <w:numPr>
          <w:ilvl w:val="1"/>
          <w:numId w:val="0"/>
        </w:numPr>
      </w:pPr>
      <w:r>
        <w:t>A.2 Estratégia de Pesquisa Bibliográfica</w:t>
      </w:r>
    </w:p>
    <w:p>
      <w:pPr>
        <w:pStyle w:val="Heading3"/>
        <w:numPr>
          <w:ilvl w:val="2"/>
          <w:numId w:val="0"/>
        </w:numPr>
      </w:pPr>
      <w:r>
        <w:t>A.2.1 Pesquisa bibliográfica assistida e revisões sistemáticas</w:t>
      </w:r>
    </w:p>
    <w:p>
      <w:pPr>
        <w:pStyle w:val="Bibliography"/>
      </w:pPr>
      <w: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Bibliography"/>
      </w:pPr>
      <w:r>
        <w:rPr>
          <w:i/>
        </w:rPr>
        <w:t>"hand anthropometry normative data population study percentiles"</w:t>
      </w:r>
      <w:r>
        <w:t xml:space="preserve"> </w:t>
      </w:r>
      <w:r>
        <w:rPr>
          <w:i/>
        </w:rPr>
        <w:t>"hand dimensions measurement ergonomics working population"</w:t>
      </w:r>
      <w:r>
        <w:t xml:space="preserve"> </w:t>
      </w:r>
      <w:r>
        <w:rPr>
          <w:i/>
        </w:rPr>
        <w:t>"anthropometric survey finger length breadth caliper"</w:t>
      </w:r>
    </w:p>
    <w:p>
      <w:pPr>
        <w:pStyle w:val="Bibliography"/>
      </w:pPr>
      <w: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2"/>
          <w:numId w:val="0"/>
        </w:numPr>
      </w:pPr>
      <w:r>
        <w:t>A.2.2 Base ANSUR 1988</w:t>
      </w:r>
    </w:p>
    <w:p>
      <w:pPr>
        <w:pStyle w:val="Bibliography"/>
      </w:pPr>
      <w: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Heading2"/>
        <w:numPr>
          <w:ilvl w:val="1"/>
          <w:numId w:val="0"/>
        </w:numPr>
      </w:pPr>
      <w:r>
        <w:t>A.3 Critérios de Inclusão e Exclusão de Estudos</w:t>
      </w:r>
    </w:p>
    <w:p>
      <w:pPr>
        <w:pStyle w:val="Bibliography"/>
      </w:pPr>
      <w:r>
        <w:t>Para cada estudo identificado, a decisão de incluir ou excluir os seus dados na base CSV seguiu critérios explícitos.</w:t>
      </w:r>
    </w:p>
    <w:p>
      <w:pPr>
        <w:pStyle w:val="Heading3"/>
        <w:numPr>
          <w:ilvl w:val="2"/>
          <w:numId w:val="0"/>
        </w:numPr>
      </w:pPr>
      <w:r>
        <w:t>A.3.1 Critérios de inclusão</w:t>
      </w:r>
    </w:p>
    <w:p>
      <w:pPr>
        <w:pStyle w:val="Bibliography"/>
      </w:pPr>
      <w:r>
        <w:t>Um estudo foi incluído se satisfazia simultaneamente as seguintes condições:</w:t>
      </w:r>
    </w:p>
    <w:p>
      <w:pPr>
        <w:pStyle w:val="Bibliography"/>
      </w:pPr>
      <w:r>
        <w:t xml:space="preserve">1. </w:t>
      </w:r>
      <w:r>
        <w:rPr>
          <w:b/>
        </w:rPr>
        <w:t>Dados primários</w:t>
      </w:r>
      <w:r>
        <w:t xml:space="preserve"> — o estudo apresenta medições recolhidas pelos seus próprios autores sobre participantes reais, não reutilizando tabelas de terceiros sem transformação.</w:t>
      </w:r>
    </w:p>
    <w:p>
      <w:pPr>
        <w:pStyle w:val="Bibliography"/>
      </w:pPr>
      <w:r>
        <w:t xml:space="preserve">2. </w:t>
      </w:r>
      <w:r>
        <w:rPr>
          <w:b/>
        </w:rPr>
        <w:t>Dimensões da mão ou do membro superior</w:t>
      </w:r>
      <w:r>
        <w:t xml:space="preserve"> — pelo menos uma medição refere-se à mão, dedos, palma, antebraço ou punho.</w:t>
      </w:r>
    </w:p>
    <w:p>
      <w:pPr>
        <w:pStyle w:val="Bibliography"/>
      </w:pPr>
      <w:r>
        <w:t xml:space="preserve">3. </w:t>
      </w:r>
      <w:r>
        <w:rPr>
          <w:b/>
        </w:rPr>
        <w:t>Estatística descritiva legível</w:t>
      </w:r>
      <w:r>
        <w:t xml:space="preserve"> — a tabela do artigo fornece, no mínimo, a média. A presença de desvio-padrão e/ou percentis constituía um critério de preferência.</w:t>
      </w:r>
    </w:p>
    <w:p>
      <w:pPr>
        <w:pStyle w:val="Bibliography"/>
      </w:pPr>
      <w:r>
        <w:t xml:space="preserve">4. </w:t>
      </w:r>
      <w:r>
        <w:rPr>
          <w:b/>
        </w:rPr>
        <w:t>Identificação clara da população</w:t>
      </w:r>
      <w:r>
        <w:t xml:space="preserve"> — o artigo especifica país, sexo, dimensão amostral e método de medição.</w:t>
      </w:r>
    </w:p>
    <w:p>
      <w:pPr>
        <w:pStyle w:val="Heading3"/>
        <w:numPr>
          <w:ilvl w:val="2"/>
          <w:numId w:val="0"/>
        </w:numPr>
      </w:pPr>
      <w:r>
        <w:t>A.3.2 Critérios de exclusão</w:t>
      </w:r>
    </w:p>
    <w:p>
      <w:pPr>
        <w:pStyle w:val="Bibliography"/>
      </w:pPr>
      <w:r>
        <w:t>Um estudo foi excluído nas seguintes situações:</w:t>
      </w:r>
    </w:p>
    <w:p>
      <w:pPr>
        <w:pStyle w:val="Bibliography"/>
      </w:pPr>
      <w:r>
        <w:t xml:space="preserve">- </w:t>
      </w:r>
      <w:r>
        <w:rPr>
          <w:b/>
        </w:rPr>
        <w:t>Dados secundários sem valor acrescentado</w:t>
      </w:r>
      <w: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phy"/>
      </w:pPr>
      <w:r>
        <w:t xml:space="preserve">- </w:t>
      </w:r>
      <w:r>
        <w:rPr>
          <w:b/>
        </w:rPr>
        <w:t>Artigos de engenharia sem tabelas antropométricas</w:t>
      </w:r>
      <w:r>
        <w:t xml:space="preserve"> — estudos centrados em materiais, análise de elementos finitos ou fabrico aditivo que referenciam dimensões da mão apenas de forma incidental e sem estatística descritiva.</w:t>
      </w:r>
    </w:p>
    <w:p>
      <w:pPr>
        <w:pStyle w:val="Bibliography"/>
      </w:pPr>
      <w:r>
        <w:t xml:space="preserve">- </w:t>
      </w:r>
      <w:r>
        <w:rPr>
          <w:b/>
        </w:rPr>
        <w:t>Dimensões não da mão em estudos mistos</w:t>
      </w:r>
      <w: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2"/>
        <w:numPr>
          <w:ilvl w:val="1"/>
          <w:numId w:val="0"/>
        </w:numPr>
      </w:pPr>
      <w:r>
        <w:t>A.4 Processo de Extração de Dados</w:t>
      </w:r>
    </w:p>
    <w:p>
      <w:pPr>
        <w:pStyle w:val="Heading3"/>
        <w:numPr>
          <w:ilvl w:val="2"/>
          <w:numId w:val="0"/>
        </w:numPr>
      </w:pPr>
      <w:r>
        <w:t>A.4.1 Leitura dos PDFs e localização das tabelas</w:t>
      </w:r>
    </w:p>
    <w:p>
      <w:pPr>
        <w:pStyle w:val="Bibliography"/>
      </w:pPr>
      <w:r>
        <w:t xml:space="preserve">Cada artigo foi lido integralmente, com foco nas secções de </w:t>
      </w:r>
      <w:r>
        <w:rPr>
          <w:i/>
        </w:rPr>
        <w:t>Methods</w:t>
      </w:r>
      <w:r>
        <w:t xml:space="preserve"> (para identificar o instrumento de medição, a mão medida, e a posição do participante) e </w:t>
      </w:r>
      <w:r>
        <w:rPr>
          <w:i/>
        </w:rPr>
        <w:t>Results</w:t>
      </w:r>
      <w:r>
        <w:t xml:space="preserve"> (para localizar as tabelas com estatística descritiva). A página exata de cada tabela foi registada no campo </w:t>
      </w:r>
      <w:r>
        <w:t>source</w:t>
      </w:r>
      <w:r>
        <w:rPr>
          <w:i/>
        </w:rPr>
        <w:t>page</w:t>
      </w:r>
      <w:r>
        <w:t xml:space="preserve"> do CSV.</w:t>
      </w:r>
    </w:p>
    <w:p>
      <w:pPr>
        <w:pStyle w:val="Bibliography"/>
      </w:pPr>
      <w:r>
        <w:t>Quando um artigo reportava medições em mais do que uma tabela (por exemplo, comprimentos numa tabela e larguras noutra), cada tabela foi processada separadamente.</w:t>
      </w:r>
    </w:p>
    <w:p>
      <w:pPr>
        <w:pStyle w:val="Heading3"/>
        <w:numPr>
          <w:ilvl w:val="2"/>
          <w:numId w:val="0"/>
        </w:numPr>
      </w:pPr>
      <w:r>
        <w:t>A.4.2 Identificação das unidades e conversão</w:t>
      </w:r>
    </w:p>
    <w:p>
      <w:pPr>
        <w:pStyle w:val="Bibliography"/>
      </w:pPr>
      <w:r>
        <w:t>Os artigos consultados reportam medições em milímetros (mm), centímetros (cm) ou, no caso do ANSUR, em polegadas (in). O CSV armazena sempre os três sistemas em simultâneo (</w:t>
      </w:r>
      <w:r>
        <w:t>value</w:t>
      </w:r>
      <w:r>
        <w:rPr>
          <w:i/>
        </w:rPr>
        <w:t>mm</w:t>
      </w:r>
      <w:r>
        <w:t xml:space="preserve">, </w:t>
      </w:r>
      <w:r>
        <w:t>value</w:t>
      </w:r>
      <w:r>
        <w:rPr>
          <w:i/>
        </w:rPr>
        <w:t>cm</w:t>
      </w:r>
      <w:r>
        <w:t xml:space="preserve">, </w:t>
      </w:r>
      <w:r>
        <w:t>value</w:t>
      </w:r>
      <w:r>
        <w:rPr>
          <w:i/>
        </w:rPr>
        <w:t>in</w:t>
      </w:r>
      <w:r>
        <w:t>), calculados a partir de uma única unidade-fonte:</w:t>
      </w:r>
    </w:p>
    <w:p>
      <w:pPr>
        <w:pStyle w:val="Bibliography"/>
      </w:pPr>
      <w:r>
        <w:t xml:space="preserve">- Se o artigo reporta em mm: </w:t>
      </w:r>
      <w:r>
        <w:t>value</w:t>
      </w:r>
      <w:r>
        <w:rPr>
          <w:i/>
        </w:rPr>
        <w:t>cm = value</w:t>
      </w:r>
      <w:r>
        <w:t>mm / 10</w:t>
      </w:r>
      <w:r>
        <w:t xml:space="preserve">; </w:t>
      </w:r>
      <w:r>
        <w:t>value</w:t>
      </w:r>
      <w:r>
        <w:rPr>
          <w:i/>
        </w:rPr>
        <w:t>in = value</w:t>
      </w:r>
      <w:r>
        <w:t>cm / 2.54</w:t>
      </w:r>
    </w:p>
    <w:p>
      <w:pPr>
        <w:pStyle w:val="Bibliography"/>
      </w:pPr>
      <w:r>
        <w:t xml:space="preserve">- Se o artigo reporta em cm: </w:t>
      </w:r>
      <w:r>
        <w:t>value</w:t>
      </w:r>
      <w:r>
        <w:rPr>
          <w:i/>
        </w:rPr>
        <w:t>mm = value</w:t>
      </w:r>
      <w:r>
        <w:t>cm × 10</w:t>
      </w:r>
      <w:r>
        <w:t xml:space="preserve">; </w:t>
      </w:r>
      <w:r>
        <w:t>value</w:t>
      </w:r>
      <w:r>
        <w:rPr>
          <w:i/>
        </w:rPr>
        <w:t>in = value</w:t>
      </w:r>
      <w:r>
        <w:t>cm / 2.54</w:t>
      </w:r>
    </w:p>
    <w:p>
      <w:pPr>
        <w:pStyle w:val="Bibliography"/>
      </w:pPr>
      <w:r>
        <w:t>Esta redundância elimina conversões em tempo de execução por parte do modelo paramétrico.</w:t>
      </w:r>
    </w:p>
    <w:p>
      <w:pPr>
        <w:pStyle w:val="Heading3"/>
        <w:numPr>
          <w:ilvl w:val="2"/>
          <w:numId w:val="0"/>
        </w:numPr>
      </w:pPr>
      <w:r>
        <w:t>A.4.3 Decomposição em linhas atómicas</w:t>
      </w:r>
    </w:p>
    <w:p>
      <w:pPr>
        <w:pStyle w:val="Bibliography"/>
      </w:pPr>
      <w:r>
        <w:t xml:space="preserve">Cada célula de uma tabela estatística origina </w:t>
      </w:r>
      <w:r>
        <w:rPr>
          <w:b/>
        </w:rPr>
        <w:t>uma linha independente</w:t>
      </w:r>
      <w:r>
        <w:t xml:space="preserve"> no CSV. Assim, para uma dada dimensão, população e sexo, existem tantas linhas quantos os indicadores estatísticos disponíveis: por exemplo, se um artigo reporta média, desvio-padrão, P5, P50 e P95, são criadas cinco linhas — cada uma com o campo </w:t>
      </w:r>
      <w:r>
        <w:t>stat</w:t>
      </w:r>
      <w:r>
        <w:rPr>
          <w:i/>
        </w:rPr>
        <w:t>type</w:t>
      </w:r>
      <w:r>
        <w:t xml:space="preserve"> definido como </w:t>
      </w:r>
      <w:r>
        <w:t>mean</w:t>
      </w:r>
      <w:r>
        <w:t xml:space="preserve">, </w:t>
      </w:r>
      <w:r>
        <w:t>std</w:t>
      </w:r>
      <w:r>
        <w:rPr>
          <w:i/>
        </w:rPr>
        <w:t>dev</w:t>
      </w:r>
      <w:r>
        <w:t xml:space="preserve"> ou </w:t>
      </w:r>
      <w:r>
        <w:t>percentile</w:t>
      </w:r>
      <w:r>
        <w:t xml:space="preserve">, e o campo </w:t>
      </w:r>
      <w:r>
        <w:t>percentile</w:t>
      </w:r>
      <w:r>
        <w:t xml:space="preserve"> preenchido apenas nas linhas de tipo </w:t>
      </w:r>
      <w:r>
        <w:t>percentile</w:t>
      </w:r>
      <w:r>
        <w:t>.</w:t>
      </w:r>
    </w:p>
    <w:p>
      <w:pPr>
        <w:pStyle w:val="Bibliography"/>
      </w:pPr>
      <w:r>
        <w:t>Esta estrutura longa (</w:t>
      </w:r>
      <w:r>
        <w:rPr>
          <w:i/>
        </w:rPr>
        <w:t>long format</w:t>
      </w:r>
      <w:r>
        <w:t>) permite filtrar e agregar por qualquer combinação de variáveis sem necessidade de transformação prévia.</w:t>
      </w:r>
    </w:p>
    <w:p>
      <w:pPr>
        <w:pStyle w:val="Heading3"/>
        <w:numPr>
          <w:ilvl w:val="2"/>
          <w:numId w:val="0"/>
        </w:numPr>
      </w:pPr>
      <w:r>
        <w:t>A.4.4 Registo fiel do contexto da medição</w:t>
      </w:r>
    </w:p>
    <w:p>
      <w:pPr>
        <w:pStyle w:val="Bibliography"/>
      </w:pPr>
      <w:r>
        <w:t xml:space="preserve">O campo </w:t>
      </w:r>
      <w:r>
        <w:t>measurement</w:t>
      </w:r>
      <w:r>
        <w:rPr>
          <w:i/>
        </w:rPr>
        <w:t>method</w:t>
      </w:r>
      <w:r>
        <w:t>note</w:t>
      </w:r>
      <w:r>
        <w:t xml:space="preserve"> regista, para cada estudo, informações sobre:</w:t>
      </w:r>
    </w:p>
    <w:p>
      <w:pPr>
        <w:pStyle w:val="Bibliography"/>
      </w:pPr>
      <w:r>
        <w:t>- O instrumento utilizado (e.g., "paquímetro digital Vernier 200 mm, resolução 0,01 mm")</w:t>
      </w:r>
    </w:p>
    <w:p>
      <w:pPr>
        <w:pStyle w:val="Bibliography"/>
      </w:pPr>
      <w:r>
        <w:t>- A mão medida (direita/esquerda/dominante)</w:t>
      </w:r>
    </w:p>
    <w:p>
      <w:pPr>
        <w:pStyle w:val="Bibliography"/>
      </w:pPr>
      <w:r>
        <w:t>- A posição da mão durante a medição (estendida e plana, em posição de repouso, sentado)</w:t>
      </w:r>
    </w:p>
    <w:p>
      <w:pPr>
        <w:pStyle w:val="Bibliography"/>
      </w:pPr>
      <w:r>
        <w:t>- O ponto de referência do comprimento (e.g., "da prega palmar proximal à ponta do dedo")</w:t>
      </w:r>
    </w:p>
    <w:p>
      <w:pPr>
        <w:pStyle w:val="Bibliography"/>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2"/>
        <w:numPr>
          <w:ilvl w:val="1"/>
          <w:numId w:val="0"/>
        </w:numPr>
      </w:pPr>
      <w:r>
        <w:t>A.5 Decisões por Estudo</w:t>
      </w:r>
    </w:p>
    <w:p>
      <w:pPr>
        <w:pStyle w:val="Heading3"/>
        <w:numPr>
          <w:ilvl w:val="2"/>
          <w:numId w:val="0"/>
        </w:numPr>
      </w:pPr>
      <w:r>
        <w:t>A.5.1 ANSUR 1988 — EUA, militares (Gordon et al., 1989)</w:t>
      </w:r>
    </w:p>
    <w:p>
      <w:pPr>
        <w:pStyle w:val="Bibliography"/>
      </w:pPr>
      <w:r>
        <w:rPr>
          <w:b/>
        </w:rPr>
        <w:t>Fonte:</w:t>
      </w:r>
      <w: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Bibliography"/>
      </w:pPr>
      <w:r>
        <w:rPr>
          <w:b/>
        </w:rPr>
        <w:t>Decisão:</w:t>
      </w:r>
      <w:r>
        <w:t xml:space="preserve"> Incluição total. A dimensão amostral, a abrangência estatística (11 indicadores por dimensão) e a origem militar controlada tornam-no a âncora de referência da base de dados.</w:t>
      </w:r>
    </w:p>
    <w:p>
      <w:pPr>
        <w:pStyle w:val="Bibliography"/>
      </w:pPr>
      <w:r>
        <w:rPr>
          <w:b/>
        </w:rPr>
        <w:t>Notas:</w:t>
      </w:r>
      <w:r>
        <w:t xml:space="preserve"> Sete valores no relatório original apresentavam inconsistências tipográficas (e.g., percentil aparentemente invertido ou unidade suspeita); todos foram corrigidos com anotação inline no campo </w:t>
      </w:r>
      <w:r>
        <w:t>data</w:t>
      </w:r>
      <w:r>
        <w:rPr>
          <w:i/>
        </w:rPr>
        <w:t>quality</w:t>
      </w:r>
      <w:r>
        <w:t>note</w:t>
      </w:r>
      <w:r>
        <w:t>.</w:t>
      </w:r>
    </w:p>
    <w:p>
      <w:pPr>
        <w:pStyle w:val="Heading3"/>
        <w:numPr>
          <w:ilvl w:val="2"/>
          <w:numId w:val="0"/>
        </w:numPr>
      </w:pPr>
      <w:r>
        <w:t>A.5.2 Turquia — jovens adultos (Chatzioglou et al., 2024)</w:t>
      </w:r>
    </w:p>
    <w:p>
      <w:pPr>
        <w:pStyle w:val="Bibliography"/>
      </w:pPr>
      <w:r>
        <w:rPr>
          <w:b/>
        </w:rPr>
        <w:t>Fonte:</w:t>
      </w:r>
      <w:r>
        <w:t xml:space="preserve"> </w:t>
      </w:r>
      <w:r>
        <w:rPr>
          <w:i/>
        </w:rPr>
        <w:t>Anatomy &amp; Cell Biology</w:t>
      </w:r>
      <w:r>
        <w:t>, 57:172–182. n=51 (32F, 19M), idade 18–30, Izmir e Istanbul. Método foto-antropométrico com ImageJ (pixel → mm via fator de calibração 0,08618 ×). Comprimentos dos cinco dedos da mão direita, por sexo e amostra total, Tabela 1.</w:t>
      </w:r>
    </w:p>
    <w:p>
      <w:pPr>
        <w:pStyle w:val="Bibliography"/>
      </w:pPr>
      <w:r>
        <w:rPr>
          <w:b/>
        </w:rPr>
        <w:t>Decisão:</w:t>
      </w:r>
      <w: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t>stat</w:t>
      </w:r>
      <w:r>
        <w:rPr>
          <w:i/>
        </w:rPr>
        <w:t>type = min</w:t>
      </w:r>
      <w:r>
        <w:t xml:space="preserve"> e </w:t>
      </w:r>
      <w:r>
        <w:t>max</w:t>
      </w:r>
      <w:r>
        <w:t>.</w:t>
      </w:r>
    </w:p>
    <w:p>
      <w:pPr>
        <w:pStyle w:val="Heading3"/>
        <w:numPr>
          <w:ilvl w:val="2"/>
          <w:numId w:val="0"/>
        </w:numPr>
      </w:pPr>
      <w:r>
        <w:t>A.5.3 México — população geral (Rodríguez-Vega &amp; Rodríguez-Vega, 2024)</w:t>
      </w:r>
    </w:p>
    <w:p>
      <w:pPr>
        <w:pStyle w:val="Bibliography"/>
      </w:pPr>
      <w:r>
        <w:rPr>
          <w:b/>
        </w:rPr>
        <w:t>Fonte:</w:t>
      </w:r>
      <w:r>
        <w:t xml:space="preserve"> </w:t>
      </w:r>
      <w:r>
        <w:rPr>
          <w:i/>
        </w:rPr>
        <w:t>European Public &amp; Social Innovation Review</w:t>
      </w:r>
      <w:r>
        <w:t>,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pPr>
      <w:r>
        <w:rPr>
          <w:b/>
        </w:rPr>
        <w:t>Decisão:</w:t>
      </w:r>
      <w: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t>data</w:t>
      </w:r>
      <w:r>
        <w:rPr>
          <w:i/>
        </w:rPr>
        <w:t>quality</w:t>
      </w:r>
      <w:r>
        <w:t>note</w:t>
      </w:r>
      <w:r>
        <w:t>.</w:t>
      </w:r>
    </w:p>
    <w:p>
      <w:pPr>
        <w:pStyle w:val="Heading3"/>
        <w:numPr>
          <w:ilvl w:val="2"/>
          <w:numId w:val="0"/>
        </w:numPr>
      </w:pPr>
      <w:r>
        <w:t>A.5.4 Índia — mulheres trabalhadoras (Nag et al., 2003)</w:t>
      </w:r>
    </w:p>
    <w:p>
      <w:pPr>
        <w:pStyle w:val="Bibliography"/>
      </w:pPr>
      <w:r>
        <w:rPr>
          <w:b/>
        </w:rPr>
        <w:t>Fonte:</w:t>
      </w:r>
      <w:r>
        <w:t xml:space="preserve"> </w:t>
      </w:r>
      <w:r>
        <w:rPr>
          <w:i/>
        </w:rPr>
        <w:t>Indian Journal of Medical Research</w:t>
      </w:r>
      <w: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pPr>
      <w:r>
        <w:rPr>
          <w:b/>
        </w:rPr>
        <w:t>Decisão:</w:t>
      </w:r>
      <w: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t>population</w:t>
      </w:r>
      <w:r>
        <w:t>.</w:t>
      </w:r>
    </w:p>
    <w:p>
      <w:pPr>
        <w:pStyle w:val="Heading3"/>
        <w:numPr>
          <w:ilvl w:val="2"/>
          <w:numId w:val="0"/>
        </w:numPr>
      </w:pPr>
      <w:r>
        <w:t>A.5.5 Portugal — trabalhadores industriais (Anacleto Filho et al., 2023)</w:t>
      </w:r>
    </w:p>
    <w:p>
      <w:pPr>
        <w:pStyle w:val="Bibliography"/>
      </w:pPr>
      <w:r>
        <w:rPr>
          <w:b/>
        </w:rPr>
        <w:t>Fonte:</w:t>
      </w:r>
      <w:r>
        <w:t xml:space="preserve"> </w:t>
      </w:r>
      <w:r>
        <w:rPr>
          <w:i/>
        </w:rPr>
        <w:t>International Journal of Industrial Ergonomics</w:t>
      </w:r>
      <w:r>
        <w:t>, 97:103473. n=343 (169M, 174F),</w:t>
      </w:r>
    </w:p>
    <w:p>
      <w:pPr>
        <w:pStyle w:val="Bibliography"/>
      </w:pPr>
      <w:r>
        <w:t>trabalhadores industriais do Norte de Portugal, 2021. De um conjunto de 27 dimensões corporais, apenas duas são da mão: comprimento da mão e largura da mão (metacarpal II–V). Tabela 3, P5, P50, P95 por sexo.</w:t>
      </w:r>
    </w:p>
    <w:p>
      <w:pPr>
        <w:pStyle w:val="Bibliography"/>
      </w:pPr>
      <w:r>
        <w:rPr>
          <w:b/>
        </w:rPr>
        <w:t>Decisão:</w:t>
      </w:r>
      <w: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Bibliography"/>
      </w:pPr>
      <w:r>
        <w:rPr>
          <w:b/>
        </w:rPr>
        <w:t>Nota metodológica:</w:t>
      </w:r>
      <w:r>
        <w:t xml:space="preserve"> O estudo mediu o lado esquerdo por limitação de instalações; este facto é registado em </w:t>
      </w:r>
      <w:r>
        <w:t>measurement</w:t>
      </w:r>
      <w:r>
        <w:rPr>
          <w:i/>
        </w:rPr>
        <w:t>method</w:t>
      </w:r>
      <w:r>
        <w:t>note</w:t>
      </w:r>
      <w:r>
        <w:t>.</w:t>
      </w:r>
    </w:p>
    <w:p>
      <w:pPr>
        <w:pStyle w:val="Heading3"/>
        <w:numPr>
          <w:ilvl w:val="2"/>
          <w:numId w:val="0"/>
        </w:numPr>
      </w:pPr>
      <w:r>
        <w:t>A.5.6 Nigéria — atletas universitários (Ibiwari et al., 2025)</w:t>
      </w:r>
    </w:p>
    <w:p>
      <w:pPr>
        <w:pStyle w:val="Bibliography"/>
      </w:pPr>
      <w:r>
        <w:rPr>
          <w:b/>
        </w:rPr>
        <w:t>Fonte:</w:t>
      </w:r>
      <w:r>
        <w:t xml:space="preserve"> </w:t>
      </w:r>
      <w:r>
        <w:rPr>
          <w:i/>
        </w:rPr>
        <w:t>International Journal of Science Academic Research</w:t>
      </w:r>
      <w: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pPr>
      <w:r>
        <w:rPr>
          <w:b/>
        </w:rPr>
        <w:t>Decisão:</w:t>
      </w:r>
      <w: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Bibliography"/>
      </w:pPr>
      <w:r>
        <w:rPr>
          <w:b/>
        </w:rPr>
        <w:t>Nota:</w:t>
      </w:r>
      <w:r>
        <w:t xml:space="preserve"> A população de atletas não é representativa da população geral; os valores refletem uma seleção fisicamente ativa e potencialmente com mãos de dimensões superiores à média.</w:t>
      </w:r>
    </w:p>
    <w:p>
      <w:pPr>
        <w:pStyle w:val="Heading3"/>
        <w:numPr>
          <w:ilvl w:val="2"/>
          <w:numId w:val="0"/>
        </w:numPr>
      </w:pPr>
      <w:r>
        <w:t>A.5.7 Jordânia — trabalhadores com deficiência (Mistarihi, 2020)</w:t>
      </w:r>
    </w:p>
    <w:p>
      <w:pPr>
        <w:pStyle w:val="Bibliography"/>
      </w:pPr>
      <w:r>
        <w:rPr>
          <w:b/>
        </w:rPr>
        <w:t>Fonte:</w:t>
      </w:r>
      <w:r>
        <w:t xml:space="preserve"> </w:t>
      </w:r>
      <w:r>
        <w:rPr>
          <w:i/>
        </w:rPr>
        <w:t>Data in Brief</w:t>
      </w:r>
      <w: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pPr>
      <w:r>
        <w:rPr>
          <w:b/>
        </w:rPr>
        <w:t>Decisão:</w:t>
      </w:r>
      <w: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2"/>
          <w:numId w:val="0"/>
        </w:numPr>
      </w:pPr>
      <w:r>
        <w:t>A.5.8 EUA — dedo indicador (Lim et al., 2018)</w:t>
      </w:r>
    </w:p>
    <w:p>
      <w:pPr>
        <w:pStyle w:val="Bibliography"/>
      </w:pPr>
      <w:r>
        <w:rPr>
          <w:b/>
        </w:rPr>
        <w:t>Fonte:</w:t>
      </w:r>
      <w:r>
        <w:t xml:space="preserve"> Trabalho académico UC Berkeley. n=50 adultos, idade 18–30. Apenas duas dimensões do dedo indicador (D2): comprimento MCP-ponta (média=90,9 mm) e largura na articulação PIP (média=16,9 mm). Apenas médias reportadas, sem SD ou percentis.</w:t>
      </w:r>
    </w:p>
    <w:p>
      <w:pPr>
        <w:pStyle w:val="Bibliography"/>
      </w:pPr>
      <w:r>
        <w:rPr>
          <w:b/>
        </w:rPr>
        <w:t>Decisão:</w:t>
      </w:r>
      <w: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numPr>
          <w:ilvl w:val="2"/>
          <w:numId w:val="0"/>
        </w:numPr>
      </w:pPr>
      <w:r>
        <w:t>A.5.9 Estudo excluído: Moreo (2016)</w:t>
      </w:r>
    </w:p>
    <w:p>
      <w:pPr>
        <w:pStyle w:val="Bibliography"/>
      </w:pPr>
      <w: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numPr>
          <w:ilvl w:val="2"/>
          <w:numId w:val="0"/>
        </w:numPr>
      </w:pPr>
      <w:r>
        <w:t>A.5.10 EUA — militares ANSUR II (Gordon et al., 2015)</w:t>
      </w:r>
    </w:p>
    <w:p>
      <w:pPr>
        <w:pStyle w:val="Bibliography"/>
      </w:pPr>
      <w:r>
        <w:rPr>
          <w:b/>
        </w:rPr>
        <w:t>Fonte:</w:t>
      </w:r>
      <w: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pStyle w:val="Bibliography"/>
      </w:pPr>
      <w:r>
        <w:rPr>
          <w:b/>
        </w:rPr>
        <w:t>Decisão:</w:t>
      </w:r>
      <w: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pPr>
      <w:r>
        <w:rPr>
          <w:b/>
        </w:rPr>
        <w:t>Nota:</w:t>
      </w:r>
      <w:r>
        <w:t xml:space="preserve"> A medição </w:t>
      </w:r>
      <w:r>
        <w:t>wristheight</w:t>
      </w:r>
      <w:r>
        <w:t xml:space="preserve"> foi excluída — corresponde à distância do chão ao pulso em posição de pé, uma dimensão postural e não uma medição da mão.</w:t>
      </w:r>
    </w:p>
    <w:p>
      <w:pPr>
        <w:pStyle w:val="Heading3"/>
        <w:numPr>
          <w:ilvl w:val="2"/>
          <w:numId w:val="0"/>
        </w:numPr>
      </w:pPr>
      <w:r>
        <w:t>A.5.11 Países Baixos — DINED (TU Delft, 1993–2004)</w:t>
      </w:r>
    </w:p>
    <w:p>
      <w:pPr>
        <w:pStyle w:val="Bibliography"/>
      </w:pPr>
      <w:r>
        <w:rPr>
          <w:b/>
        </w:rPr>
        <w:t>Fonte:</w:t>
      </w:r>
      <w:r>
        <w:t xml:space="preserve"> Base de dados antropométrica do Delft Institute for Ergonomics and Design, acessível via conta institucional em dined.io.tudelft.nl. Três sub-datasets distintos, com dados de mão disponíveis:</w:t>
      </w:r>
    </w:p>
    <w:p>
      <w:pPr>
        <w:pStyle w:val="Bibliography"/>
      </w:pPr>
      <w:r>
        <w:t xml:space="preserve">- </w:t>
      </w:r>
      <w:r>
        <w:rPr>
          <w:b/>
        </w:rPr>
        <w:t>kima1993</w:t>
      </w:r>
      <w:r>
        <w:t>: crianças neerlandesas, idades 2–12 (grupos por ano), por sexo e combinado; 8 medições da mão por grupo etário.</w:t>
      </w:r>
    </w:p>
    <w:p>
      <w:pPr>
        <w:pStyle w:val="Bibliography"/>
      </w:pPr>
      <w:r>
        <w:t xml:space="preserve">- </w:t>
      </w:r>
      <w:r>
        <w:rPr>
          <w:b/>
        </w:rPr>
        <w:t>geron1998</w:t>
      </w:r>
      <w:r>
        <w:t>: idosos neerlandeses, idades 50–80+ (bandas de 5 anos), por sexo e combinado; 5 medições da mão.</w:t>
      </w:r>
    </w:p>
    <w:p>
      <w:pPr>
        <w:pStyle w:val="Bibliography"/>
      </w:pPr>
      <w:r>
        <w:t xml:space="preserve">- </w:t>
      </w:r>
      <w:r>
        <w:rPr>
          <w:b/>
        </w:rPr>
        <w:t>dined2004</w:t>
      </w:r>
      <w:r>
        <w:t>: adultos neerlandeses, grupos etários 20–30, 31–60, 60+, por sexo e combinado; 6–7 medições da mão.</w:t>
      </w:r>
    </w:p>
    <w:p>
      <w:pPr>
        <w:pStyle w:val="Bibliography"/>
      </w:pPr>
      <w:r>
        <w:t xml:space="preserve">Os dados foram extraídos a partir do HTML da interface web (padrões </w:t>
      </w:r>
      <w:r>
        <w:t>id="mean{col}</w:t>
      </w:r>
      <w:r>
        <w:rPr>
          <w:i/>
        </w:rPr>
        <w:t>{row}"</w:t>
      </w:r>
      <w:r>
        <w:t xml:space="preserve"> / </w:t>
      </w:r>
      <w:r>
        <w:t>id="sd{col}</w:t>
      </w:r>
      <w:r>
        <w:rPr>
          <w:i/>
        </w:rPr>
        <w:t>{row}"</w:t>
      </w:r>
      <w:r>
        <w:t>), mapeando índices de coluna para combinações (sub-dataset, sexo, grupo etário) e índices de linha para nomes de medição.</w:t>
      </w:r>
    </w:p>
    <w:p>
      <w:pPr>
        <w:pStyle w:val="Bibliography"/>
      </w:pPr>
      <w:r>
        <w:rPr>
          <w:b/>
        </w:rPr>
        <w:t>Decisão:</w:t>
      </w:r>
      <w: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numPr>
          <w:ilvl w:val="2"/>
          <w:numId w:val="0"/>
        </w:numPr>
      </w:pPr>
      <w:r>
        <w:t>A.5.12 China — idosos de Pequim (Hu et al., 2007)</w:t>
      </w:r>
    </w:p>
    <w:p>
      <w:pPr>
        <w:pStyle w:val="Bibliography"/>
      </w:pPr>
      <w:r>
        <w:rPr>
          <w:b/>
        </w:rPr>
        <w:t>Fonte:</w:t>
      </w:r>
      <w:r>
        <w:t xml:space="preserve"> </w:t>
      </w:r>
      <w:r>
        <w:rPr>
          <w:i/>
        </w:rPr>
        <w:t>International Journal of Industrial Ergonomics</w:t>
      </w:r>
      <w: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pPr>
      <w:r>
        <w:rPr>
          <w:b/>
        </w:rPr>
        <w:t>Decisão:</w:t>
      </w:r>
      <w: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t>data</w:t>
      </w:r>
      <w:r>
        <w:rPr>
          <w:i/>
        </w:rPr>
        <w:t>quality</w:t>
      </w:r>
      <w:r>
        <w:t>note</w:t>
      </w:r>
      <w:r>
        <w:t>.</w:t>
      </w:r>
    </w:p>
    <w:p>
      <w:pPr>
        <w:pStyle w:val="Bibliography"/>
      </w:pPr>
      <w:r>
        <w:rPr>
          <w:b/>
        </w:rPr>
        <w:t>Nota de cobertura:</w:t>
      </w:r>
      <w:r>
        <w:t xml:space="preserve"> Primeira fonte de dados de idosos chineses e, simultaneamente, a única fonte da Ásia Oriental na base de dados (após a verificação de que uma referência alternativa inicialmente identificada não era verificável).</w:t>
      </w:r>
    </w:p>
    <w:p>
      <w:pPr>
        <w:pStyle w:val="Heading3"/>
        <w:numPr>
          <w:ilvl w:val="2"/>
          <w:numId w:val="0"/>
        </w:numPr>
      </w:pPr>
      <w:r>
        <w:t>A.5.13 Estudo excluído: reconstrução corporal 3D a partir de fotografias ortogonais</w:t>
      </w:r>
    </w:p>
    <w:p>
      <w:pPr>
        <w:pStyle w:val="Bibliography"/>
      </w:pPr>
      <w:r>
        <w:rPr>
          <w:b/>
        </w:rPr>
        <w:t>Fonte:</w:t>
      </w:r>
      <w:r>
        <w:t xml:space="preserve"> artigo metodológico sobre reconstrução de modelos corporais 3D a partir de fotografias ortogonais, publicado no </w:t>
      </w:r>
      <w:r>
        <w:rPr>
          <w:i/>
        </w:rPr>
        <w:t>International Journal of Industrial Ergonomics</w:t>
      </w:r>
      <w:r>
        <w:t>, usando deformação de forma livre (FFD).</w:t>
      </w:r>
    </w:p>
    <w:p>
      <w:pPr>
        <w:pStyle w:val="Bibliography"/>
      </w:pPr>
      <w:r>
        <w:rPr>
          <w:b/>
        </w:rPr>
        <w:t>Decisão: excluído.</w:t>
      </w:r>
      <w: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1"/>
          <w:numId w:val="0"/>
        </w:numPr>
      </w:pPr>
      <w:r>
        <w:t>A.6 Estrutura do CSV e Schema</w:t>
      </w:r>
    </w:p>
    <w:p>
      <w:pPr>
        <w:pStyle w:val="Heading3"/>
        <w:numPr>
          <w:ilvl w:val="2"/>
          <w:numId w:val="0"/>
        </w:numPr>
      </w:pPr>
      <w:r>
        <w:t>A.6.1 Campos</w:t>
      </w:r>
    </w:p>
    <w:tbl>
      <w:tblPr>
        <w:tblStyle w:val="Tabelacomgrelha"/>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rPr>
                <w:b/>
              </w:rPr>
              <w:t>Campo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Tipo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int</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Região corporal (</w:t>
            </w:r>
            <w:r>
              <w:t>hand</w:t>
            </w:r>
            <w:r>
              <w:t xml:space="preserve">, </w:t>
            </w:r>
            <w:r>
              <w:t>forearm</w:t>
            </w:r>
            <w:r>
              <w:t xml:space="preserve">, </w:t>
            </w:r>
            <w:r>
              <w:t>upper</w:t>
            </w:r>
            <w:r>
              <w:rPr>
                <w:i/>
              </w:rPr>
              <w:t>arm</w:t>
            </w:r>
            <w:r>
              <w:t xml:space="preserve">, </w:t>
            </w:r>
            <w:r>
              <w:t>lower</w:t>
            </w:r>
            <w:r>
              <w:rPr>
                <w:i/>
              </w:rPr>
              <w:t>limb</w:t>
            </w:r>
            <w:r>
              <w:t xml:space="preserve">, </w:t>
            </w:r>
            <w:r>
              <w:t>torso</w:t>
            </w:r>
            <w:r>
              <w:t xml:space="preserve">, </w:t>
            </w:r>
            <w:r>
              <w:t>head</w:t>
            </w:r>
            <w: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measurement</w:t>
            </w:r>
            <w:r>
              <w:rPr>
                <w:i/>
              </w:rPr>
              <w:t>method</w:t>
            </w:r>
            <w:r>
              <w:t>note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country</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sex</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male</w:t>
            </w:r>
            <w:r>
              <w:t xml:space="preserve">, </w:t>
            </w:r>
            <w:r>
              <w:t>female</w:t>
            </w:r>
            <w:r>
              <w:t xml:space="preserve"> ou </w:t>
            </w:r>
            <w: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int</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 xml:space="preserve">Tipo de estatística: </w:t>
            </w:r>
            <w:r>
              <w:t>mean</w:t>
            </w:r>
            <w:r>
              <w:t xml:space="preserve">, </w:t>
            </w:r>
            <w:r>
              <w:t>std</w:t>
            </w:r>
            <w:r>
              <w:rPr>
                <w:i/>
              </w:rPr>
              <w:t>dev</w:t>
            </w:r>
            <w:r>
              <w:t xml:space="preserve">, </w:t>
            </w:r>
            <w:r>
              <w:t>percentile</w:t>
            </w:r>
            <w:r>
              <w:t xml:space="preserve">, </w:t>
            </w:r>
            <w:r>
              <w:t>min</w:t>
            </w:r>
            <w:r>
              <w:t xml:space="preserve">, </w:t>
            </w:r>
            <w: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float</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float</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float</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data</w:t>
            </w:r>
            <w:r>
              <w:rPr>
                <w:i/>
              </w:rPr>
              <w:t>quality</w:t>
            </w:r>
            <w:r>
              <w:t>note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string</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Notas sobre limitações, artefactos ou incertezas do valor</w:t>
            </w:r>
          </w:p>
        </w:tc>
      </w:tr>
    </w:tbl>
    <w:p>
      <w:pPr>
        <w:pStyle w:val="Heading3"/>
        <w:numPr>
          <w:ilvl w:val="2"/>
          <w:numId w:val="0"/>
        </w:numPr>
      </w:pPr>
      <w:r>
        <w:t>A.6.2 Formato longo (long format)</w:t>
      </w:r>
    </w:p>
    <w:p>
      <w:pPr>
        <w:pStyle w:val="Bibliography"/>
      </w:pPr>
      <w:r>
        <w:t xml:space="preserve">A opção pelo formato longo — uma linha por estatística, e não uma linha por dimensão com colunas </w:t>
      </w:r>
      <w:r>
        <w:t>mean</w:t>
      </w:r>
      <w:r>
        <w:t xml:space="preserve">, </w:t>
      </w:r>
      <w:r>
        <w:t>sd</w:t>
      </w:r>
      <w:r>
        <w:t xml:space="preserve">, </w:t>
      </w:r>
      <w:r>
        <w:t>p5</w:t>
      </w:r>
      <w:r>
        <w:t>, etc. — permite:</w:t>
      </w:r>
    </w:p>
    <w:p>
      <w:pPr>
        <w:pStyle w:val="Bibliography"/>
      </w:pPr>
      <w:r>
        <w:t>- Filtrar facilmente por tipo de estatística sem tratamento especial de colunas opcionais</w:t>
      </w:r>
    </w:p>
    <w:p>
      <w:pPr>
        <w:pStyle w:val="Bibliography"/>
      </w:pPr>
      <w:r>
        <w:t>- Incluir estudos que reportam apenas subconjuntos de estatísticas (e.g., apenas média, sem percentis) sem introduzir células vazias em colunas estruturais</w:t>
      </w:r>
    </w:p>
    <w:p>
      <w:pPr>
        <w:pStyle w:val="Bibliography"/>
      </w:pPr>
      <w:r>
        <w:t>- Acrescentar novos tipos de estatística (e.g., intervalo de confiança) sem alterar o schema</w:t>
      </w:r>
    </w:p>
    <w:p>
      <w:pPr>
        <w:pStyle w:val="Bibliography"/>
      </w:pPr>
      <w:r>
        <w:t>O custo é a repetição dos campos de identificação (país, sexo, dimensão) em cada linha — aceitável dado o volume total de dados (&lt; 5 MB).</w:t>
      </w:r>
    </w:p>
    <w:p>
      <w:pPr>
        <w:pStyle w:val="Heading2"/>
        <w:numPr>
          <w:ilvl w:val="1"/>
          <w:numId w:val="0"/>
        </w:numPr>
      </w:pPr>
      <w:r>
        <w:t>A.7 Controlo de Qualidade dos Dados</w:t>
      </w:r>
    </w:p>
    <w:p>
      <w:pPr>
        <w:pStyle w:val="Heading3"/>
        <w:numPr>
          <w:ilvl w:val="2"/>
          <w:numId w:val="0"/>
        </w:numPr>
      </w:pPr>
      <w:r>
        <w:t>A.7.1 Marcação inline de limitações</w:t>
      </w:r>
    </w:p>
    <w:p>
      <w:pPr>
        <w:pStyle w:val="Bibliography"/>
      </w:pPr>
      <w:r>
        <w:t xml:space="preserve">O campo </w:t>
      </w:r>
      <w:r>
        <w:t>data</w:t>
      </w:r>
      <w:r>
        <w:rPr>
          <w:i/>
        </w:rPr>
        <w:t>quality</w:t>
      </w:r>
      <w:r>
        <w:t>note</w:t>
      </w:r>
      <w:r>
        <w:t xml:space="preserve"> é preenchido sempre que existe uma das seguintes situações:</w:t>
      </w:r>
    </w:p>
    <w:p>
      <w:pPr>
        <w:pStyle w:val="Bibliography"/>
      </w:pPr>
      <w:r>
        <w:t>- Valor extraído de uma figura (diagrama ou gráfico) em vez de uma tabela</w:t>
      </w:r>
    </w:p>
    <w:p>
      <w:pPr>
        <w:pStyle w:val="Bibliography"/>
      </w:pPr>
      <w:r>
        <w:t>- Subgrupo com n ≤ 10</w:t>
      </w:r>
    </w:p>
    <w:p>
      <w:pPr>
        <w:pStyle w:val="Bibliography"/>
      </w:pPr>
      <w:r>
        <w:t>- Desvio-padrão ausente ou atipicamente elevado</w:t>
      </w:r>
    </w:p>
    <w:p>
      <w:pPr>
        <w:pStyle w:val="Bibliography"/>
      </w:pPr>
      <w:r>
        <w:t>- Valor estimado a partir de estatísticas adjacentes por ilegibilidade da tabela</w:t>
      </w:r>
    </w:p>
    <w:p>
      <w:pPr>
        <w:pStyle w:val="Bibliography"/>
      </w:pPr>
      <w:r>
        <w:t>- Correlação fraca entre variáveis reportada pelo próprio estudo</w:t>
      </w:r>
    </w:p>
    <w:p>
      <w:pPr>
        <w:pStyle w:val="Bibliography"/>
      </w:pPr>
      <w:r>
        <w:t>- Inconsistência tipográfica no documento original, corrigida com nota</w:t>
      </w:r>
    </w:p>
    <w:p>
      <w:pPr>
        <w:pStyle w:val="Heading3"/>
        <w:numPr>
          <w:ilvl w:val="2"/>
          <w:numId w:val="0"/>
        </w:numPr>
      </w:pPr>
      <w:r>
        <w:t>A.7.2 Verificação de unidades</w:t>
      </w:r>
    </w:p>
    <w:p>
      <w:pPr>
        <w:pStyle w:val="Bibliography"/>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2"/>
          <w:numId w:val="0"/>
        </w:numPr>
      </w:pPr>
      <w:r>
        <w:t>A.7.3 Rastreabilidade total</w:t>
      </w:r>
    </w:p>
    <w:p>
      <w:pPr>
        <w:pStyle w:val="Bibliography"/>
      </w:pPr>
      <w:r>
        <w:t>Cada linha do CSV contém a citação completa (</w:t>
      </w:r>
      <w:r>
        <w:t>source</w:t>
      </w:r>
      <w:r>
        <w:rPr>
          <w:i/>
        </w:rPr>
        <w:t>citation</w:t>
      </w:r>
      <w:r>
        <w:t>) e o número de página exato (</w:t>
      </w:r>
      <w:r>
        <w:t>source</w:t>
      </w:r>
      <w:r>
        <w:rPr>
          <w:i/>
        </w:rPr>
        <w:t>page</w:t>
      </w:r>
      <w:r>
        <w:t>), permitindo que qualquer valor seja verificado diretamente na fonte primária sem necessidade de metadados externos.</w:t>
      </w:r>
    </w:p>
    <w:p>
      <w:pPr>
        <w:pStyle w:val="Heading2"/>
        <w:numPr>
          <w:ilvl w:val="1"/>
          <w:numId w:val="0"/>
        </w:numPr>
      </w:pPr>
      <w:r>
        <w:t>A.8 Escrita do Código de Geração</w:t>
      </w:r>
    </w:p>
    <w:p>
      <w:pPr>
        <w:pStyle w:val="Bibliography"/>
      </w:pPr>
      <w:r>
        <w:t>Os dados foram codificados em dois scripts Python independentes:</w:t>
      </w:r>
    </w:p>
    <w:p>
      <w:pPr>
        <w:pStyle w:val="Bibliography"/>
      </w:pPr>
      <w:r>
        <w:t xml:space="preserve">- </w:t>
      </w:r>
      <w:r>
        <w:t>generate</w:t>
      </w:r>
      <w:r>
        <w:rPr>
          <w:i/>
        </w:rPr>
        <w:t>ansur</w:t>
      </w:r>
      <w:r>
        <w:t>csv.py</w:t>
      </w:r>
      <w:r>
        <w:t xml:space="preserve"> — gera </w:t>
      </w:r>
      <w:r>
        <w:t>ansur</w:t>
      </w:r>
      <w:r>
        <w:rPr>
          <w:i/>
        </w:rPr>
        <w:t>1988</w:t>
      </w:r>
      <w:r>
        <w:t>complete.csv</w:t>
      </w:r>
      <w:r>
        <w:t xml:space="preserve"> e </w:t>
      </w:r>
      <w:r>
        <w:t>ansur</w:t>
      </w:r>
      <w:r>
        <w:rPr>
          <w:i/>
        </w:rPr>
        <w:t>1988</w:t>
      </w:r>
      <w:r>
        <w:t>hand</w:t>
      </w:r>
      <w:r>
        <w:rPr>
          <w:i/>
        </w:rPr>
        <w:t>arm.csv</w:t>
      </w:r>
      <w:r>
        <w:t xml:space="preserve"> a partir de dicionários Python embutidos no script, um por tabela do relatório ANSUR</w:t>
      </w:r>
    </w:p>
    <w:p>
      <w:pPr>
        <w:pStyle w:val="Bibliography"/>
      </w:pPr>
      <w:r>
        <w:t xml:space="preserve">- </w:t>
      </w:r>
      <w:r>
        <w:t>generate</w:t>
      </w:r>
      <w:r>
        <w:rPr>
          <w:i/>
        </w:rPr>
        <w:t>multi</w:t>
      </w:r>
      <w:r>
        <w:t>population</w:t>
      </w:r>
      <w:r>
        <w:rPr>
          <w:i/>
        </w:rPr>
        <w:t>hand</w:t>
      </w:r>
      <w:r>
        <w:t>csv.py</w:t>
      </w:r>
      <w:r>
        <w:t xml:space="preserve"> — gera </w:t>
      </w:r>
      <w:r>
        <w:t>multi</w:t>
      </w:r>
      <w:r>
        <w:rPr>
          <w:i/>
        </w:rPr>
        <w:t>population</w:t>
      </w:r>
      <w:r>
        <w:t>hand.csv</w:t>
      </w:r>
      <w:r>
        <w:t xml:space="preserve"> a partir de dez secções numeradas, cada uma correspondente a um estudo ou conjunto de datasets</w:t>
      </w:r>
    </w:p>
    <w:p>
      <w:pPr>
        <w:pStyle w:val="Bibliography"/>
      </w:pPr>
      <w: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pStyle w:val="Bibliography"/>
      </w:pPr>
      <w:r>
        <w:t xml:space="preserve">O script aplica automaticamente as conversões de unidade, calcula </w:t>
      </w:r>
      <w:r>
        <w:t>value</w:t>
      </w:r>
      <w:r>
        <w:rPr>
          <w:i/>
        </w:rPr>
        <w:t>in</w:t>
      </w:r>
      <w:r>
        <w:t xml:space="preserve"> a partir de </w:t>
      </w:r>
      <w:r>
        <w:t>value</w:t>
      </w:r>
      <w:r>
        <w:rPr>
          <w:i/>
        </w:rPr>
        <w:t>cm</w:t>
      </w:r>
      <w:r>
        <w:t xml:space="preserve">, e valida que nenhuma linha é emitida sem pelo menos uma das colunas </w:t>
      </w:r>
      <w:r>
        <w:t>value</w:t>
      </w:r>
      <w:r>
        <w:rPr>
          <w:i/>
        </w:rPr>
        <w:t>mm</w:t>
      </w:r>
      <w:r>
        <w:t xml:space="preserve"> ou </w:t>
      </w:r>
      <w:r>
        <w:t>value</w:t>
      </w:r>
      <w:r>
        <w:rPr>
          <w:i/>
        </w:rPr>
        <w:t>cm</w:t>
      </w:r>
      <w:r>
        <w:t xml:space="preserve"> preenchida.</w:t>
      </w:r>
    </w:p>
    <w:p>
      <w:pPr>
        <w:pStyle w:val="Heading2"/>
        <w:numPr>
          <w:ilvl w:val="1"/>
          <w:numId w:val="0"/>
        </w:numPr>
      </w:pPr>
      <w:r>
        <w:t>A.9 Resultado Final</w:t>
      </w:r>
    </w:p>
    <w:tbl>
      <w:tblPr>
        <w:tblStyle w:val="Tabelacomgrelha"/>
        <w:tblW w:w="5000" w:type="pct"/>
        <w:jc w:val="left"/>
        <w:tblInd w:w="108" w:type="dxa"/>
        <w:tblLayout w:type="fixed"/>
        <w:tblCellMar>
          <w:top w:w="0" w:type="dxa"/>
          <w:left w:w="108" w:type="dxa"/>
          <w:bottom w:w="0" w:type="dxa"/>
          <w:right w:w="108" w:type="dxa"/>
        </w:tblCellMar>
      </w:tblPr>
      <w:tblGrid>
        <w:gridCol w:w="1805"/>
        <w:gridCol w:w="1805"/>
        <w:gridCol w:w="1803"/>
        <w:gridCol w:w="1805"/>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rPr>
                <w:b/>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rPr>
                <w:b/>
              </w:rPr>
              <w:t>Linhas (dados)</w:t>
            </w:r>
          </w:p>
        </w:tc>
        <w:tc>
          <w:tcPr>
            <w:tcW w:w="1803" w:type="dxa"/>
            <w:tcBorders>
              <w:top w:val="single" w:sz="4" w:space="0" w:color="808080"/>
              <w:left w:val="single" w:sz="4" w:space="0" w:color="808080"/>
              <w:bottom w:val="single" w:sz="4" w:space="0" w:color="808080"/>
              <w:right w:val="single" w:sz="4" w:space="0" w:color="808080"/>
            </w:tcBorders>
          </w:tcPr>
          <w:p>
            <w:pPr>
              <w:pStyle w:val="TextoNormal-IPCA"/>
            </w:pPr>
            <w:r>
              <w:rPr>
                <w:b/>
              </w:rPr>
              <w:t>Países</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rPr>
                <w:b/>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rPr>
                <w:b/>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ansur</w:t>
            </w:r>
            <w:r>
              <w:rPr>
                <w:i/>
              </w:rPr>
              <w:t>1988</w:t>
            </w:r>
            <w: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2.726</w:t>
            </w:r>
          </w:p>
        </w:tc>
        <w:tc>
          <w:tcPr>
            <w:tcW w:w="1803" w:type="dxa"/>
            <w:tcBorders>
              <w:top w:val="single" w:sz="4" w:space="0" w:color="808080"/>
              <w:left w:val="single" w:sz="4" w:space="0" w:color="808080"/>
              <w:bottom w:val="single" w:sz="4" w:space="0" w:color="808080"/>
              <w:right w:val="single" w:sz="4" w:space="0" w:color="808080"/>
            </w:tcBorders>
          </w:tcPr>
          <w:p>
            <w:pPr>
              <w:pStyle w:val="TextoNormal-IPCA"/>
            </w:pPr>
            <w:r>
              <w:t>1 (EUA)</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1</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ansur</w:t>
            </w:r>
            <w:r>
              <w:rPr>
                <w:i/>
              </w:rPr>
              <w:t>1988</w:t>
            </w:r>
            <w: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696</w:t>
            </w:r>
          </w:p>
        </w:tc>
        <w:tc>
          <w:tcPr>
            <w:tcW w:w="1803" w:type="dxa"/>
            <w:tcBorders>
              <w:top w:val="single" w:sz="4" w:space="0" w:color="808080"/>
              <w:left w:val="single" w:sz="4" w:space="0" w:color="808080"/>
              <w:bottom w:val="single" w:sz="4" w:space="0" w:color="808080"/>
              <w:right w:val="single" w:sz="4" w:space="0" w:color="808080"/>
            </w:tcBorders>
          </w:tcPr>
          <w:p>
            <w:pPr>
              <w:pStyle w:val="TextoNormal-IPCA"/>
            </w:pPr>
            <w:r>
              <w:t>1 (EUA)</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1</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multi</w:t>
            </w:r>
            <w:r>
              <w:rPr>
                <w:i/>
              </w:rPr>
              <w:t>population</w:t>
            </w:r>
            <w:r>
              <w:t>hand.csv</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1.790</w:t>
            </w:r>
          </w:p>
        </w:tc>
        <w:tc>
          <w:tcPr>
            <w:tcW w:w="1803" w:type="dxa"/>
            <w:tcBorders>
              <w:top w:val="single" w:sz="4" w:space="0" w:color="808080"/>
              <w:left w:val="single" w:sz="4" w:space="0" w:color="808080"/>
              <w:bottom w:val="single" w:sz="4" w:space="0" w:color="808080"/>
              <w:right w:val="single" w:sz="4" w:space="0" w:color="808080"/>
            </w:tcBorders>
          </w:tcPr>
          <w:p>
            <w:pPr>
              <w:pStyle w:val="TextoNormal-IPCA"/>
            </w:pPr>
            <w:r>
              <w:t>9</w:t>
            </w:r>
          </w:p>
        </w:tc>
        <w:tc>
          <w:tcPr>
            <w:tcW w:w="1805" w:type="dxa"/>
            <w:tcBorders>
              <w:top w:val="single" w:sz="4" w:space="0" w:color="808080"/>
              <w:left w:val="single" w:sz="4" w:space="0" w:color="808080"/>
              <w:bottom w:val="single" w:sz="4" w:space="0" w:color="808080"/>
              <w:right w:val="single" w:sz="4" w:space="0" w:color="808080"/>
            </w:tcBorders>
          </w:tcPr>
          <w:p>
            <w:pPr>
              <w:pStyle w:val="TextoNormal-IPCA"/>
            </w:pPr>
            <w:r>
              <w:t>11</w:t>
            </w:r>
          </w:p>
        </w:tc>
        <w:tc>
          <w:tcPr>
            <w:tcW w:w="1808" w:type="dxa"/>
            <w:tcBorders>
              <w:top w:val="single" w:sz="4" w:space="0" w:color="808080"/>
              <w:left w:val="single" w:sz="4" w:space="0" w:color="808080"/>
              <w:bottom w:val="single" w:sz="4" w:space="0" w:color="808080"/>
              <w:right w:val="single" w:sz="4" w:space="0" w:color="808080"/>
            </w:tcBorders>
          </w:tcPr>
          <w:p>
            <w:pPr>
              <w:pStyle w:val="TextoNormal-IPCA"/>
            </w:pPr>
            <w:r>
              <w:t>~85</w:t>
            </w:r>
          </w:p>
        </w:tc>
      </w:tr>
    </w:tbl>
    <w:p>
      <w:pPr>
        <w:pStyle w:val="Bibliography"/>
      </w:pPr>
      <w:r>
        <w:t xml:space="preserve">O ficheiro </w:t>
      </w:r>
      <w:r>
        <w:t>multi</w:t>
      </w:r>
      <w:r>
        <w:rPr>
          <w:i/>
        </w:rPr>
        <w:t>population</w:t>
      </w:r>
      <w:r>
        <w:t>hand.csv</w:t>
      </w:r>
      <w: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2"/>
        <w:numPr>
          <w:ilvl w:val="1"/>
          <w:numId w:val="0"/>
        </w:numPr>
      </w:pPr>
      <w:r>
        <w:t>A.10 Cobertura Global da Base de Dados e Lacunas</w:t>
      </w:r>
    </w:p>
    <w:p>
      <w:pPr>
        <w:pStyle w:val="Heading3"/>
        <w:numPr>
          <w:ilvl w:val="2"/>
          <w:numId w:val="0"/>
        </w:numPr>
      </w:pPr>
      <w:r>
        <w:t>A.10.1 O que está coberto</w:t>
      </w:r>
    </w:p>
    <w:p>
      <w:pPr>
        <w:pStyle w:val="Bibliography"/>
      </w:pPr>
      <w:r>
        <w:t xml:space="preserve">A base de dados </w:t>
      </w:r>
      <w:r>
        <w:t>multi</w:t>
      </w:r>
      <w:r>
        <w:rPr>
          <w:i/>
        </w:rPr>
        <w:t>population</w:t>
      </w:r>
      <w:r>
        <w:t>hand.csv</w:t>
      </w:r>
      <w:r>
        <w:t xml:space="preserve"> foi construída com o objetivo de representar a variabilidade antropométrica da mão humana em múltiplas dimensões: geográfica, demográfica, etária e estatística. A tabela seguinte sintetiza a cobertura atual.</w:t>
      </w:r>
    </w:p>
    <w:p>
      <w:pPr>
        <w:pStyle w:val="Heading4"/>
        <w:numPr>
          <w:ilvl w:val="3"/>
          <w:numId w:val="0"/>
        </w:numPr>
      </w:pPr>
      <w:r>
        <w:t>A.10.1.1 Cobertura geográfica</w:t>
      </w:r>
    </w:p>
    <w:tbl>
      <w:tblPr>
        <w:tblStyle w:val="Tabelacomgrelha"/>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rPr>
                <w:b/>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EUA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México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Jordânia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África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Nigéria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Índia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Turquia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Chatzioglou et al. (2024)</w:t>
            </w:r>
          </w:p>
        </w:tc>
      </w:tr>
    </w:tbl>
    <w:p>
      <w:pPr>
        <w:pStyle w:val="Bibliography"/>
      </w:pPr>
      <w:r>
        <w:t>Nove países estão representados, distribuídos por sete regiões do mundo. A cobertura é particularmente densa nos EUA (três fontes independentes) e nos Países Baixos (três sub-datasets DINED).</w:t>
      </w:r>
    </w:p>
    <w:p>
      <w:pPr>
        <w:pStyle w:val="Heading4"/>
        <w:numPr>
          <w:ilvl w:val="3"/>
          <w:numId w:val="0"/>
        </w:numPr>
      </w:pPr>
      <w:r>
        <w:t>A.10.1.2 Cobertura etária</w:t>
      </w:r>
    </w:p>
    <w:tbl>
      <w:tblPr>
        <w:tblStyle w:val="Tabelacomgrelha"/>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rPr>
                <w:b/>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rPr>
                <w:b/>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2–12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15–19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México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18–30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17–58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EUA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15–59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México</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19–30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Nigéria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20–40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Jordânia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20–60+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50–80+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TextoNormal-IPCA"/>
            </w:pPr>
            <w:r>
              <w:t>65–85 anos</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China</w:t>
            </w:r>
          </w:p>
        </w:tc>
        <w:tc>
          <w:tcPr>
            <w:tcW w:w="3009" w:type="dxa"/>
            <w:tcBorders>
              <w:top w:val="single" w:sz="4" w:space="0" w:color="808080"/>
              <w:left w:val="single" w:sz="4" w:space="0" w:color="808080"/>
              <w:bottom w:val="single" w:sz="4" w:space="0" w:color="808080"/>
              <w:right w:val="single" w:sz="4" w:space="0" w:color="808080"/>
            </w:tcBorders>
          </w:tcPr>
          <w:p>
            <w:pPr>
              <w:pStyle w:val="TextoNormal-IPCA"/>
            </w:pPr>
            <w:r>
              <w:t>Hu et al. (2007)</w:t>
            </w:r>
          </w:p>
        </w:tc>
      </w:tr>
    </w:tbl>
    <w:p>
      <w:pPr>
        <w:pStyle w:val="Bibliography"/>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4"/>
        <w:numPr>
          <w:ilvl w:val="3"/>
          <w:numId w:val="0"/>
        </w:numPr>
      </w:pPr>
      <w:r>
        <w:t>A.10.1.3 Cobertura estatística</w:t>
      </w:r>
    </w:p>
    <w:p>
      <w:pPr>
        <w:pStyle w:val="Bibliography"/>
      </w:pPr>
      <w:r>
        <w:t>A profundidade estatística varia consideravelmente entre fontes:</w:t>
      </w:r>
    </w:p>
    <w:tbl>
      <w:tblPr>
        <w:tblStyle w:val="Tabelacomgrelha"/>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rPr>
                <w:b/>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rPr>
                <w:b/>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TextoNormal-IPCA"/>
            </w:pPr>
            <w: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TextoNormal-IPCA"/>
            </w:pPr>
            <w:r>
              <w:t>Mistarihi (2020) — largura da mão; Lim et al. (2018)</w:t>
            </w:r>
          </w:p>
        </w:tc>
      </w:tr>
    </w:tbl>
    <w:p>
      <w:pPr>
        <w:pStyle w:val="Bibliography"/>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numPr>
          <w:ilvl w:val="2"/>
          <w:numId w:val="0"/>
        </w:numPr>
      </w:pPr>
      <w:r>
        <w:t>A.10.2 Onde a cobertura falha</w:t>
      </w:r>
    </w:p>
    <w:p>
      <w:pPr>
        <w:pStyle w:val="Heading4"/>
        <w:numPr>
          <w:ilvl w:val="3"/>
          <w:numId w:val="0"/>
        </w:numPr>
      </w:pPr>
      <w:r>
        <w:t>A.10.2.1 Lacunas geográficas</w:t>
      </w:r>
    </w:p>
    <w:p>
      <w:pPr>
        <w:pStyle w:val="Bibliography"/>
      </w:pPr>
      <w:r>
        <w:t>As regiões mais populosas do mundo estão sub-representadas ou ausentes:</w:t>
      </w:r>
    </w:p>
    <w:p>
      <w:pPr>
        <w:pStyle w:val="Bibliography"/>
      </w:pPr>
      <w:r>
        <w:t xml:space="preserve">- </w:t>
      </w:r>
      <w:r>
        <w:rPr>
          <w:b/>
        </w:rPr>
        <w:t>Ásia Oriental</w:t>
      </w:r>
      <w: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Bibliography"/>
      </w:pPr>
      <w:r>
        <w:t xml:space="preserve">- </w:t>
      </w:r>
      <w:r>
        <w:rPr>
          <w:b/>
        </w:rPr>
        <w:t>Ásia do Sudeste</w:t>
      </w:r>
      <w: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pPr>
      <w:r>
        <w:t xml:space="preserve">- </w:t>
      </w:r>
      <w:r>
        <w:rPr>
          <w:b/>
        </w:rPr>
        <w:t>África Subsaariana</w:t>
      </w:r>
      <w: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pPr>
      <w:r>
        <w:t xml:space="preserve">- </w:t>
      </w:r>
      <w:r>
        <w:rPr>
          <w:b/>
        </w:rPr>
        <w:t>América do Sul</w:t>
      </w:r>
      <w:r>
        <w:t xml:space="preserve"> — Completamente ausente. Brasil, Colômbia e Argentina têm literatura ergonómica publicada mas não foram identificadas fontes acessíveis com dados de mão codificáveis.</w:t>
      </w:r>
    </w:p>
    <w:p>
      <w:pPr>
        <w:pStyle w:val="Bibliography"/>
      </w:pPr>
      <w:r>
        <w:t xml:space="preserve">- </w:t>
      </w:r>
      <w:r>
        <w:rPr>
          <w:b/>
        </w:rPr>
        <w:t>Europa Central e de Leste</w:t>
      </w:r>
      <w:r>
        <w:t xml:space="preserve"> — Ausente. Os Países Baixos e Portugal representam a Europa, mas há variabilidade antropométrica documentada entre populações do norte, sul e leste do continente.</w:t>
      </w:r>
    </w:p>
    <w:p>
      <w:pPr>
        <w:pStyle w:val="Heading4"/>
        <w:numPr>
          <w:ilvl w:val="3"/>
          <w:numId w:val="0"/>
        </w:numPr>
      </w:pPr>
      <w:r>
        <w:t>A.10.2.2 Lacunas demográficas</w:t>
      </w:r>
    </w:p>
    <w:p>
      <w:pPr>
        <w:pStyle w:val="Bibliography"/>
      </w:pPr>
      <w:r>
        <w:t xml:space="preserve">- </w:t>
      </w:r>
      <w:r>
        <w:rPr>
          <w:b/>
        </w:rPr>
        <w:t>Adolescentes (13–17 anos)</w:t>
      </w:r>
      <w:r>
        <w:t xml:space="preserve"> — a transição da mão infantil para a adulta não está coberta por nenhum estudo dedicado. O kima1993 chega aos 12 anos e o ANSUR começa aos 17.</w:t>
      </w:r>
    </w:p>
    <w:p>
      <w:pPr>
        <w:pStyle w:val="Bibliography"/>
      </w:pPr>
      <w:r>
        <w:t xml:space="preserve">- </w:t>
      </w:r>
      <w:r>
        <w:rPr>
          <w:b/>
        </w:rPr>
        <w:t>Amputados</w:t>
      </w:r>
      <w: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pPr>
      <w:r>
        <w:t xml:space="preserve">- </w:t>
      </w:r>
      <w:r>
        <w:rPr>
          <w:b/>
        </w:rPr>
        <w:t>Pessoas com deficiência física</w:t>
      </w:r>
      <w:r>
        <w:t xml:space="preserve"> — apenas o estudo de Mistarihi (2020) cobre esta população (n=40, sexos combinados, Jordânia). A dimensão amostral é insuficiente para ser estatisticamente representativa.</w:t>
      </w:r>
    </w:p>
    <w:p>
      <w:pPr>
        <w:pStyle w:val="Bibliography"/>
      </w:pPr>
      <w:r>
        <w:t xml:space="preserve">- </w:t>
      </w:r>
      <w:r>
        <w:rPr>
          <w:b/>
        </w:rPr>
        <w:t>Idosos fora da Europa e China</w:t>
      </w:r>
      <w: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3"/>
          <w:numId w:val="0"/>
        </w:numPr>
      </w:pPr>
      <w:r>
        <w:t>A.10.2.3 Limitações qualitativas dos dados existentes</w:t>
      </w:r>
    </w:p>
    <w:p>
      <w:pPr>
        <w:pStyle w:val="Bibliography"/>
      </w:pPr>
      <w:r>
        <w:t>Para além das lacunas por ausência, existem limitações nos dados já presentes:</w:t>
      </w:r>
    </w:p>
    <w:p>
      <w:pPr>
        <w:pStyle w:val="Bibliography"/>
      </w:pPr>
      <w:r>
        <w:t xml:space="preserve">- </w:t>
      </w:r>
      <w:r>
        <w:rPr>
          <w:b/>
        </w:rPr>
        <w:t>Heterogeneidade de protocolos</w:t>
      </w:r>
      <w: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pPr>
      <w:r>
        <w:t xml:space="preserve">- </w:t>
      </w:r>
      <w:r>
        <w:rPr>
          <w:b/>
        </w:rPr>
        <w:t>Amostras de conveniência</w:t>
      </w:r>
      <w: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pPr>
      <w:r>
        <w:t xml:space="preserve">- </w:t>
      </w:r>
      <w:r>
        <w:rPr>
          <w:b/>
        </w:rPr>
        <w:t>Desequilíbrio de dimensões</w:t>
      </w:r>
      <w:r>
        <w:t xml:space="preserve"> — o comprimento da mão e a largura da mão (metacarpal) estão presentes em quase todas as fontes; comprimentos por falange individual, profundidade da palma, e ângulos de abdução dos dedos estão ausentes exceto no ANSUR.</w:t>
      </w:r>
    </w:p>
    <w:p>
      <w:pPr>
        <w:pStyle w:val="Bibliography"/>
      </w:pPr>
      <w:r>
        <w:t xml:space="preserve">- </w:t>
      </w:r>
      <w:r>
        <w:rPr>
          <w:b/>
        </w:rPr>
        <w:t>Mão medida</w:t>
      </w:r>
      <w: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numPr>
          <w:ilvl w:val="2"/>
          <w:numId w:val="0"/>
        </w:numPr>
      </w:pPr>
      <w:r>
        <w:t>A.10.3 Frentes identificadas para expansão futura</w:t>
      </w:r>
    </w:p>
    <w:p>
      <w:pPr>
        <w:pStyle w:val="Bibliography"/>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3"/>
          <w:numId w:val="0"/>
        </w:numPr>
      </w:pPr>
      <w:r>
        <w:t>A.10.3.1 Prioridade alta</w:t>
      </w:r>
    </w:p>
    <w:p>
      <w:pPr>
        <w:pStyle w:val="Bibliography"/>
      </w:pPr>
      <w:r>
        <w:t>- Dados pediátricos e adolescentes da Ásia Oriental, capazes de preencher a lacuna entre os 13 e os 17 anos e de reduzir a dependência de fontes neerlandesas para perfis infantis.</w:t>
      </w:r>
    </w:p>
    <w:p>
      <w:pPr>
        <w:pStyle w:val="Bibliography"/>
      </w:pPr>
      <w:r>
        <w:t>- Dados industriais ou ergonómicos do Médio Oriente com maior dimensão amostral e separação por sexo, de modo a complementar a fonte jordana já incluída.</w:t>
      </w:r>
    </w:p>
    <w:p>
      <w:pPr>
        <w:pStyle w:val="Bibliography"/>
      </w:pPr>
      <w:r>
        <w:t>- Bases públicas nacionais com dados de mão para populações asiáticas, quando disponibilizarem metadados claros e condições de reutilização compatíveis com investigação académica.</w:t>
      </w:r>
    </w:p>
    <w:p>
      <w:pPr>
        <w:pStyle w:val="Heading4"/>
        <w:numPr>
          <w:ilvl w:val="3"/>
          <w:numId w:val="0"/>
        </w:numPr>
      </w:pPr>
      <w:r>
        <w:t>A.10.3.2 Prioridade média</w:t>
      </w:r>
    </w:p>
    <w:p>
      <w:pPr>
        <w:pStyle w:val="Bibliography"/>
      </w:pPr>
      <w:r>
        <w:t>- Relatórios técnicos com medições granulares da mão, incluindo comprimentos por falange, profundidades articulares e ângulos de preensão.</w:t>
      </w:r>
    </w:p>
    <w:p>
      <w:pPr>
        <w:pStyle w:val="Bibliography"/>
      </w:pPr>
      <w:r>
        <w:t>- Estudos baseados em digitalização 3D com amostras adultas amplas, desde que disponibilizem estatísticas por dimensão e não apenas exemplos individuais.</w:t>
      </w:r>
    </w:p>
    <w:p>
      <w:pPr>
        <w:pStyle w:val="Heading4"/>
        <w:numPr>
          <w:ilvl w:val="3"/>
          <w:numId w:val="0"/>
        </w:numPr>
      </w:pPr>
      <w:r>
        <w:t>A.10.3.3 Pertinência direta para o tema da tese</w:t>
      </w:r>
    </w:p>
    <w:p>
      <w:pPr>
        <w:pStyle w:val="Bibliography"/>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701" w:right="1418" w:gutter="0" w:header="709" w:top="1985" w:footer="709" w:bottom="198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34591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34591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IX</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w:t>
        </w:r>
        <w:r>
          <w:rPr>
            <w:rStyle w:val="RodapCarter"/>
          </w:rPr>
          <w:fldChar w:fldCharType="end"/>
        </w:r>
      </w:p>
    </w:sdtContent>
  </w:sdt>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XIII</w:t>
        </w:r>
        <w:r>
          <w:rPr>
            <w:rStyle w:val="RodapCarter"/>
          </w:rPr>
          <w:fldChar w:fldCharType="end"/>
        </w:r>
      </w:p>
    </w:sdtContent>
  </w:sdt>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XIII</w:t>
        </w:r>
        <w:r>
          <w:rPr>
            <w:rStyle w:val="RodapCarter"/>
          </w:rPr>
          <w:fldChar w:fldCharType="end"/>
        </w:r>
      </w:p>
    </w:sdtContent>
  </w:sdt>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XIII</w:t>
        </w:r>
        <w:r>
          <w:rPr>
            <w:rStyle w:val="RodapCarter"/>
          </w:rPr>
          <w:fldChar w:fldCharType="end"/>
        </w:r>
      </w:p>
    </w:sdtContent>
  </w:sdt>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XIV</w:t>
        </w:r>
        <w:r>
          <w:rPr>
            <w:rStyle w:val="RodapCarter"/>
          </w:rPr>
          <w:fldChar w:fldCharType="end"/>
        </w:r>
      </w:p>
    </w:sdtContent>
  </w:sdt>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XIV</w:t>
        </w:r>
        <w:r>
          <w:rPr>
            <w:rStyle w:val="RodapCarter"/>
          </w:rPr>
          <w:fldChar w:fldCharType="end"/>
        </w:r>
      </w:p>
    </w:sdtContent>
  </w:sdt>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w:t>
        </w:r>
        <w:r>
          <w:rPr>
            <w:rStyle w:val="RodapCarter"/>
          </w:rPr>
          <w:fldChar w:fldCharType="end"/>
        </w:r>
      </w:p>
    </w:sdtContent>
  </w:sdt>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w:t>
        </w:r>
        <w:r>
          <w:rPr>
            <w:rStyle w:val="RodapCarter"/>
          </w:rPr>
          <w:fldChar w:fldCharType="end"/>
        </w:r>
      </w:p>
    </w:sdtContent>
  </w:sdt>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2</w:t>
        </w:r>
        <w:r>
          <w:rPr>
            <w:rStyle w:val="RodapCarter"/>
          </w:rPr>
          <w:fldChar w:fldCharType="end"/>
        </w:r>
      </w:p>
    </w:sdtContent>
  </w:sdt>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3</w:t>
        </w:r>
        <w:r>
          <w:rPr>
            <w:rStyle w:val="RodapCarter"/>
          </w:rPr>
          <w:fldChar w:fldCharType="end"/>
        </w:r>
      </w:p>
    </w:sdtContent>
  </w:sdt>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4</w:t>
        </w:r>
        <w:r>
          <w:rPr>
            <w:rStyle w:val="RodapCarter"/>
          </w:rPr>
          <w:fldChar w:fldCharType="end"/>
        </w:r>
      </w:p>
    </w:sdtContent>
  </w:sdt>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6</w:t>
        </w:r>
        <w:r>
          <w:rPr>
            <w:rStyle w:val="RodapCarter"/>
          </w:rPr>
          <w:fldChar w:fldCharType="end"/>
        </w:r>
      </w:p>
    </w:sdtContent>
  </w:sdt>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w:t>
        </w:r>
        <w:r>
          <w:rPr>
            <w:rStyle w:val="RodapCarter"/>
          </w:rPr>
          <w:fldChar w:fldCharType="end"/>
        </w:r>
      </w:p>
    </w:sdtContent>
  </w:sdt>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8</w:t>
        </w:r>
        <w:r>
          <w:rPr>
            <w:rStyle w:val="RodapCarter"/>
          </w:rPr>
          <w:fldChar w:fldCharType="end"/>
        </w:r>
      </w:p>
    </w:sdtContent>
  </w:sdt>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9</w:t>
        </w:r>
        <w:r>
          <w:rPr>
            <w:rStyle w:val="RodapCarter"/>
          </w:rPr>
          <w:fldChar w:fldCharType="end"/>
        </w:r>
      </w:p>
    </w:sdtContent>
  </w:sdt>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10</w:t>
        </w:r>
        <w:r>
          <w:rPr>
            <w:rStyle w:val="RodapCarter"/>
          </w:rPr>
          <w:fldChar w:fldCharType="end"/>
        </w:r>
      </w:p>
    </w:sdtContent>
  </w:sdt>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11</w:t>
        </w:r>
        <w:r>
          <w:rPr>
            <w:rStyle w:val="RodapCarter"/>
          </w:rPr>
          <w:fldChar w:fldCharType="end"/>
        </w:r>
      </w:p>
    </w:sdtContent>
  </w:sdt>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pPr>
      <w:r>
        <w:rPr>
          <w:rStyle w:val="FootnoteCharacters"/>
        </w:rPr>
        <w:footnoteRef/>
      </w:r>
      <w:r>
        <w:t xml:space="preserve"> </w:t>
      </w:r>
      <w: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pPr>
      <w:r>
        <w:rPr>
          <w:rStyle w:val="FootnoteCharacters"/>
        </w:rPr>
        <w:footnoteRef/>
      </w:r>
      <w:r/>
    </w:p>
  </w:footnote>
  <w:footnote w:id="4">
    <w:p>
      <w:pPr>
        <w:pStyle w:val="FootnoteText"/>
      </w:pPr>
      <w:r>
        <w:rPr>
          <w:rStyle w:val="FootnoteCharacters"/>
        </w:rPr>
        <w:footnoteRef/>
      </w:r>
      <w:r>
        <w:t xml:space="preserve"> </w:t>
      </w:r>
      <w: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pPr>
      <w:r>
        <w:rPr>
          <w:rStyle w:val="FootnoteCharacters"/>
        </w:rPr>
        <w:footnoteRef/>
      </w:r>
      <w:r>
        <w:t xml:space="preserve"> </w:t>
      </w:r>
      <w:r>
        <w:t xml:space="preserve">Por </w:t>
      </w:r>
      <w:r>
        <w:rPr>
          <w:rStyle w:val="Emphasis"/>
        </w:rPr>
        <w:t>seed design</w:t>
      </w:r>
      <w: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pPr>
      <w:r>
        <w:rPr>
          <w:rStyle w:val="FootnoteCharacters"/>
        </w:rPr>
        <w:footnoteRef/>
      </w:r>
      <w:r>
        <w:t xml:space="preserve"> </w:t>
      </w:r>
      <w:r>
        <w:rPr>
          <w:rStyle w:val="Emphasis"/>
        </w:rPr>
        <w:t>File-to-factory</w:t>
      </w:r>
      <w: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pPr>
      <w:r>
        <w:rPr>
          <w:rStyle w:val="FootnoteCharacters"/>
        </w:rPr>
        <w:footnoteRef/>
      </w:r>
      <w:r>
        <w:t xml:space="preserve"> </w:t>
      </w:r>
      <w: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pPr>
      <w:r>
        <w:rPr>
          <w:rStyle w:val="FootnoteCharacters"/>
        </w:rPr>
        <w:footnoteRef/>
      </w:r>
      <w:r>
        <w:t xml:space="preserve"> </w:t>
      </w:r>
      <w: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pPr>
      <w:r>
        <w:rPr>
          <w:rStyle w:val="FootnoteCharacters"/>
        </w:rPr>
        <w:footnoteRef/>
      </w:r>
      <w:r>
        <w:t xml:space="preserve"> </w:t>
      </w:r>
      <w: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pPr>
      <w:r>
        <w:rPr>
          <w:rStyle w:val="FootnoteCharacters"/>
        </w:rPr>
        <w:footnoteRef/>
      </w:r>
      <w:r>
        <w:t xml:space="preserve"> </w:t>
      </w:r>
      <w:r>
        <w:t>Redes neuronais artificiais são modelos computacionais compostos por camadas de unidades interligadas, que ajustam os seus parâmetros internos durante o treino para identificar padrões nos dados.</w:t>
      </w:r>
    </w:p>
  </w:footnote>
  <w:footnote w:id="11">
    <w:p>
      <w:pPr>
        <w:pStyle w:val="FootnoteText"/>
      </w:pPr>
      <w:r>
        <w:rPr>
          <w:rStyle w:val="FootnoteCharacters"/>
        </w:rPr>
        <w:footnoteRef/>
      </w:r>
      <w:r>
        <w:t xml:space="preserve"> </w:t>
      </w:r>
      <w:r>
        <w:t xml:space="preserve">Em sistemas de IA generativa, um </w:t>
      </w:r>
      <w:r>
        <w:rPr>
          <w:rStyle w:val="Emphasis"/>
        </w:rPr>
        <w:t>prompt</w:t>
      </w:r>
      <w: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pPr>
      <w:r>
        <w:rPr>
          <w:rStyle w:val="FootnoteCharacters"/>
        </w:rPr>
        <w:footnoteRef/>
      </w:r>
      <w:r>
        <w:t xml:space="preserve"> </w:t>
      </w:r>
      <w:r>
        <w:t xml:space="preserve">Um </w:t>
      </w:r>
      <w:r>
        <w:rPr>
          <w:rStyle w:val="Emphasis"/>
        </w:rPr>
        <w:t>digital twin</w:t>
      </w:r>
      <w: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pPr>
      <w:r>
        <w:rPr>
          <w:rStyle w:val="FootnoteCharacters"/>
        </w:rPr>
        <w:footnoteRef/>
      </w:r>
      <w:r>
        <w:t xml:space="preserve"> </w:t>
      </w:r>
      <w:r>
        <w:t xml:space="preserve">O </w:t>
      </w:r>
      <w:r>
        <w:rPr>
          <w:rStyle w:val="Emphasis"/>
        </w:rPr>
        <w:t>Technology Readiness Level</w:t>
      </w:r>
      <w: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updateFields w:val="true"/>
  <w:zoom w:percent="1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37.xml"/><Relationship Id="rId45" Type="http://schemas.openxmlformats.org/officeDocument/2006/relationships/footer" Target="footer38.xml"/><Relationship Id="rId46" Type="http://schemas.openxmlformats.org/officeDocument/2006/relationships/footer" Target="footer39.xml"/><Relationship Id="rId47" Type="http://schemas.openxmlformats.org/officeDocument/2006/relationships/header" Target="header4.xml"/><Relationship Id="rId48" Type="http://schemas.openxmlformats.org/officeDocument/2006/relationships/header" Target="header5.xml"/><Relationship Id="rId49" Type="http://schemas.openxmlformats.org/officeDocument/2006/relationships/footer" Target="footer40.xml"/><Relationship Id="rId50" Type="http://schemas.openxmlformats.org/officeDocument/2006/relationships/footer" Target="footer41.xml"/><Relationship Id="rId51" Type="http://schemas.openxmlformats.org/officeDocument/2006/relationships/header" Target="header6.xml"/><Relationship Id="rId52" Type="http://schemas.openxmlformats.org/officeDocument/2006/relationships/header" Target="header7.xml"/><Relationship Id="rId53" Type="http://schemas.openxmlformats.org/officeDocument/2006/relationships/footer" Target="footer42.xml"/><Relationship Id="rId54" Type="http://schemas.openxmlformats.org/officeDocument/2006/relationships/footer" Target="footer43.xml"/><Relationship Id="rId55" Type="http://schemas.openxmlformats.org/officeDocument/2006/relationships/header" Target="header8.xml"/><Relationship Id="rId56" Type="http://schemas.openxmlformats.org/officeDocument/2006/relationships/header" Target="header9.xml"/><Relationship Id="rId57" Type="http://schemas.openxmlformats.org/officeDocument/2006/relationships/footer" Target="footer44.xml"/><Relationship Id="rId58" Type="http://schemas.openxmlformats.org/officeDocument/2006/relationships/footer" Target="footer45.xml"/><Relationship Id="rId59" Type="http://schemas.openxmlformats.org/officeDocument/2006/relationships/header" Target="header10.xml"/><Relationship Id="rId60" Type="http://schemas.openxmlformats.org/officeDocument/2006/relationships/header" Target="header11.xml"/><Relationship Id="rId61" Type="http://schemas.openxmlformats.org/officeDocument/2006/relationships/footer" Target="footer46.xml"/><Relationship Id="rId62" Type="http://schemas.openxmlformats.org/officeDocument/2006/relationships/footer" Target="footer47.xml"/><Relationship Id="rId63" Type="http://schemas.openxmlformats.org/officeDocument/2006/relationships/header" Target="header12.xml"/><Relationship Id="rId64" Type="http://schemas.openxmlformats.org/officeDocument/2006/relationships/header" Target="header13.xml"/><Relationship Id="rId65" Type="http://schemas.openxmlformats.org/officeDocument/2006/relationships/header" Target="header14.xml"/><Relationship Id="rId66" Type="http://schemas.openxmlformats.org/officeDocument/2006/relationships/footer" Target="footer48.xml"/><Relationship Id="rId67" Type="http://schemas.openxmlformats.org/officeDocument/2006/relationships/footer" Target="footer49.xml"/><Relationship Id="rId68" Type="http://schemas.openxmlformats.org/officeDocument/2006/relationships/header" Target="header15.xml"/><Relationship Id="rId69" Type="http://schemas.openxmlformats.org/officeDocument/2006/relationships/header" Target="header16.xml"/><Relationship Id="rId70" Type="http://schemas.openxmlformats.org/officeDocument/2006/relationships/footer" Target="footer50.xml"/><Relationship Id="rId71" Type="http://schemas.openxmlformats.org/officeDocument/2006/relationships/footer" Target="footer51.xml"/><Relationship Id="rId72" Type="http://schemas.openxmlformats.org/officeDocument/2006/relationships/header" Target="header17.xml"/><Relationship Id="rId73" Type="http://schemas.openxmlformats.org/officeDocument/2006/relationships/header" Target="header18.xml"/><Relationship Id="rId74" Type="http://schemas.openxmlformats.org/officeDocument/2006/relationships/footer" Target="footer52.xml"/><Relationship Id="rId75" Type="http://schemas.openxmlformats.org/officeDocument/2006/relationships/footer" Target="footer53.xml"/><Relationship Id="rId76" Type="http://schemas.openxmlformats.org/officeDocument/2006/relationships/header" Target="header19.xml"/><Relationship Id="rId77" Type="http://schemas.openxmlformats.org/officeDocument/2006/relationships/header" Target="header20.xml"/><Relationship Id="rId78" Type="http://schemas.openxmlformats.org/officeDocument/2006/relationships/footer" Target="footer54.xml"/><Relationship Id="rId79" Type="http://schemas.openxmlformats.org/officeDocument/2006/relationships/footer" Target="footer55.xml"/><Relationship Id="rId80" Type="http://schemas.openxmlformats.org/officeDocument/2006/relationships/header" Target="header21.xml"/><Relationship Id="rId81" Type="http://schemas.openxmlformats.org/officeDocument/2006/relationships/header" Target="header22.xml"/><Relationship Id="rId82" Type="http://schemas.openxmlformats.org/officeDocument/2006/relationships/header" Target="header23.xml"/><Relationship Id="rId83" Type="http://schemas.openxmlformats.org/officeDocument/2006/relationships/footer" Target="footer56.xml"/><Relationship Id="rId84" Type="http://schemas.openxmlformats.org/officeDocument/2006/relationships/footer" Target="footer57.xml"/><Relationship Id="rId85" Type="http://schemas.openxmlformats.org/officeDocument/2006/relationships/footnotes" Target="footnotes.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Relationship Id="rId90" Type="http://schemas.openxmlformats.org/officeDocument/2006/relationships/glossaryDocument" Target="glossary/document.xml"/><Relationship Id="rId91" Type="http://schemas.openxmlformats.org/officeDocument/2006/relationships/customXml" Target="../customXml/item1.xml"/>
<Relationship Id="rId92" Type="http://schemas.openxmlformats.org/officeDocument/2006/relationships/image" Target="media/source_image01.png"/><Relationship Id="rId93" Type="http://schemas.openxmlformats.org/officeDocument/2006/relationships/image" Target="media/source_image02.png"/><Relationship Id="rId94" Type="http://schemas.openxmlformats.org/officeDocument/2006/relationships/image" Target="media/source_image03.png"/><Relationship Id="rId95" Type="http://schemas.openxmlformats.org/officeDocument/2006/relationships/hyperlink" Target="https://doi.org/10.1080/17483100701714733" TargetMode="External"/><Relationship Id="rId96" Type="http://schemas.openxmlformats.org/officeDocument/2006/relationships/hyperlink" Target="https://doi.org/10.1080/14606925.2024.2420152" TargetMode="External"/><Relationship Id="rId97" Type="http://schemas.openxmlformats.org/officeDocument/2006/relationships/image" Target="media/source_image04.png"/><Relationship Id="rId98" Type="http://schemas.openxmlformats.org/officeDocument/2006/relationships/hyperlink" Target="https://www.mdpi.com/2673-1592/7/2/26/pdf?version=1740996517" TargetMode="External"/><Relationship Id="rId99" Type="http://schemas.openxmlformats.org/officeDocument/2006/relationships/image" Target="media/source_image05.png"/><Relationship Id="rId100" Type="http://schemas.openxmlformats.org/officeDocument/2006/relationships/image" Target="media/source_image06.png"/><Relationship Id="rId101" Type="http://schemas.openxmlformats.org/officeDocument/2006/relationships/image" Target="media/source_image07.png"/><Relationship Id="rId102" Type="http://schemas.openxmlformats.org/officeDocument/2006/relationships/image" Target="media/source_image08.png"/><Relationship Id="rId103" Type="http://schemas.openxmlformats.org/officeDocument/2006/relationships/hyperlink" Target="https://www.semanticscholar.org/paper/305d55af5fda06b4d1b33e7d29c1f16d1b7ea488" TargetMode="External"/><Relationship Id="rId104" Type="http://schemas.openxmlformats.org/officeDocument/2006/relationships/hyperlink" Target="https://www.semanticscholar.org/paper/305d55af5fda06b4d1b33e7d29c1f16d1b7ea488" TargetMode="External"/><Relationship Id="rId105" Type="http://schemas.openxmlformats.org/officeDocument/2006/relationships/image" Target="media/source_image09.png"/><Relationship Id="rId106" Type="http://schemas.openxmlformats.org/officeDocument/2006/relationships/image" Target="media/source_image10.png"/><Relationship Id="rId107" Type="http://schemas.openxmlformats.org/officeDocument/2006/relationships/image" Target="media/source_image11.png"/><Relationship Id="rId108" Type="http://schemas.openxmlformats.org/officeDocument/2006/relationships/image" Target="media/source_image12.png"/><Relationship Id="rId109" Type="http://schemas.openxmlformats.org/officeDocument/2006/relationships/hyperlink" Target="https://doi.org/10.1109/BioRob60516.2024.10719909" TargetMode="External"/><Relationship Id="rId110" Type="http://schemas.openxmlformats.org/officeDocument/2006/relationships/image" Target="media/source_image13.png"/><Relationship Id="rId111" Type="http://schemas.openxmlformats.org/officeDocument/2006/relationships/hyperlink" Target="https://doi.org/10.1115/DETC2018-85645" TargetMode="External"/><Relationship Id="rId112" Type="http://schemas.openxmlformats.org/officeDocument/2006/relationships/image" Target="media/source_image14.png"/><Relationship Id="rId113" Type="http://schemas.openxmlformats.org/officeDocument/2006/relationships/hyperlink" Target="https://doi.org/10.1109/BioRob60516.2024.10719909" TargetMode="External"/><Relationship Id="rId114" Type="http://schemas.openxmlformats.org/officeDocument/2006/relationships/image" Target="media/source_image15.png"/><Relationship Id="rId115" Type="http://schemas.openxmlformats.org/officeDocument/2006/relationships/image" Target="media/source_image16.png"/><Relationship Id="rId116" Type="http://schemas.openxmlformats.org/officeDocument/2006/relationships/hyperlink" Target="https://doi.org/10.1088/1742-6596/2198/1/012040" TargetMode="External"/><Relationship Id="rId117" Type="http://schemas.openxmlformats.org/officeDocument/2006/relationships/image" Target="media/source_image17.png"/><Relationship Id="rId118" Type="http://schemas.openxmlformats.org/officeDocument/2006/relationships/hyperlink" Target="https://doi.org/10.1080/17483107.2025.2483953" TargetMode="External"/><Relationship Id="rId119" Type="http://schemas.openxmlformats.org/officeDocument/2006/relationships/image" Target="media/source_image18.png"/><Relationship Id="rId120" Type="http://schemas.openxmlformats.org/officeDocument/2006/relationships/hyperlink" Target="https://doi.org/10.1016/j.inffus.2019.12.012" TargetMode="External"/><Relationship Id="rId121" Type="http://schemas.openxmlformats.org/officeDocument/2006/relationships/image" Target="media/source_image19.png"/><Relationship Id="rId122" Type="http://schemas.openxmlformats.org/officeDocument/2006/relationships/image" Target="media/source_image20.png"/></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LibreOffice/26.2.4.2$Linux_X86_64 LibreOffice_project/3346a99e6b841765b75a9b29714a5b95c6761ce3</Application>
  <AppVersion>15.0000</AppVersion>
  <Pages>31</Pages>
  <Words>1879</Words>
  <Characters>10426</Characters>
  <CharactersWithSpaces>12219</CharactersWithSpaces>
  <Paragraphs>136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Pedro Miguel Candeias da Silva</cp:lastModifiedBy>
  <cp:lastPrinted>2018-03-20T20:17:00Z</cp:lastPrinted>
  <dcterms:modified xsi:type="dcterms:W3CDTF">2026-07-13T07:43:29Z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