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documento:0.4.11</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 xml:space="preserve">A literatura </w:t>
      </w:r>
      <w:r>
        <w:rPr/>
        <w:t>revista e</w:t>
      </w:r>
      <w:r>
        <w:rPr/>
        <w:t>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 xml:space="preserve">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w:t>
      </w:r>
      <w:r>
        <w:rPr>
          <w:lang w:val="pt-PT"/>
        </w:rPr>
        <w:t>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2"/>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w:t>
      </w:r>
      <w:r>
        <w:rPr>
          <w:lang w:val="pt-PT"/>
        </w:rPr>
        <w:t>(Privitera, 2017</w:t>
      </w:r>
      <w:r>
        <w:rPr>
          <w:lang w:val="pt-PT"/>
        </w:rPr>
        <w:t xml:space="preserve">; </w:t>
      </w:r>
      <w:r>
        <w:rPr>
          <w:b w:val="false"/>
          <w:i w:val="false"/>
          <w:sz w:val="22"/>
        </w:rPr>
        <w:t xml:space="preserve"> Oldfrey</w:t>
      </w:r>
      <w:r>
        <w:rPr>
          <w:b w:val="false"/>
          <w:i w:val="false"/>
          <w:sz w:val="22"/>
          <w:lang w:val="pt-PT"/>
        </w:rPr>
        <w:t xml:space="preserve"> et al 2024; </w:t>
      </w:r>
      <w:r>
        <w:rPr>
          <w:b w:val="false"/>
          <w:i w:val="false"/>
          <w:sz w:val="22"/>
        </w:rPr>
        <w:t xml:space="preserve">  Mc Guinness </w:t>
      </w:r>
      <w:r>
        <w:rPr>
          <w:b w:val="false"/>
          <w:i w:val="false"/>
          <w:sz w:val="22"/>
        </w:rPr>
        <w:t>et al</w:t>
      </w:r>
      <w:r>
        <w:rPr>
          <w:b w:val="false"/>
          <w:i w:val="false"/>
          <w:sz w:val="22"/>
          <w:lang w:val="pt-PT"/>
        </w:rPr>
        <w:t>, 2025</w:t>
      </w:r>
      <w:r>
        <w:rPr>
          <w:lang w:val="pt-PT"/>
        </w:rPr>
        <w:t>)</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 xml:space="preserve">As tecnologias de </w:t>
      </w:r>
      <w:r>
        <w:rPr>
          <w:lang w:val="pt-PT"/>
        </w:rPr>
        <w:t>fabricação aditiva (FA)</w:t>
      </w:r>
      <w:r>
        <w:rPr>
          <w:lang w:val="pt-PT"/>
        </w:rPr>
        <w:t xml:space="preserve">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3"/>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4"/>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 xml:space="preserve">As imagens médicas, como tomografia computorizada </w:t>
      </w:r>
      <w:r>
        <w:rPr/>
        <w:t>(</w:t>
      </w:r>
      <w:r>
        <w:rPr/>
        <w:t>CT</w:t>
      </w:r>
      <w:r>
        <w:rPr/>
        <w:t>)</w:t>
      </w:r>
      <w:r>
        <w:rPr/>
        <w:t xml:space="preserve">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 xml:space="preserve">zonas de aquecimento localizado </w:t>
      </w:r>
      <w:r>
        <w:rPr/>
        <w:t>(</w:t>
      </w:r>
      <w:r>
        <w:rPr>
          <w:i/>
          <w:iCs/>
        </w:rPr>
        <w:t>Thermal hot spots</w:t>
      </w:r>
      <w:r>
        <w:rPr/>
        <w:t>)</w:t>
      </w:r>
      <w:r>
        <w:rPr>
          <w:lang w:val="pt-PT"/>
        </w:rPr>
        <w:t xml:space="preserve"> e flutuações de volume do </w:t>
      </w:r>
      <w:r>
        <w:rPr>
          <w:lang w:val="pt-PT"/>
        </w:rPr>
        <w:t>membro residual</w:t>
      </w:r>
      <w:r>
        <w:rPr>
          <w:lang w:val="pt-PT"/>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 xml:space="preserve">Modelos preditivos e modelação estatística de forma (SSM): aplicados para reconstruir a geometria a partir de medições reduzidas e inferir relações entre a superfície e a anatomia interna, com </w:t>
      </w:r>
      <w:r>
        <w:rPr>
          <w:lang w:val="pt-PT"/>
        </w:rPr>
        <w:t>a</w:t>
      </w:r>
      <w:r>
        <w:rPr>
          <w:rStyle w:val="Strong"/>
          <w:b w:val="false"/>
          <w:bCs w:val="false"/>
        </w:rPr>
        <w:t xml:space="preserve">nálise de </w:t>
      </w:r>
      <w:r>
        <w:rPr>
          <w:rStyle w:val="Strong"/>
          <w:b w:val="false"/>
          <w:bCs w:val="false"/>
        </w:rPr>
        <w:t>c</w:t>
      </w:r>
      <w:r>
        <w:rPr>
          <w:rStyle w:val="Strong"/>
          <w:b w:val="false"/>
          <w:bCs w:val="false"/>
        </w:rPr>
        <w:t xml:space="preserve">omponentes </w:t>
      </w:r>
      <w:r>
        <w:rPr>
          <w:rStyle w:val="Strong"/>
          <w:b w:val="false"/>
          <w:bCs w:val="false"/>
        </w:rPr>
        <w:t>p</w:t>
      </w:r>
      <w:r>
        <w:rPr>
          <w:rStyle w:val="Strong"/>
          <w:b w:val="false"/>
          <w:bCs w:val="false"/>
        </w:rPr>
        <w:t xml:space="preserve">rincipais </w:t>
      </w:r>
      <w:r>
        <w:rPr>
          <w:rStyle w:val="Strong"/>
          <w:b w:val="false"/>
          <w:bCs w:val="false"/>
        </w:rPr>
        <w:t>(</w:t>
      </w:r>
      <w:r>
        <w:rPr>
          <w:lang w:val="pt-PT"/>
        </w:rPr>
        <w:t>PCA</w:t>
      </w:r>
      <w:r>
        <w:rPr>
          <w:lang w:val="pt-PT"/>
        </w:rPr>
        <w:t>)</w:t>
      </w:r>
      <w:r>
        <w:rPr>
          <w:rStyle w:val="FootnoteReference"/>
          <w:lang w:val="pt-PT"/>
        </w:rPr>
        <w:footnoteReference w:id="6"/>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w:t>
      </w:r>
      <w:r>
        <w:rPr>
          <w:lang w:val="pt-PT"/>
        </w:rPr>
        <w:t xml:space="preserv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7"/>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8"/>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w:t>
      </w:r>
      <w:r>
        <w:rPr>
          <w:lang w:val="pt-PT"/>
        </w:rPr>
        <w:t xml:space="preserve"> consultada</w:t>
      </w:r>
      <w:r>
        <w:rPr>
          <w:lang w:val="pt-PT"/>
        </w:rPr>
        <w:t xml:space="preserve">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2">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3">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0"/>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4"/>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5"/>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6"/>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7"/>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8">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19"/>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0">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 xml:space="preserve">os conjuntos de dados </w:t>
      </w:r>
      <w:r>
        <w:rPr/>
        <w:t>(</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 xml:space="preserve">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w:t>
      </w:r>
      <w:r>
        <w:rPr/>
        <w:t>foi</w:t>
      </w:r>
      <w:r>
        <w:rPr/>
        <w:t xml:space="preserve">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 xml:space="preserve">Deste modo, a base de dados sustenta a passagem entre o enquadramento antropométrico e a modelação paramétrica tridimensional, </w:t>
      </w:r>
      <w:r>
        <w:rPr/>
        <w:t>usando OpenSCAD</w:t>
      </w:r>
      <w:r>
        <w:rPr/>
        <w:t>: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t>OpenSCAD: enquadramento e justificação da escolha</w:t>
      </w:r>
    </w:p>
    <w:p>
      <w:pPr>
        <w:pStyle w:val="Normal"/>
        <w:bidi w:val="0"/>
        <w:jc w:val="left"/>
        <w:rPr>
          <w:lang w:val="pt-PT"/>
        </w:rPr>
      </w:pPr>
      <w: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1"/>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2">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noChangeAspect="1"/>
            </wp:cNvGraphicFramePr>
            <a:graphic>
              <a:graphicData uri="http://schemas.openxmlformats.org/drawingml/2006/picture">
                <pic:pic>
                  <pic:nvPicPr>
                    <pic:cNvPr id="15" name="Image20"/>
                    <pic:cNvPicPr>
                      <a:picLocks noChangeAspect="1" noChangeArrowheads="1"/>
                    </pic:cNvPicPr>
                  </pic:nvPicPr>
                  <pic:blipFill>
                    <a:blip r:embed="rId23"/>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 xml:space="preserve">Figura 5.1 — Fluxo geral de produção personalizada de próteses a partir de </w:t>
      </w:r>
      <w:r>
        <w:rPr>
          <w:lang w:val="pt-PT"/>
        </w:rPr>
        <w:t>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noChangeAspect="1"/>
            </wp:cNvGraphicFramePr>
            <a:graphic>
              <a:graphicData uri="http://schemas.openxmlformats.org/drawingml/2006/picture">
                <pic:pic>
                  <pic:nvPicPr>
                    <pic:cNvPr id="16" name="Image 15" descr="Image 15"/>
                    <pic:cNvPicPr>
                      <a:picLocks noChangeAspect="1" noChangeArrowheads="1"/>
                    </pic:cNvPicPr>
                  </pic:nvPicPr>
                  <pic:blipFill>
                    <a:blip r:embed="rId24"/>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5">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noChangeAspect="1"/>
            </wp:cNvGraphicFramePr>
            <a:graphic>
              <a:graphicData uri="http://schemas.openxmlformats.org/drawingml/2006/picture">
                <pic:pic>
                  <pic:nvPicPr>
                    <pic:cNvPr id="17" name="Image 16" descr="Image 16"/>
                    <pic:cNvPicPr>
                      <a:picLocks noChangeAspect="1" noChangeArrowheads="1"/>
                    </pic:cNvPicPr>
                  </pic:nvPicPr>
                  <pic:blipFill>
                    <a:blip r:embed="rId26"/>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7">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noChangeAspect="1"/>
            </wp:cNvGraphicFramePr>
            <a:graphic>
              <a:graphicData uri="http://schemas.openxmlformats.org/drawingml/2006/picture">
                <pic:pic>
                  <pic:nvPicPr>
                    <pic:cNvPr id="18" name="Image 17" descr="Image 17"/>
                    <pic:cNvPicPr>
                      <a:picLocks noChangeAspect="1" noChangeArrowheads="1"/>
                    </pic:cNvPicPr>
                  </pic:nvPicPr>
                  <pic:blipFill>
                    <a:blip r:embed="rId28"/>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9">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noChangeAspect="1"/>
            </wp:cNvGraphicFramePr>
            <a:graphic>
              <a:graphicData uri="http://schemas.openxmlformats.org/drawingml/2006/picture">
                <pic:pic>
                  <pic:nvPicPr>
                    <pic:cNvPr id="19" name="Image 18" descr="Image 18"/>
                    <pic:cNvPicPr>
                      <a:picLocks noChangeAspect="1" noChangeArrowheads="1"/>
                    </pic:cNvPicPr>
                  </pic:nvPicPr>
                  <pic:blipFill>
                    <a:blip r:embed="rId30"/>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noChangeAspect="1"/>
            </wp:cNvGraphicFramePr>
            <a:graphic>
              <a:graphicData uri="http://schemas.openxmlformats.org/drawingml/2006/picture">
                <pic:pic>
                  <pic:nvPicPr>
                    <pic:cNvPr id="20" name="Image 19" descr="Image 19"/>
                    <pic:cNvPicPr>
                      <a:picLocks noChangeAspect="1" noChangeArrowheads="1"/>
                    </pic:cNvPicPr>
                  </pic:nvPicPr>
                  <pic:blipFill>
                    <a:blip r:embed="rId31"/>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9"/>
        <w:gridCol w:w="3718"/>
        <w:gridCol w:w="3009"/>
      </w:tblGrid>
      <w:tr>
        <w:trPr>
          <w:tblHeader w:val="true"/>
        </w:trPr>
        <w:tc>
          <w:tcPr>
            <w:tcW w:w="2299" w:type="dxa"/>
            <w:tcBorders/>
            <w:vAlign w:val="center"/>
          </w:tcPr>
          <w:p>
            <w:pPr>
              <w:pStyle w:val="TableHeading"/>
              <w:rPr/>
            </w:pPr>
            <w:r>
              <w:rPr/>
              <w:t>Eixo avaliado</w:t>
            </w:r>
          </w:p>
        </w:tc>
        <w:tc>
          <w:tcPr>
            <w:tcW w:w="3718"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9" w:type="dxa"/>
            <w:tcBorders/>
            <w:vAlign w:val="center"/>
          </w:tcPr>
          <w:p>
            <w:pPr>
              <w:pStyle w:val="TableContents"/>
              <w:rPr/>
            </w:pPr>
            <w:r>
              <w:rPr/>
              <w:t>Conformidade com o esquema</w:t>
            </w:r>
          </w:p>
        </w:tc>
        <w:tc>
          <w:tcPr>
            <w:tcW w:w="3718"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9" w:type="dxa"/>
            <w:tcBorders/>
            <w:vAlign w:val="center"/>
          </w:tcPr>
          <w:p>
            <w:pPr>
              <w:pStyle w:val="TableContents"/>
              <w:rPr/>
            </w:pPr>
            <w:r>
              <w:rPr/>
              <w:t>Proporcionalidade digital</w:t>
            </w:r>
          </w:p>
        </w:tc>
        <w:tc>
          <w:tcPr>
            <w:tcW w:w="3718"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9" w:type="dxa"/>
            <w:tcBorders/>
            <w:vAlign w:val="center"/>
          </w:tcPr>
          <w:p>
            <w:pPr>
              <w:pStyle w:val="TableContents"/>
              <w:rPr/>
            </w:pPr>
            <w:r>
              <w:rPr/>
              <w:t>Entradas completas</w:t>
            </w:r>
          </w:p>
        </w:tc>
        <w:tc>
          <w:tcPr>
            <w:tcW w:w="3718"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9" w:type="dxa"/>
            <w:tcBorders/>
            <w:vAlign w:val="center"/>
          </w:tcPr>
          <w:p>
            <w:pPr>
              <w:pStyle w:val="TableContents"/>
              <w:rPr/>
            </w:pPr>
            <w:r>
              <w:rPr/>
              <w:t>Entradas parciais</w:t>
            </w:r>
          </w:p>
        </w:tc>
        <w:tc>
          <w:tcPr>
            <w:tcW w:w="3718"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9" w:type="dxa"/>
            <w:tcBorders/>
            <w:vAlign w:val="center"/>
          </w:tcPr>
          <w:p>
            <w:pPr>
              <w:pStyle w:val="TableContents"/>
              <w:rPr/>
            </w:pPr>
            <w:r>
              <w:rPr/>
              <w:t>Entradas apenas demográficas</w:t>
            </w:r>
          </w:p>
        </w:tc>
        <w:tc>
          <w:tcPr>
            <w:tcW w:w="3718"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9" w:type="dxa"/>
            <w:tcBorders/>
            <w:vAlign w:val="center"/>
          </w:tcPr>
          <w:p>
            <w:pPr>
              <w:pStyle w:val="TableContents"/>
              <w:rPr/>
            </w:pPr>
            <w:r>
              <w:rPr/>
              <w:t>Lateralidade</w:t>
            </w:r>
          </w:p>
        </w:tc>
        <w:tc>
          <w:tcPr>
            <w:tcW w:w="3718"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r>
        <w:br w:type="page"/>
      </w:r>
    </w:p>
    <w:p>
      <w:pPr>
        <w:pStyle w:val="Heading2"/>
      </w:pPr>
      <w:r>
        <w:t>Anexo A — Metodologia de extração e codificação de dados antropométricos da mão</w:t>
      </w:r>
    </w:p>
    <w:p>
      <w:pPr>
        <w:pStyle w:val="Heading3"/>
      </w:pPr>
      <w:r>
        <w:t>A.1 Contexto e Objetivo</w:t>
      </w:r>
    </w:p>
    <w:p>
      <w:pPr/>
      <w: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r>
        <w:t>Foram produzidos três ficheiros CSV complementares:</w:t>
      </w:r>
    </w:p>
    <w:p>
      <w:pPr>
        <w:pStyle w:val="ListBullet"/>
      </w:pPr>
      <w:r>
        <w:t xml:space="preserve">- </w:t>
      </w:r>
      <w:r>
        <w:rPr>
          <w:rFonts w:ascii="Consolas" w:hAnsi="Consolas"/>
          <w:sz w:val="20"/>
        </w:rPr>
        <w:t>ansur</w:t>
      </w:r>
      <w:r>
        <w:rPr>
          <w:i/>
        </w:rPr>
        <w:t>1988</w:t>
      </w:r>
      <w:r>
        <w:t>complete.csv</w:t>
      </w:r>
      <w:r>
        <w:rPr>
          <w:rFonts w:ascii="Consolas" w:hAnsi="Consolas"/>
          <w:sz w:val="20"/>
        </w:rPr>
        <w:t xml:space="preserve"> — 2.726 linhas, 47 dimensões corporais do estudo ANSUR 1988 (Gordon et al., 1989), população militar norte-americana</w:t>
      </w:r>
    </w:p>
    <w:p>
      <w:pPr>
        <w:pStyle w:val="ListBullet"/>
      </w:pPr>
      <w:r>
        <w:t xml:space="preserve">- </w:t>
      </w:r>
      <w:r>
        <w:rPr>
          <w:rFonts w:ascii="Consolas" w:hAnsi="Consolas"/>
          <w:sz w:val="20"/>
        </w:rPr>
        <w:t>ansur</w:t>
      </w:r>
      <w:r>
        <w:rPr>
          <w:i/>
        </w:rPr>
        <w:t>1988</w:t>
      </w:r>
      <w:r>
        <w:t>hand</w:t>
      </w:r>
      <w:r>
        <w:rPr>
          <w:i/>
        </w:rPr>
        <w:t>arm.csv</w:t>
      </w:r>
      <w:r>
        <w:rPr>
          <w:rFonts w:ascii="Consolas" w:hAnsi="Consolas"/>
          <w:sz w:val="20"/>
        </w:rPr>
        <w:t xml:space="preserve"> — 696 linhas, subconjunto do ANSUR restrito às medições da mão, antebraço e braço</w:t>
      </w:r>
    </w:p>
    <w:p>
      <w:pPr>
        <w:pStyle w:val="ListBullet"/>
      </w:pPr>
      <w:r>
        <w:t xml:space="preserve">- </w:t>
      </w:r>
      <w:r>
        <w:rPr>
          <w:rFonts w:ascii="Consolas" w:hAnsi="Consolas"/>
          <w:sz w:val="20"/>
        </w:rPr>
        <w:t>multi</w:t>
      </w:r>
      <w:r>
        <w:rPr>
          <w:i/>
        </w:rPr>
        <w:t>population</w:t>
      </w:r>
      <w:r>
        <w:t>hand.csv</w:t>
      </w:r>
      <w:r>
        <w:rPr>
          <w:rFonts w:ascii="Consolas" w:hAnsi="Consolas"/>
          <w:sz w:val="20"/>
        </w:rPr>
        <w:t xml:space="preserve"> — 1.790 linhas, dados de onze estudos populacionais independentes de nove países diferentes</w:t>
      </w:r>
    </w:p>
    <w:p>
      <w:pPr>
        <w:pBdr>
          <w:bottom w:val="single" w:sz="6" w:space="1" w:color="808080"/>
        </w:pBdr>
      </w:pPr>
    </w:p>
    <w:p>
      <w:pPr>
        <w:pStyle w:val="Heading3"/>
      </w:pPr>
      <w:r>
        <w:t>A.2 Estratégia de Pesquisa Bibliográfica</w:t>
      </w:r>
    </w:p>
    <w:p>
      <w:pPr>
        <w:pStyle w:val="Heading3"/>
      </w:pPr>
      <w:r>
        <w:t>A.2.1 Pesquisa bibliográfica assistida e revisões sistemáticas</w:t>
      </w:r>
    </w:p>
    <w:p>
      <w:pPr/>
      <w: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pPr>
      <w:r>
        <w:rPr>
          <w:i/>
        </w:rPr>
        <w:t>"hand anthropometry normative data population study percentiles"</w:t>
      </w:r>
      <w:r>
        <w:t xml:space="preserve"> </w:t>
      </w:r>
      <w:r>
        <w:rPr>
          <w:i/>
        </w:rPr>
        <w:t>"hand dimensions measurement ergonomics working population"</w:t>
      </w:r>
      <w:r>
        <w:t xml:space="preserve"> </w:t>
      </w:r>
      <w:r>
        <w:rPr>
          <w:i/>
        </w:rPr>
        <w:t>"anthropometric survey finger length breadth caliper"</w:t>
      </w:r>
    </w:p>
    <w:p>
      <w:pPr/>
      <w: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pPr>
      <w:r>
        <w:t>A.2.2 Base ANSUR 1988</w:t>
      </w:r>
    </w:p>
    <w:p>
      <w:pPr/>
      <w: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Bdr>
          <w:bottom w:val="single" w:sz="6" w:space="1" w:color="808080"/>
        </w:pBdr>
      </w:pPr>
    </w:p>
    <w:p>
      <w:pPr>
        <w:pStyle w:val="Heading3"/>
      </w:pPr>
      <w:r>
        <w:t>A.3 Critérios de Inclusão e Exclusão de Estudos</w:t>
      </w:r>
    </w:p>
    <w:p>
      <w:pPr/>
      <w:r>
        <w:t>Para cada estudo identificado, a decisão de incluir ou excluir os seus dados na base CSV seguiu critérios explícitos.</w:t>
      </w:r>
    </w:p>
    <w:p>
      <w:pPr>
        <w:pStyle w:val="Heading3"/>
      </w:pPr>
      <w:r>
        <w:t>A.3.1 Critérios de inclusão</w:t>
      </w:r>
    </w:p>
    <w:p>
      <w:pPr/>
      <w:r>
        <w:t>Um estudo foi incluído se satisfazia simultaneamente as seguintes condições:</w:t>
      </w:r>
    </w:p>
    <w:p>
      <w:pPr>
        <w:pStyle w:val="ListNumber"/>
      </w:pPr>
      <w:r>
        <w:t xml:space="preserve">1. </w:t>
      </w:r>
      <w:r>
        <w:rPr>
          <w:b/>
        </w:rPr>
        <w:t>Dados primários</w:t>
      </w:r>
      <w:r>
        <w:t xml:space="preserve"> — o estudo apresenta medições recolhidas pelos seus próprios autores sobre participantes reais, não reutilizando tabelas de terceiros sem transformação.</w:t>
      </w:r>
    </w:p>
    <w:p>
      <w:pPr>
        <w:pStyle w:val="ListNumber"/>
      </w:pPr>
      <w:r>
        <w:t xml:space="preserve">2. </w:t>
      </w:r>
      <w:r>
        <w:rPr>
          <w:b/>
        </w:rPr>
        <w:t>Dimensões da mão ou do membro superior</w:t>
      </w:r>
      <w:r>
        <w:t xml:space="preserve"> — pelo menos uma medição refere-se à mão, dedos, palma, antebraço ou punho.</w:t>
      </w:r>
    </w:p>
    <w:p>
      <w:pPr>
        <w:pStyle w:val="ListNumber"/>
      </w:pPr>
      <w:r>
        <w:t xml:space="preserve">3. </w:t>
      </w:r>
      <w:r>
        <w:rPr>
          <w:b/>
        </w:rPr>
        <w:t>Estatística descritiva legível</w:t>
      </w:r>
      <w:r>
        <w:t xml:space="preserve"> — a tabela do artigo fornece, no mínimo, a média. A presença de desvio-padrão e/ou percentis constituía um critério de preferência.</w:t>
      </w:r>
    </w:p>
    <w:p>
      <w:pPr>
        <w:pStyle w:val="ListNumber"/>
      </w:pPr>
      <w:r>
        <w:t xml:space="preserve">4. </w:t>
      </w:r>
      <w:r>
        <w:rPr>
          <w:b/>
        </w:rPr>
        <w:t>Identificação clara da população</w:t>
      </w:r>
      <w:r>
        <w:t xml:space="preserve"> — o artigo especifica país, sexo, dimensão amostral e método de medição.</w:t>
      </w:r>
    </w:p>
    <w:p>
      <w:pPr>
        <w:pStyle w:val="Heading3"/>
      </w:pPr>
      <w:r>
        <w:t>A.3.2 Critérios de exclusão</w:t>
      </w:r>
    </w:p>
    <w:p>
      <w:pPr/>
      <w:r>
        <w:t>Um estudo foi excluído nas seguintes situações:</w:t>
      </w:r>
    </w:p>
    <w:p>
      <w:pPr>
        <w:pStyle w:val="ListBullet"/>
      </w:pPr>
      <w:r>
        <w:t xml:space="preserve">- </w:t>
      </w:r>
      <w:r>
        <w:rPr>
          <w:b/>
        </w:rPr>
        <w:t>Dados secundários sem valor acrescentado</w:t>
      </w:r>
      <w: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pPr>
      <w:r>
        <w:t xml:space="preserve">- </w:t>
      </w:r>
      <w:r>
        <w:rPr>
          <w:b/>
        </w:rPr>
        <w:t>Artigos de engenharia sem tabelas antropométricas</w:t>
      </w:r>
      <w:r>
        <w:t xml:space="preserve"> — estudos centrados em materiais, análise de elementos finitos ou fabrico aditivo que referenciam dimensões da mão apenas de forma incidental e sem estatística descritiva.</w:t>
      </w:r>
    </w:p>
    <w:p>
      <w:pPr>
        <w:pStyle w:val="ListBullet"/>
      </w:pPr>
      <w:r>
        <w:t xml:space="preserve">- </w:t>
      </w:r>
      <w:r>
        <w:rPr>
          <w:b/>
        </w:rPr>
        <w:t>Dimensões não da mão em estudos mistos</w:t>
      </w:r>
      <w: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Bdr>
          <w:bottom w:val="single" w:sz="6" w:space="1" w:color="808080"/>
        </w:pBdr>
      </w:pPr>
    </w:p>
    <w:p>
      <w:pPr>
        <w:pStyle w:val="Heading3"/>
      </w:pPr>
      <w:r>
        <w:t>A.4 Processo de Extração de Dados</w:t>
      </w:r>
    </w:p>
    <w:p>
      <w:pPr>
        <w:pStyle w:val="Heading3"/>
      </w:pPr>
      <w:r>
        <w:t>A.4.1 Leitura dos PDFs e localização das tabelas</w:t>
      </w:r>
    </w:p>
    <w:p>
      <w:pPr/>
      <w:r>
        <w:t xml:space="preserve">Cada artigo foi lido integralmente, com foco nas secções de </w:t>
      </w:r>
      <w:r>
        <w:rPr>
          <w:i/>
        </w:rPr>
        <w:t>Methods</w:t>
      </w:r>
      <w:r>
        <w:t xml:space="preserve"> (para identificar o instrumento de medição, a mão medida, e a posição do participante) e </w:t>
      </w:r>
      <w:r>
        <w:rPr>
          <w:i/>
        </w:rPr>
        <w:t>Results</w:t>
      </w:r>
      <w: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r>
        <w:t>Quando um artigo reportava medições em mais do que uma tabela (por exemplo, comprimentos numa tabela e larguras noutra), cada tabela foi processada separadamente.</w:t>
      </w:r>
    </w:p>
    <w:p>
      <w:pPr>
        <w:pStyle w:val="Heading3"/>
      </w:pPr>
      <w:r>
        <w:t>A.4.2 Identificação das unidades e conversão</w:t>
      </w:r>
    </w:p>
    <w:p>
      <w:pPr/>
      <w: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t>value</w:t>
      </w:r>
      <w:r>
        <w:rPr>
          <w:i/>
        </w:rPr>
        <w:t>cm</w:t>
      </w:r>
      <w:r>
        <w:rPr>
          <w:rFonts w:ascii="Consolas" w:hAnsi="Consolas"/>
          <w:sz w:val="20"/>
        </w:rPr>
        <w:t xml:space="preserve">, </w:t>
      </w:r>
      <w:r>
        <w:t>value</w:t>
      </w:r>
      <w:r>
        <w:rPr>
          <w:i/>
        </w:rPr>
        <w:t>in</w:t>
      </w:r>
      <w:r>
        <w:rPr>
          <w:rFonts w:ascii="Consolas" w:hAnsi="Consolas"/>
          <w:sz w:val="20"/>
        </w:rPr>
        <w:t>), calculados a partir de uma única unidade-fonte:</w:t>
      </w:r>
    </w:p>
    <w:p>
      <w:pPr>
        <w:pStyle w:val="ListBullet"/>
      </w:pPr>
      <w:r>
        <w:t xml:space="preserve">- Se o artigo reporta em mm: </w:t>
      </w:r>
      <w:r>
        <w:rPr>
          <w:rFonts w:ascii="Consolas" w:hAnsi="Consolas"/>
          <w:sz w:val="20"/>
        </w:rPr>
        <w:t>value</w:t>
      </w:r>
      <w:r>
        <w:rPr>
          <w:i/>
        </w:rPr>
        <w:t>cm = value</w:t>
      </w:r>
      <w:r>
        <w:t>mm / 10</w:t>
      </w:r>
      <w:r>
        <w:rPr>
          <w:rFonts w:ascii="Consolas" w:hAnsi="Consolas"/>
          <w:sz w:val="20"/>
        </w:rPr>
        <w:t xml:space="preserve">; </w:t>
      </w:r>
      <w:r>
        <w:t>value</w:t>
      </w:r>
      <w:r>
        <w:rPr>
          <w:i/>
        </w:rPr>
        <w:t>in = value</w:t>
      </w:r>
      <w:r>
        <w:t>cm / 2.54</w:t>
      </w:r>
    </w:p>
    <w:p>
      <w:pPr>
        <w:pStyle w:val="ListBullet"/>
      </w:pPr>
      <w:r>
        <w:t xml:space="preserve">- Se o artigo reporta em cm: </w:t>
      </w:r>
      <w:r>
        <w:rPr>
          <w:rFonts w:ascii="Consolas" w:hAnsi="Consolas"/>
          <w:sz w:val="20"/>
        </w:rPr>
        <w:t>value</w:t>
      </w:r>
      <w:r>
        <w:rPr>
          <w:i/>
        </w:rPr>
        <w:t>mm = value</w:t>
      </w:r>
      <w:r>
        <w:t>cm × 10</w:t>
      </w:r>
      <w:r>
        <w:rPr>
          <w:rFonts w:ascii="Consolas" w:hAnsi="Consolas"/>
          <w:sz w:val="20"/>
        </w:rPr>
        <w:t xml:space="preserve">; </w:t>
      </w:r>
      <w:r>
        <w:t>value</w:t>
      </w:r>
      <w:r>
        <w:rPr>
          <w:i/>
        </w:rPr>
        <w:t>in = value</w:t>
      </w:r>
      <w:r>
        <w:t>cm / 2.54</w:t>
      </w:r>
    </w:p>
    <w:p>
      <w:pPr/>
      <w:r>
        <w:t>Esta redundância elimina conversões em tempo de execução por parte do modelo paramétrico.</w:t>
      </w:r>
    </w:p>
    <w:p>
      <w:pPr>
        <w:pStyle w:val="Heading3"/>
      </w:pPr>
      <w:r>
        <w:t>A.4.3 Decomposição em linhas atómicas</w:t>
      </w:r>
    </w:p>
    <w:p>
      <w:pPr/>
      <w:r>
        <w:t xml:space="preserve">Cada célula de uma tabela estatística origina </w:t>
      </w:r>
      <w:r>
        <w:rPr>
          <w:b/>
        </w:rPr>
        <w:t>uma linha independente</w:t>
      </w:r>
      <w: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t>mean</w:t>
      </w:r>
      <w:r>
        <w:rPr>
          <w:rFonts w:ascii="Consolas" w:hAnsi="Consolas"/>
          <w:sz w:val="20"/>
        </w:rPr>
        <w:t xml:space="preserve">, </w:t>
      </w:r>
      <w:r>
        <w:t>std</w:t>
      </w:r>
      <w:r>
        <w:rPr>
          <w:i/>
        </w:rPr>
        <w:t>dev</w:t>
      </w:r>
      <w:r>
        <w:rPr>
          <w:rFonts w:ascii="Consolas" w:hAnsi="Consolas"/>
          <w:sz w:val="20"/>
        </w:rPr>
        <w:t xml:space="preserve"> ou </w:t>
      </w:r>
      <w:r>
        <w:t>percentile</w:t>
      </w:r>
      <w:r>
        <w:rPr>
          <w:rFonts w:ascii="Consolas" w:hAnsi="Consolas"/>
          <w:sz w:val="20"/>
        </w:rPr>
        <w:t xml:space="preserve">, e o campo </w:t>
      </w:r>
      <w:r>
        <w:t>percentile</w:t>
      </w:r>
      <w:r>
        <w:rPr>
          <w:rFonts w:ascii="Consolas" w:hAnsi="Consolas"/>
          <w:sz w:val="20"/>
        </w:rPr>
        <w:t xml:space="preserve"> preenchido apenas nas linhas de tipo </w:t>
      </w:r>
      <w:r>
        <w:t>percentile</w:t>
      </w:r>
      <w:r>
        <w:rPr>
          <w:rFonts w:ascii="Consolas" w:hAnsi="Consolas"/>
          <w:sz w:val="20"/>
        </w:rPr>
        <w:t>.</w:t>
      </w:r>
    </w:p>
    <w:p>
      <w:pPr/>
      <w:r>
        <w:t>Esta estrutura longa (</w:t>
      </w:r>
      <w:r>
        <w:rPr>
          <w:i/>
        </w:rPr>
        <w:t>long format</w:t>
      </w:r>
      <w:r>
        <w:t>) permite filtrar e agregar por qualquer combinação de variáveis sem necessidade de transformação prévia.</w:t>
      </w:r>
    </w:p>
    <w:p>
      <w:pPr>
        <w:pStyle w:val="Heading3"/>
      </w:pPr>
      <w:r>
        <w:t>A.4.4 Registo fiel do contexto da medição</w:t>
      </w:r>
    </w:p>
    <w:p>
      <w:pPr/>
      <w:r>
        <w:t xml:space="preserve">O campo </w:t>
      </w:r>
      <w:r>
        <w:rPr>
          <w:rFonts w:ascii="Consolas" w:hAnsi="Consolas"/>
          <w:sz w:val="20"/>
        </w:rPr>
        <w:t>measurement</w:t>
      </w:r>
      <w:r>
        <w:rPr>
          <w:i/>
        </w:rPr>
        <w:t>method</w:t>
      </w:r>
      <w:r>
        <w:t>note</w:t>
      </w:r>
      <w:r>
        <w:rPr>
          <w:rFonts w:ascii="Consolas" w:hAnsi="Consolas"/>
          <w:sz w:val="20"/>
        </w:rPr>
        <w:t xml:space="preserve"> regista, para cada estudo, informações sobre:</w:t>
      </w:r>
    </w:p>
    <w:p>
      <w:pPr>
        <w:pStyle w:val="ListBullet"/>
      </w:pPr>
      <w:r>
        <w:t>- O instrumento utilizado (e.g., "paquímetro digital Vernier 200 mm, resolução 0,01 mm")</w:t>
      </w:r>
    </w:p>
    <w:p>
      <w:pPr>
        <w:pStyle w:val="ListBullet"/>
      </w:pPr>
      <w:r>
        <w:t>- A mão medida (direita/esquerda/dominante)</w:t>
      </w:r>
    </w:p>
    <w:p>
      <w:pPr>
        <w:pStyle w:val="ListBullet"/>
      </w:pPr>
      <w:r>
        <w:t>- A posição da mão durante a medição (estendida e plana, em posição de repouso, sentado)</w:t>
      </w:r>
    </w:p>
    <w:p>
      <w:pPr>
        <w:pStyle w:val="ListBullet"/>
      </w:pPr>
      <w:r>
        <w:t>- O ponto de referência do comprimento (e.g., "da prega palmar proximal à ponta do dedo")</w:t>
      </w:r>
    </w:p>
    <w:p>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Bdr>
          <w:bottom w:val="single" w:sz="6" w:space="1" w:color="808080"/>
        </w:pBdr>
      </w:pPr>
    </w:p>
    <w:p>
      <w:pPr>
        <w:pStyle w:val="Heading3"/>
      </w:pPr>
      <w:r>
        <w:t>A.5 Decisões por Estudo</w:t>
      </w:r>
    </w:p>
    <w:p>
      <w:pPr>
        <w:pStyle w:val="Heading3"/>
      </w:pPr>
      <w:r>
        <w:t>A.5.1 ANSUR 1988 — EUA, militares (Gordon et al., 1989)</w:t>
      </w:r>
    </w:p>
    <w:p>
      <w:pPr/>
      <w:r>
        <w:rPr>
          <w:b/>
        </w:rPr>
        <w:t>Fonte:</w:t>
      </w:r>
      <w: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r>
        <w:rPr>
          <w:b/>
        </w:rPr>
        <w:t>Decisão:</w:t>
      </w:r>
      <w:r>
        <w:t xml:space="preserve"> Incluição total. A dimensão amostral, a abrangência estatística (11 indicadores por dimensão) e a origem militar controlada tornam-no a âncora de referência da base de dados.</w:t>
      </w:r>
    </w:p>
    <w:p>
      <w:pPr/>
      <w:r>
        <w:rPr>
          <w:b/>
        </w:rPr>
        <w:t>Notas:</w:t>
      </w:r>
      <w: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t>note</w:t>
      </w:r>
      <w:r>
        <w:rPr>
          <w:rFonts w:ascii="Consolas" w:hAnsi="Consolas"/>
          <w:sz w:val="20"/>
        </w:rPr>
        <w:t>.</w:t>
      </w:r>
    </w:p>
    <w:p>
      <w:pPr>
        <w:pStyle w:val="Heading3"/>
      </w:pPr>
      <w:r>
        <w:t>A.5.2 Turquia — jovens adultos (Chatzioglou et al., 2024)</w:t>
      </w:r>
    </w:p>
    <w:p>
      <w:pPr/>
      <w:r>
        <w:rPr>
          <w:b/>
        </w:rPr>
        <w:t>Fonte:</w:t>
      </w:r>
      <w:r>
        <w:t xml:space="preserve"> </w:t>
      </w:r>
      <w:r>
        <w:rPr>
          <w:i/>
        </w:rPr>
        <w:t>Anatomy &amp; Cell Biology</w:t>
      </w:r>
      <w:r>
        <w:t>, 57:172–182. n=51 (32F, 19M), idade 18–30, Izmir e Istanbul. Método foto-antropométrico com ImageJ (pixel → mm via fator de calibração 0,08618 ×). Comprimentos dos cinco dedos da mão direita, por sexo e amostra total, Tabela 1.</w:t>
      </w:r>
    </w:p>
    <w:p>
      <w:pPr/>
      <w:r>
        <w:rPr>
          <w:b/>
        </w:rPr>
        <w:t>Decisão:</w:t>
      </w:r>
      <w: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t>max</w:t>
      </w:r>
      <w:r>
        <w:rPr>
          <w:rFonts w:ascii="Consolas" w:hAnsi="Consolas"/>
          <w:sz w:val="20"/>
        </w:rPr>
        <w:t>.</w:t>
      </w:r>
    </w:p>
    <w:p>
      <w:pPr>
        <w:pStyle w:val="Heading3"/>
      </w:pPr>
      <w:r>
        <w:t>A.5.3 México — população geral (Rodríguez-Vega &amp; Rodríguez-Vega, 2024)</w:t>
      </w:r>
    </w:p>
    <w:p>
      <w:pPr/>
      <w:r>
        <w:rPr>
          <w:b/>
        </w:rPr>
        <w:t>Fonte:</w:t>
      </w:r>
      <w:r>
        <w:t xml:space="preserve"> </w:t>
      </w:r>
      <w:r>
        <w:rPr>
          <w:i/>
        </w:rPr>
        <w:t>European Public &amp; Social Innovation Review</w:t>
      </w:r>
      <w:r>
        <w:t>, 9:1–15. n=2.837 (2.275M, 562F), Noroeste do México, idade 15–59. Quatro dimensões: comprimento da mão (HL), comprimento da palma (PL), largura da mão (HB) e diâmetro de preensão (HGD). Tabela 3 (amostra geral) e Tabela 4 (oito grupos etários: 15–19, 20–24, …, 50–54).</w:t>
      </w:r>
    </w:p>
    <w:p>
      <w:pPr/>
      <w:r>
        <w:rPr>
          <w:b/>
        </w:rPr>
        <w:t>Decisão:</w:t>
      </w:r>
      <w: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t>note</w:t>
      </w:r>
      <w:r>
        <w:rPr>
          <w:rFonts w:ascii="Consolas" w:hAnsi="Consolas"/>
          <w:sz w:val="20"/>
        </w:rPr>
        <w:t>.</w:t>
      </w:r>
    </w:p>
    <w:p>
      <w:pPr>
        <w:pStyle w:val="Heading3"/>
      </w:pPr>
      <w:r>
        <w:t>A.5.4 Índia — mulheres trabalhadoras (Nag et al., 2003)</w:t>
      </w:r>
    </w:p>
    <w:p>
      <w:pPr/>
      <w:r>
        <w:rPr>
          <w:b/>
        </w:rPr>
        <w:t>Fonte:</w:t>
      </w:r>
      <w:r>
        <w:t xml:space="preserve"> </w:t>
      </w:r>
      <w:r>
        <w:rPr>
          <w:i/>
        </w:rPr>
        <w:t>Indian Journal of Medical Research</w:t>
      </w:r>
      <w:r>
        <w:t>, 117:260–269. n=95 mulheres, trabalhadores informais (indústria de bidis, agarbattis e vestuário), Ahmedabad. 51 dimensões da mão direita em cinco tabelas (comprimentos, larguras, circunferências, profundidades, extensões e folgas), com P5, P50 e P95 reportados.</w:t>
      </w:r>
    </w:p>
    <w:p>
      <w:pPr/>
      <w:r>
        <w:rPr>
          <w:b/>
        </w:rPr>
        <w:t>Decisão:</w:t>
      </w:r>
      <w: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t>.</w:t>
      </w:r>
    </w:p>
    <w:p>
      <w:pPr>
        <w:pStyle w:val="Heading3"/>
      </w:pPr>
      <w:r>
        <w:t>A.5.5 Portugal — trabalhadores industriais (Anacleto Filho et al., 2023)</w:t>
      </w:r>
    </w:p>
    <w:p>
      <w:pPr/>
      <w:r>
        <w:rPr>
          <w:b/>
        </w:rPr>
        <w:t>Fonte:</w:t>
      </w:r>
      <w:r>
        <w:t xml:space="preserve"> </w:t>
      </w:r>
      <w:r>
        <w:rPr>
          <w:i/>
        </w:rPr>
        <w:t>International Journal of Industrial Ergonomics</w:t>
      </w:r>
      <w:r>
        <w:t>, 97:103473. n=343 (169M, 174F), trabalhadores industriais do Norte de Portugal, 2021. De um conjunto de 27 dimensões corporais, apenas duas são da mão: comprimento da mão e largura da mão (metacarpal II–V). Tabela 3, P5, P50, P95 por sexo.</w:t>
      </w:r>
    </w:p>
    <w:p>
      <w:pPr/>
      <w:r>
        <w:rPr>
          <w:b/>
        </w:rPr>
        <w:t>Decisão:</w:t>
      </w:r>
      <w: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r>
        <w:rPr>
          <w:b/>
        </w:rPr>
        <w:t>Nota metodológica:</w:t>
      </w:r>
      <w:r>
        <w:t xml:space="preserve"> O estudo mediu o lado esquerdo por limitação de instalações; este facto é registado em </w:t>
      </w:r>
      <w:r>
        <w:rPr>
          <w:rFonts w:ascii="Consolas" w:hAnsi="Consolas"/>
          <w:sz w:val="20"/>
        </w:rPr>
        <w:t>measurement</w:t>
      </w:r>
      <w:r>
        <w:rPr>
          <w:i/>
        </w:rPr>
        <w:t>method</w:t>
      </w:r>
      <w:r>
        <w:t>note</w:t>
      </w:r>
      <w:r>
        <w:rPr>
          <w:rFonts w:ascii="Consolas" w:hAnsi="Consolas"/>
          <w:sz w:val="20"/>
        </w:rPr>
        <w:t>.</w:t>
      </w:r>
    </w:p>
    <w:p>
      <w:pPr>
        <w:pStyle w:val="Heading3"/>
      </w:pPr>
      <w:r>
        <w:t>A.5.6 Nigéria — atletas universitários (Ibiwari et al., 2025)</w:t>
      </w:r>
    </w:p>
    <w:p>
      <w:pPr/>
      <w:r>
        <w:rPr>
          <w:b/>
        </w:rPr>
        <w:t>Fonte:</w:t>
      </w:r>
      <w:r>
        <w:t xml:space="preserve"> </w:t>
      </w:r>
      <w:r>
        <w:rPr>
          <w:i/>
        </w:rPr>
        <w:t>International Journal of Science Academic Research</w:t>
      </w:r>
      <w:r>
        <w:t>, 6(8):10513–10517. n=80: basquetebol (n=41: 21M, 20F) e voleibol (n=39: 20M, 19F), Universidade de Port Harcourt, idade 19–30. Quatro dimensões da mão direita por desporto e sexo: comprimento da mão, largura da mão, comprimento palmar e comprimento do 3.º dígito. Tabelas 3 e 4.</w:t>
      </w:r>
    </w:p>
    <w:p>
      <w:pPr/>
      <w:r>
        <w:rPr>
          <w:b/>
        </w:rPr>
        <w:t>Decisão:</w:t>
      </w:r>
      <w: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r>
        <w:rPr>
          <w:b/>
        </w:rPr>
        <w:t>Nota:</w:t>
      </w:r>
      <w:r>
        <w:t xml:space="preserve"> A população de atletas não é representativa da população geral; os valores refletem uma seleção fisicamente ativa e potencialmente com mãos de dimensões superiores à média.</w:t>
      </w:r>
    </w:p>
    <w:p>
      <w:pPr>
        <w:pStyle w:val="Heading3"/>
      </w:pPr>
      <w:r>
        <w:t>A.5.7 Jordânia — trabalhadores com deficiência (Mistarihi, 2020)</w:t>
      </w:r>
    </w:p>
    <w:p>
      <w:pPr/>
      <w:r>
        <w:rPr>
          <w:b/>
        </w:rPr>
        <w:t>Fonte:</w:t>
      </w:r>
      <w:r>
        <w:t xml:space="preserve"> </w:t>
      </w:r>
      <w:r>
        <w:rPr>
          <w:i/>
        </w:rPr>
        <w:t>Data in Brief</w:t>
      </w:r>
      <w: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r>
        <w:rPr>
          <w:b/>
        </w:rPr>
        <w:t>Decisão:</w:t>
      </w:r>
      <w: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pPr>
      <w:r>
        <w:t>A.5.8 EUA — dedo indicador (Lim et al., 2018)</w:t>
      </w:r>
    </w:p>
    <w:p>
      <w:pPr/>
      <w:r>
        <w:rPr>
          <w:b/>
        </w:rPr>
        <w:t>Fonte:</w:t>
      </w:r>
      <w:r>
        <w:t xml:space="preserve"> Trabalho académico UC Berkeley. n=50 adultos, idade 18–30. Apenas duas dimensões do dedo indicador (D2): comprimento MCP-ponta (média=90,9 mm) e largura na articulação PIP (média=16,9 mm). Apenas médias reportadas, sem SD ou percentis.</w:t>
      </w:r>
    </w:p>
    <w:p>
      <w:pPr/>
      <w:r>
        <w:rPr>
          <w:b/>
        </w:rPr>
        <w:t>Decisão:</w:t>
      </w:r>
      <w: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pPr>
      <w:r>
        <w:t>A.5.9 Estudo excluído: Moreo (2016)</w:t>
      </w:r>
    </w:p>
    <w:p>
      <w:pPr/>
      <w: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pPr>
      <w:r>
        <w:t>A.5.10 EUA — militares ANSUR II (Gordon et al., 2015)</w:t>
      </w:r>
    </w:p>
    <w:p>
      <w:pPr/>
      <w:r>
        <w:rPr>
          <w:b/>
        </w:rPr>
        <w:t>Fonte:</w:t>
      </w:r>
      <w: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r>
        <w:rPr>
          <w:b/>
        </w:rPr>
        <w:t>Decisão:</w:t>
      </w:r>
      <w: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r>
        <w:rPr>
          <w:b/>
        </w:rPr>
        <w:t>Nota:</w:t>
      </w:r>
      <w:r>
        <w:t xml:space="preserve"> A medição </w:t>
      </w:r>
      <w:r>
        <w:rPr>
          <w:rFonts w:ascii="Consolas" w:hAnsi="Consolas"/>
          <w:sz w:val="20"/>
        </w:rPr>
        <w:t>wristheight</w:t>
      </w:r>
      <w:r>
        <w:t xml:space="preserve"> foi excluída — corresponde à distância do chão ao pulso em posição de pé, uma dimensão postural e não uma medição da mão.</w:t>
      </w:r>
    </w:p>
    <w:p>
      <w:pPr>
        <w:pStyle w:val="Heading3"/>
      </w:pPr>
      <w:r>
        <w:t>A.5.11 Países Baixos — DINED (TU Delft, 1993–2004)</w:t>
      </w:r>
    </w:p>
    <w:p>
      <w:pPr/>
      <w:r>
        <w:rPr>
          <w:b/>
        </w:rPr>
        <w:t>Fonte:</w:t>
      </w:r>
      <w:r>
        <w:t xml:space="preserve"> Base de dados antropométrica do Delft Institute for Ergonomics and Design, acessível via conta institucional em dined.io.tudelft.nl. Três sub-datasets distintos, com dados de mão disponíveis:</w:t>
      </w:r>
    </w:p>
    <w:p>
      <w:pPr>
        <w:pStyle w:val="ListBullet"/>
      </w:pPr>
      <w:r>
        <w:t xml:space="preserve">- </w:t>
      </w:r>
      <w:r>
        <w:rPr>
          <w:b/>
        </w:rPr>
        <w:t>kima1993</w:t>
      </w:r>
      <w:r>
        <w:t>: crianças neerlandesas, idades 2–12 (grupos por ano), por sexo e combinado; 8 medições da mão por grupo etário.</w:t>
      </w:r>
    </w:p>
    <w:p>
      <w:pPr>
        <w:pStyle w:val="ListBullet"/>
      </w:pPr>
      <w:r>
        <w:t xml:space="preserve">- </w:t>
      </w:r>
      <w:r>
        <w:rPr>
          <w:b/>
        </w:rPr>
        <w:t>geron1998</w:t>
      </w:r>
      <w:r>
        <w:t>: idosos neerlandeses, idades 50–80+ (bandas de 5 anos), por sexo e combinado; 5 medições da mão.</w:t>
      </w:r>
    </w:p>
    <w:p>
      <w:pPr>
        <w:pStyle w:val="ListBullet"/>
      </w:pPr>
      <w:r>
        <w:t xml:space="preserve">- </w:t>
      </w:r>
      <w:r>
        <w:rPr>
          <w:b/>
        </w:rPr>
        <w:t>dined2004</w:t>
      </w:r>
      <w:r>
        <w:t>: adultos neerlandeses, grupos etários 20–30, 31–60, 60+, por sexo e combinado; 6–7 medições da mão.</w:t>
      </w:r>
    </w:p>
    <w:p>
      <w:pPr/>
      <w: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t>id="sd{col}</w:t>
      </w:r>
      <w:r>
        <w:rPr>
          <w:i/>
        </w:rPr>
        <w:t>{row}"</w:t>
      </w:r>
      <w:r>
        <w:rPr>
          <w:rFonts w:ascii="Consolas" w:hAnsi="Consolas"/>
          <w:sz w:val="20"/>
        </w:rPr>
        <w:t>), mapeando índices de coluna para combinações (sub-dataset, sexo, grupo etário) e índices de linha para nomes de medição.</w:t>
      </w:r>
    </w:p>
    <w:p>
      <w:pPr/>
      <w:r>
        <w:rPr>
          <w:b/>
        </w:rPr>
        <w:t>Decisão:</w:t>
      </w:r>
      <w: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pPr>
      <w:r>
        <w:t>A.5.12 China — idosos de Pequim (Hu et al., 2007)</w:t>
      </w:r>
    </w:p>
    <w:p>
      <w:pPr/>
      <w:r>
        <w:rPr>
          <w:b/>
        </w:rPr>
        <w:t>Fonte:</w:t>
      </w:r>
      <w:r>
        <w:t xml:space="preserve"> </w:t>
      </w:r>
      <w:r>
        <w:rPr>
          <w:i/>
        </w:rPr>
        <w:t>International Journal of Industrial Ergonomics</w:t>
      </w:r>
      <w: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r>
        <w:rPr>
          <w:b/>
        </w:rPr>
        <w:t>Decisão:</w:t>
      </w:r>
      <w: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t>note</w:t>
      </w:r>
      <w:r>
        <w:rPr>
          <w:rFonts w:ascii="Consolas" w:hAnsi="Consolas"/>
          <w:sz w:val="20"/>
        </w:rPr>
        <w:t>.</w:t>
      </w:r>
    </w:p>
    <w:p>
      <w:pPr/>
      <w:r>
        <w:rPr>
          <w:b/>
        </w:rPr>
        <w:t>Nota de cobertura:</w:t>
      </w:r>
      <w:r>
        <w:t xml:space="preserve"> Primeira fonte de dados de idosos chineses e, simultaneamente, a única fonte da Ásia Oriental na base de dados (após a verificação de que uma referência alternativa inicialmente identificada não era verificável).</w:t>
      </w:r>
    </w:p>
    <w:p>
      <w:pPr>
        <w:pStyle w:val="Heading3"/>
      </w:pPr>
      <w:r>
        <w:t>A.5.13 Estudo excluído: reconstrução corporal 3D a partir de fotografias ortogonais</w:t>
      </w:r>
    </w:p>
    <w:p>
      <w:pPr/>
      <w:r>
        <w:rPr>
          <w:b/>
        </w:rPr>
        <w:t>Fonte:</w:t>
      </w:r>
      <w:r>
        <w:t xml:space="preserve"> artigo metodológico sobre reconstrução de modelos corporais 3D a partir de fotografias ortogonais, publicado no </w:t>
      </w:r>
      <w:r>
        <w:rPr>
          <w:i/>
        </w:rPr>
        <w:t>International Journal of Industrial Ergonomics</w:t>
      </w:r>
      <w:r>
        <w:t>, usando deformação de forma livre (FFD).</w:t>
      </w:r>
    </w:p>
    <w:p>
      <w:pPr/>
      <w:r>
        <w:rPr>
          <w:b/>
        </w:rPr>
        <w:t>Decisão: excluído.</w:t>
      </w:r>
      <w: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Bdr>
          <w:bottom w:val="single" w:sz="6" w:space="1" w:color="808080"/>
        </w:pBdr>
      </w:pPr>
    </w:p>
    <w:p>
      <w:pPr>
        <w:pStyle w:val="Heading3"/>
      </w:pPr>
      <w:r>
        <w:t>A.6 Estrutura do CSV e Schema</w:t>
      </w:r>
    </w:p>
    <w:p>
      <w:pPr>
        <w:pStyle w:val="Heading3"/>
      </w:pPr>
      <w:r>
        <w:t>A.6.1 Campos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Campo</w:t>
            </w:r>
          </w:p>
        </w:tc>
        <w:tc>
          <w:tcPr>
            <w:tcW w:w="0" w:type="auto"/>
          </w:tcPr>
          <w:p>
            <w:pPr/>
            <w:r>
              <w:t>Tipo</w:t>
            </w:r>
          </w:p>
        </w:tc>
        <w:tc>
          <w:tcPr>
            <w:tcW w:w="0" w:type="auto"/>
          </w:tcPr>
          <w:p>
            <w:pPr/>
            <w:r>
              <w:t>Descrição</w:t>
            </w:r>
          </w:p>
        </w:tc>
      </w:tr>
      <w:tr>
        <w:tc>
          <w:tcPr>
            <w:tcW w:w="0" w:type="auto"/>
          </w:tcPr>
          <w:p>
            <w:pPr/>
            <w:r>
              <w:rPr>
                <w:rFonts w:ascii="Consolas" w:hAnsi="Consolas"/>
                <w:sz w:val="20"/>
              </w:rPr>
              <w:t>source</w:t>
            </w:r>
            <w:r>
              <w:rPr>
                <w:i/>
              </w:rPr>
              <w:t>document</w:t>
            </w:r>
          </w:p>
        </w:tc>
        <w:tc>
          <w:tcPr>
            <w:tcW w:w="0" w:type="auto"/>
          </w:tcPr>
          <w:p>
            <w:pPr/>
            <w:r>
              <w:t>string</w:t>
            </w:r>
          </w:p>
        </w:tc>
        <w:tc>
          <w:tcPr>
            <w:tcW w:w="0" w:type="auto"/>
          </w:tcPr>
          <w:p>
            <w:pPr/>
            <w:r>
              <w:t>Título abreviado do artigo ou relatório fonte</w:t>
            </w:r>
          </w:p>
        </w:tc>
      </w:tr>
      <w:tr>
        <w:tc>
          <w:tcPr>
            <w:tcW w:w="0" w:type="auto"/>
          </w:tcPr>
          <w:p>
            <w:pPr/>
            <w:r>
              <w:rPr>
                <w:rFonts w:ascii="Consolas" w:hAnsi="Consolas"/>
                <w:sz w:val="20"/>
              </w:rPr>
              <w:t>source</w:t>
            </w:r>
            <w:r>
              <w:rPr>
                <w:i/>
              </w:rPr>
              <w:t>page</w:t>
            </w:r>
          </w:p>
        </w:tc>
        <w:tc>
          <w:tcPr>
            <w:tcW w:w="0" w:type="auto"/>
          </w:tcPr>
          <w:p>
            <w:pPr/>
            <w:r>
              <w:t>int</w:t>
            </w:r>
          </w:p>
        </w:tc>
        <w:tc>
          <w:tcPr>
            <w:tcW w:w="0" w:type="auto"/>
          </w:tcPr>
          <w:p>
            <w:pPr/>
            <w:r>
              <w:t>Página da tabela de origem no documento</w:t>
            </w:r>
          </w:p>
        </w:tc>
      </w:tr>
      <w:tr>
        <w:tc>
          <w:tcPr>
            <w:tcW w:w="0" w:type="auto"/>
          </w:tcPr>
          <w:p>
            <w:pPr/>
            <w:r>
              <w:rPr>
                <w:rFonts w:ascii="Consolas" w:hAnsi="Consolas"/>
                <w:sz w:val="20"/>
              </w:rPr>
              <w:t>source</w:t>
            </w:r>
            <w:r>
              <w:rPr>
                <w:i/>
              </w:rPr>
              <w:t>citation</w:t>
            </w:r>
          </w:p>
        </w:tc>
        <w:tc>
          <w:tcPr>
            <w:tcW w:w="0" w:type="auto"/>
          </w:tcPr>
          <w:p>
            <w:pPr/>
            <w:r>
              <w:t>string</w:t>
            </w:r>
          </w:p>
        </w:tc>
        <w:tc>
          <w:tcPr>
            <w:tcW w:w="0" w:type="auto"/>
          </w:tcPr>
          <w:p>
            <w:pPr/>
            <w:r>
              <w:t>Citação completa em estilo APA</w:t>
            </w:r>
          </w:p>
        </w:tc>
      </w:tr>
      <w:tr>
        <w:tc>
          <w:tcPr>
            <w:tcW w:w="0" w:type="auto"/>
          </w:tcPr>
          <w:p>
            <w:pPr/>
            <w:r>
              <w:rPr>
                <w:rFonts w:ascii="Consolas" w:hAnsi="Consolas"/>
                <w:sz w:val="20"/>
              </w:rPr>
              <w:t>measurement</w:t>
            </w:r>
            <w:r>
              <w:rPr>
                <w:i/>
              </w:rPr>
              <w:t>name</w:t>
            </w:r>
          </w:p>
        </w:tc>
        <w:tc>
          <w:tcPr>
            <w:tcW w:w="0" w:type="auto"/>
          </w:tcPr>
          <w:p>
            <w:pPr/>
            <w:r>
              <w:t>string</w:t>
            </w:r>
          </w:p>
        </w:tc>
        <w:tc>
          <w:tcPr>
            <w:tcW w:w="0" w:type="auto"/>
          </w:tcPr>
          <w:p>
            <w:pPr/>
            <w:r>
              <w:t>Nome da dimensão, incluindo especificações de método quando relevante</w:t>
            </w:r>
          </w:p>
        </w:tc>
      </w:tr>
      <w:tr>
        <w:tc>
          <w:tcPr>
            <w:tcW w:w="0" w:type="auto"/>
          </w:tcPr>
          <w:p>
            <w:pPr/>
            <w:r>
              <w:rPr>
                <w:rFonts w:ascii="Consolas" w:hAnsi="Consolas"/>
                <w:sz w:val="20"/>
              </w:rPr>
              <w:t>body</w:t>
            </w:r>
            <w:r>
              <w:rPr>
                <w:i/>
              </w:rPr>
              <w:t>region</w:t>
            </w:r>
          </w:p>
        </w:tc>
        <w:tc>
          <w:tcPr>
            <w:tcW w:w="0" w:type="auto"/>
          </w:tcPr>
          <w:p>
            <w:pPr/>
            <w:r>
              <w:t>string</w:t>
            </w:r>
          </w:p>
        </w:tc>
        <w:tc>
          <w:tcPr>
            <w:tcW w:w="0" w:type="auto"/>
          </w:tcPr>
          <w:p>
            <w:pPr/>
            <w:r>
              <w:t>Região corporal (</w:t>
            </w:r>
            <w:r>
              <w:rPr>
                <w:rFonts w:ascii="Consolas" w:hAnsi="Consolas"/>
                <w:sz w:val="20"/>
              </w:rPr>
              <w:t>hand</w:t>
            </w:r>
            <w:r>
              <w:t xml:space="preserve">, </w:t>
            </w:r>
            <w:r>
              <w:rPr>
                <w:rFonts w:ascii="Consolas" w:hAnsi="Consolas"/>
                <w:sz w:val="20"/>
              </w:rPr>
              <w:t>forearm</w:t>
            </w:r>
            <w:r>
              <w:t xml:space="preserve">, </w:t>
            </w:r>
            <w:r>
              <w:rPr>
                <w:rFonts w:ascii="Consolas" w:hAnsi="Consolas"/>
                <w:sz w:val="20"/>
              </w:rPr>
              <w:t>upper</w:t>
            </w:r>
            <w:r>
              <w:rPr>
                <w:i/>
              </w:rPr>
              <w:t>arm</w:t>
            </w:r>
            <w:r>
              <w:rPr>
                <w:rFonts w:ascii="Consolas" w:hAnsi="Consolas"/>
                <w:sz w:val="20"/>
              </w:rPr>
              <w:t xml:space="preserve">, </w:t>
            </w:r>
            <w:r>
              <w:t>lower</w:t>
            </w:r>
            <w:r>
              <w:rPr>
                <w:i/>
              </w:rPr>
              <w:t>limb</w:t>
            </w:r>
            <w:r>
              <w:rPr>
                <w:rFonts w:ascii="Consolas" w:hAnsi="Consolas"/>
                <w:sz w:val="20"/>
              </w:rPr>
              <w:t xml:space="preserve">, </w:t>
            </w:r>
            <w:r>
              <w:t>torso</w:t>
            </w:r>
            <w:r>
              <w:rPr>
                <w:rFonts w:ascii="Consolas" w:hAnsi="Consolas"/>
                <w:sz w:val="20"/>
              </w:rPr>
              <w:t xml:space="preserve">, </w:t>
            </w:r>
            <w:r>
              <w:t>head</w:t>
            </w:r>
            <w:r>
              <w:rPr>
                <w:rFonts w:ascii="Consolas" w:hAnsi="Consolas"/>
                <w:sz w:val="20"/>
              </w:rPr>
              <w:t>)</w:t>
            </w:r>
          </w:p>
        </w:tc>
      </w:tr>
      <w:tr>
        <w:tc>
          <w:tcPr>
            <w:tcW w:w="0" w:type="auto"/>
          </w:tcPr>
          <w:p>
            <w:pPr/>
            <w:r>
              <w:rPr>
                <w:rFonts w:ascii="Consolas" w:hAnsi="Consolas"/>
                <w:sz w:val="20"/>
              </w:rPr>
              <w:t>measurement</w:t>
            </w:r>
            <w:r>
              <w:rPr>
                <w:i/>
              </w:rPr>
              <w:t>method</w:t>
            </w:r>
            <w:r>
              <w:t>note</w:t>
            </w:r>
          </w:p>
        </w:tc>
        <w:tc>
          <w:tcPr>
            <w:tcW w:w="0" w:type="auto"/>
          </w:tcPr>
          <w:p>
            <w:pPr/>
            <w:r>
              <w:t>string</w:t>
            </w:r>
          </w:p>
        </w:tc>
        <w:tc>
          <w:tcPr>
            <w:tcW w:w="0" w:type="auto"/>
          </w:tcPr>
          <w:p>
            <w:pPr/>
            <w:r>
              <w:t>Instrumento, mão medida, posição e protocolo de medição</w:t>
            </w:r>
          </w:p>
        </w:tc>
      </w:tr>
      <w:tr>
        <w:tc>
          <w:tcPr>
            <w:tcW w:w="0" w:type="auto"/>
          </w:tcPr>
          <w:p>
            <w:pPr/>
            <w:r>
              <w:rPr>
                <w:rFonts w:ascii="Consolas" w:hAnsi="Consolas"/>
                <w:sz w:val="20"/>
              </w:rPr>
              <w:t>population</w:t>
            </w:r>
          </w:p>
        </w:tc>
        <w:tc>
          <w:tcPr>
            <w:tcW w:w="0" w:type="auto"/>
          </w:tcPr>
          <w:p>
            <w:pPr/>
            <w:r>
              <w:t>string</w:t>
            </w:r>
          </w:p>
        </w:tc>
        <w:tc>
          <w:tcPr>
            <w:tcW w:w="0" w:type="auto"/>
          </w:tcPr>
          <w:p>
            <w:pPr/>
            <w:r>
              <w:t>Descrição da população (e.g., "Young adults (age 18-30)")</w:t>
            </w:r>
          </w:p>
        </w:tc>
      </w:tr>
      <w:tr>
        <w:tc>
          <w:tcPr>
            <w:tcW w:w="0" w:type="auto"/>
          </w:tcPr>
          <w:p>
            <w:pPr/>
            <w:r>
              <w:rPr>
                <w:rFonts w:ascii="Consolas" w:hAnsi="Consolas"/>
                <w:sz w:val="20"/>
              </w:rPr>
              <w:t>country</w:t>
            </w:r>
          </w:p>
        </w:tc>
        <w:tc>
          <w:tcPr>
            <w:tcW w:w="0" w:type="auto"/>
          </w:tcPr>
          <w:p>
            <w:pPr/>
            <w:r>
              <w:t>string</w:t>
            </w:r>
          </w:p>
        </w:tc>
        <w:tc>
          <w:tcPr>
            <w:tcW w:w="0" w:type="auto"/>
          </w:tcPr>
          <w:p>
            <w:pPr/>
            <w:r>
              <w:t>País de recolha dos dados</w:t>
            </w:r>
          </w:p>
        </w:tc>
      </w:tr>
      <w:tr>
        <w:tc>
          <w:tcPr>
            <w:tcW w:w="0" w:type="auto"/>
          </w:tcPr>
          <w:p>
            <w:pPr/>
            <w:r>
              <w:rPr>
                <w:rFonts w:ascii="Consolas" w:hAnsi="Consolas"/>
                <w:sz w:val="20"/>
              </w:rPr>
              <w:t>sex</w:t>
            </w:r>
          </w:p>
        </w:tc>
        <w:tc>
          <w:tcPr>
            <w:tcW w:w="0" w:type="auto"/>
          </w:tcPr>
          <w:p>
            <w:pPr/>
            <w:r>
              <w:t>string</w:t>
            </w:r>
          </w:p>
        </w:tc>
        <w:tc>
          <w:tcPr>
            <w:tcW w:w="0" w:type="auto"/>
          </w:tcPr>
          <w:p>
            <w:pPr/>
            <w:r>
              <w:rPr>
                <w:rFonts w:ascii="Consolas" w:hAnsi="Consolas"/>
                <w:sz w:val="20"/>
              </w:rPr>
              <w:t>male</w:t>
            </w:r>
            <w:r>
              <w:t xml:space="preserve">, </w:t>
            </w:r>
            <w:r>
              <w:rPr>
                <w:rFonts w:ascii="Consolas" w:hAnsi="Consolas"/>
                <w:sz w:val="20"/>
              </w:rPr>
              <w:t>female</w:t>
            </w:r>
            <w:r>
              <w:t xml:space="preserve"> ou </w:t>
            </w:r>
            <w:r>
              <w:rPr>
                <w:rFonts w:ascii="Consolas" w:hAnsi="Consolas"/>
                <w:sz w:val="20"/>
              </w:rPr>
              <w:t>combined</w:t>
            </w:r>
          </w:p>
        </w:tc>
      </w:tr>
      <w:tr>
        <w:tc>
          <w:tcPr>
            <w:tcW w:w="0" w:type="auto"/>
          </w:tcPr>
          <w:p>
            <w:pPr/>
            <w:r>
              <w:rPr>
                <w:rFonts w:ascii="Consolas" w:hAnsi="Consolas"/>
                <w:sz w:val="20"/>
              </w:rPr>
              <w:t>age</w:t>
            </w:r>
            <w:r>
              <w:rPr>
                <w:i/>
              </w:rPr>
              <w:t>group</w:t>
            </w:r>
          </w:p>
        </w:tc>
        <w:tc>
          <w:tcPr>
            <w:tcW w:w="0" w:type="auto"/>
          </w:tcPr>
          <w:p>
            <w:pPr/>
            <w:r>
              <w:t>string</w:t>
            </w:r>
          </w:p>
        </w:tc>
        <w:tc>
          <w:tcPr>
            <w:tcW w:w="0" w:type="auto"/>
          </w:tcPr>
          <w:p>
            <w:pPr/>
            <w:r>
              <w:t>Intervalo etário da (sub)amostra</w:t>
            </w:r>
          </w:p>
        </w:tc>
      </w:tr>
      <w:tr>
        <w:tc>
          <w:tcPr>
            <w:tcW w:w="0" w:type="auto"/>
          </w:tcPr>
          <w:p>
            <w:pPr/>
            <w:r>
              <w:rPr>
                <w:rFonts w:ascii="Consolas" w:hAnsi="Consolas"/>
                <w:sz w:val="20"/>
              </w:rPr>
              <w:t>sample</w:t>
            </w:r>
            <w:r>
              <w:rPr>
                <w:i/>
              </w:rPr>
              <w:t>size</w:t>
            </w:r>
          </w:p>
        </w:tc>
        <w:tc>
          <w:tcPr>
            <w:tcW w:w="0" w:type="auto"/>
          </w:tcPr>
          <w:p>
            <w:pPr/>
            <w:r>
              <w:t>int</w:t>
            </w:r>
          </w:p>
        </w:tc>
        <w:tc>
          <w:tcPr>
            <w:tcW w:w="0" w:type="auto"/>
          </w:tcPr>
          <w:p>
            <w:pPr/>
            <w:r>
              <w:t>Número de participantes na (sub)amostra</w:t>
            </w:r>
          </w:p>
        </w:tc>
      </w:tr>
      <w:tr>
        <w:tc>
          <w:tcPr>
            <w:tcW w:w="0" w:type="auto"/>
          </w:tcPr>
          <w:p>
            <w:pPr/>
            <w:r>
              <w:rPr>
                <w:rFonts w:ascii="Consolas" w:hAnsi="Consolas"/>
                <w:sz w:val="20"/>
              </w:rPr>
              <w:t>stat</w:t>
            </w:r>
            <w:r>
              <w:rPr>
                <w:i/>
              </w:rPr>
              <w:t>type</w:t>
            </w:r>
          </w:p>
        </w:tc>
        <w:tc>
          <w:tcPr>
            <w:tcW w:w="0" w:type="auto"/>
          </w:tcPr>
          <w:p>
            <w:pPr/>
            <w:r>
              <w:t>string</w:t>
            </w:r>
          </w:p>
        </w:tc>
        <w:tc>
          <w:tcPr>
            <w:tcW w:w="0" w:type="auto"/>
          </w:tcPr>
          <w:p>
            <w:pPr/>
            <w:r>
              <w:t xml:space="preserve">Tipo de estatística: </w:t>
            </w:r>
            <w:r>
              <w:rPr>
                <w:rFonts w:ascii="Consolas" w:hAnsi="Consolas"/>
                <w:sz w:val="20"/>
              </w:rPr>
              <w:t>mean</w:t>
            </w:r>
            <w:r>
              <w:t xml:space="preserve">, </w:t>
            </w:r>
            <w:r>
              <w:rPr>
                <w:rFonts w:ascii="Consolas" w:hAnsi="Consolas"/>
                <w:sz w:val="20"/>
              </w:rPr>
              <w:t>std</w:t>
            </w:r>
            <w:r>
              <w:rPr>
                <w:i/>
              </w:rPr>
              <w:t>dev</w:t>
            </w:r>
            <w:r>
              <w:rPr>
                <w:rFonts w:ascii="Consolas" w:hAnsi="Consolas"/>
                <w:sz w:val="20"/>
              </w:rPr>
              <w:t xml:space="preserve">, </w:t>
            </w:r>
            <w:r>
              <w:t>percentile</w:t>
            </w:r>
            <w:r>
              <w:rPr>
                <w:rFonts w:ascii="Consolas" w:hAnsi="Consolas"/>
                <w:sz w:val="20"/>
              </w:rPr>
              <w:t xml:space="preserve">, </w:t>
            </w:r>
            <w:r>
              <w:t>min</w:t>
            </w:r>
            <w:r>
              <w:rPr>
                <w:rFonts w:ascii="Consolas" w:hAnsi="Consolas"/>
                <w:sz w:val="20"/>
              </w:rPr>
              <w:t xml:space="preserve">, </w:t>
            </w:r>
            <w:r>
              <w:t>max</w:t>
            </w:r>
          </w:p>
        </w:tc>
      </w:tr>
      <w:tr>
        <w:tc>
          <w:tcPr>
            <w:tcW w:w="0" w:type="auto"/>
          </w:tcPr>
          <w:p>
            <w:pPr/>
            <w:r>
              <w:rPr>
                <w:rFonts w:ascii="Consolas" w:hAnsi="Consolas"/>
                <w:sz w:val="20"/>
              </w:rPr>
              <w:t>percentile</w:t>
            </w:r>
          </w:p>
        </w:tc>
        <w:tc>
          <w:tcPr>
            <w:tcW w:w="0" w:type="auto"/>
          </w:tcPr>
          <w:p>
            <w:pPr/>
            <w:r>
              <w:t>string</w:t>
            </w:r>
          </w:p>
        </w:tc>
        <w:tc>
          <w:tcPr>
            <w:tcW w:w="0" w:type="auto"/>
          </w:tcPr>
          <w:p>
            <w:pPr/>
            <w:r>
              <w:t>Valor do percentil (5, 10, 25, 50, 75, 90, 95) — vazio se não aplicável</w:t>
            </w:r>
          </w:p>
        </w:tc>
      </w:tr>
      <w:tr>
        <w:tc>
          <w:tcPr>
            <w:tcW w:w="0" w:type="auto"/>
          </w:tcPr>
          <w:p>
            <w:pPr/>
            <w:r>
              <w:rPr>
                <w:rFonts w:ascii="Consolas" w:hAnsi="Consolas"/>
                <w:sz w:val="20"/>
              </w:rPr>
              <w:t>value</w:t>
            </w:r>
            <w:r>
              <w:rPr>
                <w:i/>
              </w:rPr>
              <w:t>cm</w:t>
            </w:r>
          </w:p>
        </w:tc>
        <w:tc>
          <w:tcPr>
            <w:tcW w:w="0" w:type="auto"/>
          </w:tcPr>
          <w:p>
            <w:pPr/>
            <w:r>
              <w:t>float</w:t>
            </w:r>
          </w:p>
        </w:tc>
        <w:tc>
          <w:tcPr>
            <w:tcW w:w="0" w:type="auto"/>
          </w:tcPr>
          <w:p>
            <w:pPr/>
            <w:r>
              <w:t>Valor em centímetros</w:t>
            </w:r>
          </w:p>
        </w:tc>
      </w:tr>
      <w:tr>
        <w:tc>
          <w:tcPr>
            <w:tcW w:w="0" w:type="auto"/>
          </w:tcPr>
          <w:p>
            <w:pPr/>
            <w:r>
              <w:rPr>
                <w:rFonts w:ascii="Consolas" w:hAnsi="Consolas"/>
                <w:sz w:val="20"/>
              </w:rPr>
              <w:t>value</w:t>
            </w:r>
            <w:r>
              <w:rPr>
                <w:i/>
              </w:rPr>
              <w:t>mm</w:t>
            </w:r>
          </w:p>
        </w:tc>
        <w:tc>
          <w:tcPr>
            <w:tcW w:w="0" w:type="auto"/>
          </w:tcPr>
          <w:p>
            <w:pPr/>
            <w:r>
              <w:t>float</w:t>
            </w:r>
          </w:p>
        </w:tc>
        <w:tc>
          <w:tcPr>
            <w:tcW w:w="0" w:type="auto"/>
          </w:tcPr>
          <w:p>
            <w:pPr/>
            <w:r>
              <w:t>Valor em milímetros</w:t>
            </w:r>
          </w:p>
        </w:tc>
      </w:tr>
      <w:tr>
        <w:tc>
          <w:tcPr>
            <w:tcW w:w="0" w:type="auto"/>
          </w:tcPr>
          <w:p>
            <w:pPr/>
            <w:r>
              <w:rPr>
                <w:rFonts w:ascii="Consolas" w:hAnsi="Consolas"/>
                <w:sz w:val="20"/>
              </w:rPr>
              <w:t>value</w:t>
            </w:r>
            <w:r>
              <w:rPr>
                <w:i/>
              </w:rPr>
              <w:t>in</w:t>
            </w:r>
          </w:p>
        </w:tc>
        <w:tc>
          <w:tcPr>
            <w:tcW w:w="0" w:type="auto"/>
          </w:tcPr>
          <w:p>
            <w:pPr/>
            <w:r>
              <w:t>float</w:t>
            </w:r>
          </w:p>
        </w:tc>
        <w:tc>
          <w:tcPr>
            <w:tcW w:w="0" w:type="auto"/>
          </w:tcPr>
          <w:p>
            <w:pPr/>
            <w:r>
              <w:t>Valor em polegadas (calculado automaticamente)</w:t>
            </w:r>
          </w:p>
        </w:tc>
      </w:tr>
      <w:tr>
        <w:tc>
          <w:tcPr>
            <w:tcW w:w="0" w:type="auto"/>
          </w:tcPr>
          <w:p>
            <w:pPr/>
            <w:r>
              <w:rPr>
                <w:rFonts w:ascii="Consolas" w:hAnsi="Consolas"/>
                <w:sz w:val="20"/>
              </w:rPr>
              <w:t>data</w:t>
            </w:r>
            <w:r>
              <w:rPr>
                <w:i/>
              </w:rPr>
              <w:t>quality</w:t>
            </w:r>
            <w:r>
              <w:t>note</w:t>
            </w:r>
          </w:p>
        </w:tc>
        <w:tc>
          <w:tcPr>
            <w:tcW w:w="0" w:type="auto"/>
          </w:tcPr>
          <w:p>
            <w:pPr/>
            <w:r>
              <w:t>string</w:t>
            </w:r>
          </w:p>
        </w:tc>
        <w:tc>
          <w:tcPr>
            <w:tcW w:w="0" w:type="auto"/>
          </w:tcPr>
          <w:p>
            <w:pPr/>
            <w:r>
              <w:t>Notas sobre limitações, artefactos ou incertezas do valor</w:t>
            </w:r>
          </w:p>
        </w:tc>
      </w:tr>
    </w:tbl>
    <w:p>
      <w:pPr>
        <w:pStyle w:val="Heading3"/>
      </w:pPr>
      <w:r>
        <w:t>A.6.2 Formato longo (</w:t>
      </w:r>
      <w:r>
        <w:rPr>
          <w:i/>
        </w:rPr>
        <w:t>long format</w:t>
      </w:r>
      <w:r>
        <w:t>)</w:t>
      </w:r>
    </w:p>
    <w:p>
      <w:pPr/>
      <w:r>
        <w:t xml:space="preserve">A opção pelo formato longo — uma linha por estatística, e não uma linha por dimensão com colunas </w:t>
      </w:r>
      <w:r>
        <w:rPr>
          <w:rFonts w:ascii="Consolas" w:hAnsi="Consolas"/>
          <w:sz w:val="20"/>
        </w:rPr>
        <w:t>mean</w:t>
      </w:r>
      <w:r>
        <w:t xml:space="preserve">, </w:t>
      </w:r>
      <w:r>
        <w:rPr>
          <w:rFonts w:ascii="Consolas" w:hAnsi="Consolas"/>
          <w:sz w:val="20"/>
        </w:rPr>
        <w:t>sd</w:t>
      </w:r>
      <w:r>
        <w:t xml:space="preserve">, </w:t>
      </w:r>
      <w:r>
        <w:rPr>
          <w:rFonts w:ascii="Consolas" w:hAnsi="Consolas"/>
          <w:sz w:val="20"/>
        </w:rPr>
        <w:t>p5</w:t>
      </w:r>
      <w:r>
        <w:t>, etc. — permite:</w:t>
      </w:r>
    </w:p>
    <w:p>
      <w:pPr>
        <w:pStyle w:val="ListBullet"/>
      </w:pPr>
      <w:r>
        <w:t>- Filtrar facilmente por tipo de estatística sem tratamento especial de colunas opcionais</w:t>
      </w:r>
    </w:p>
    <w:p>
      <w:pPr>
        <w:pStyle w:val="ListBullet"/>
      </w:pPr>
      <w:r>
        <w:t>- Incluir estudos que reportam apenas subconjuntos de estatísticas (e.g., apenas média, sem percentis) sem introduzir células vazias em colunas estruturais</w:t>
      </w:r>
    </w:p>
    <w:p>
      <w:pPr>
        <w:pStyle w:val="ListBullet"/>
      </w:pPr>
      <w:r>
        <w:t>- Acrescentar novos tipos de estatística (e.g., intervalo de confiança) sem alterar o schema</w:t>
      </w:r>
    </w:p>
    <w:p>
      <w:pPr/>
      <w:r>
        <w:t>O custo é a repetição dos campos de identificação (país, sexo, dimensão) em cada linha — aceitável dado o volume total de dados (&lt; 5 MB).</w:t>
      </w:r>
    </w:p>
    <w:p>
      <w:pPr>
        <w:pBdr>
          <w:bottom w:val="single" w:sz="6" w:space="1" w:color="808080"/>
        </w:pBdr>
      </w:pPr>
    </w:p>
    <w:p>
      <w:pPr>
        <w:pStyle w:val="Heading3"/>
      </w:pPr>
      <w:r>
        <w:t>A.7 Controlo de Qualidade dos Dados</w:t>
      </w:r>
    </w:p>
    <w:p>
      <w:pPr>
        <w:pStyle w:val="Heading3"/>
      </w:pPr>
      <w:r>
        <w:t>A.7.1 Marcação inline de limitações</w:t>
      </w:r>
    </w:p>
    <w:p>
      <w:pPr/>
      <w:r>
        <w:t xml:space="preserve">O campo </w:t>
      </w:r>
      <w:r>
        <w:rPr>
          <w:rFonts w:ascii="Consolas" w:hAnsi="Consolas"/>
          <w:sz w:val="20"/>
        </w:rPr>
        <w:t>data</w:t>
      </w:r>
      <w:r>
        <w:rPr>
          <w:i/>
        </w:rPr>
        <w:t>quality</w:t>
      </w:r>
      <w:r>
        <w:t>note</w:t>
      </w:r>
      <w:r>
        <w:rPr>
          <w:rFonts w:ascii="Consolas" w:hAnsi="Consolas"/>
          <w:sz w:val="20"/>
        </w:rPr>
        <w:t xml:space="preserve"> é preenchido sempre que existe uma das seguintes situações:</w:t>
      </w:r>
    </w:p>
    <w:p>
      <w:pPr>
        <w:pStyle w:val="ListBullet"/>
      </w:pPr>
      <w:r>
        <w:t>- Valor extraído de uma figura (diagrama ou gráfico) em vez de uma tabela</w:t>
      </w:r>
    </w:p>
    <w:p>
      <w:pPr>
        <w:pStyle w:val="ListBullet"/>
      </w:pPr>
      <w:r>
        <w:t>- Subgrupo com n ≤ 10</w:t>
      </w:r>
    </w:p>
    <w:p>
      <w:pPr>
        <w:pStyle w:val="ListBullet"/>
      </w:pPr>
      <w:r>
        <w:t>- Desvio-padrão ausente ou atipicamente elevado</w:t>
      </w:r>
    </w:p>
    <w:p>
      <w:pPr>
        <w:pStyle w:val="ListBullet"/>
      </w:pPr>
      <w:r>
        <w:t>- Valor estimado a partir de estatísticas adjacentes por ilegibilidade da tabela</w:t>
      </w:r>
    </w:p>
    <w:p>
      <w:pPr>
        <w:pStyle w:val="ListBullet"/>
      </w:pPr>
      <w:r>
        <w:t>- Correlação fraca entre variáveis reportada pelo próprio estudo</w:t>
      </w:r>
    </w:p>
    <w:p>
      <w:pPr>
        <w:pStyle w:val="ListBullet"/>
      </w:pPr>
      <w:r>
        <w:t>- Inconsistência tipográfica no documento original, corrigida com nota</w:t>
      </w:r>
    </w:p>
    <w:p>
      <w:pPr>
        <w:pStyle w:val="Heading3"/>
      </w:pPr>
      <w:r>
        <w:t>A.7.2 Verificação de unidades</w:t>
      </w:r>
    </w:p>
    <w:p>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pPr>
      <w:r>
        <w:t>A.7.3 Rastreabilidade total</w:t>
      </w:r>
    </w:p>
    <w:p>
      <w:pPr/>
      <w:r>
        <w:t>Cada linha do CSV contém a citação completa (</w:t>
      </w:r>
      <w:r>
        <w:rPr>
          <w:rFonts w:ascii="Consolas" w:hAnsi="Consolas"/>
          <w:sz w:val="20"/>
        </w:rPr>
        <w:t>source</w:t>
      </w:r>
      <w:r>
        <w:rPr>
          <w:i/>
        </w:rPr>
        <w:t>citation</w:t>
      </w:r>
      <w:r>
        <w:rPr>
          <w:rFonts w:ascii="Consolas" w:hAnsi="Consolas"/>
          <w:sz w:val="20"/>
        </w:rPr>
        <w:t>) e o número de página exato (</w:t>
      </w:r>
      <w:r>
        <w:t>source</w:t>
      </w:r>
      <w:r>
        <w:rPr>
          <w:i/>
        </w:rPr>
        <w:t>page</w:t>
      </w:r>
      <w:r>
        <w:rPr>
          <w:rFonts w:ascii="Consolas" w:hAnsi="Consolas"/>
          <w:sz w:val="20"/>
        </w:rPr>
        <w:t>), permitindo que qualquer valor seja verificado diretamente na fonte primária sem necessidade de metadados externos.</w:t>
      </w:r>
    </w:p>
    <w:p>
      <w:pPr>
        <w:pBdr>
          <w:bottom w:val="single" w:sz="6" w:space="1" w:color="808080"/>
        </w:pBdr>
      </w:pPr>
    </w:p>
    <w:p>
      <w:pPr>
        <w:pStyle w:val="Heading3"/>
      </w:pPr>
      <w:r>
        <w:t>A.8 Escrita do Código de Geração</w:t>
      </w:r>
    </w:p>
    <w:p>
      <w:pPr/>
      <w:r>
        <w:t>Os dados foram codificados em dois scripts Python independentes:</w:t>
      </w:r>
    </w:p>
    <w:p>
      <w:pPr>
        <w:pStyle w:val="ListBullet"/>
      </w:pPr>
      <w:r>
        <w:t xml:space="preserve">- </w:t>
      </w:r>
      <w:r>
        <w:rPr>
          <w:rFonts w:ascii="Consolas" w:hAnsi="Consolas"/>
          <w:sz w:val="20"/>
        </w:rPr>
        <w:t>generate</w:t>
      </w:r>
      <w:r>
        <w:rPr>
          <w:i/>
        </w:rPr>
        <w:t>ansur</w:t>
      </w:r>
      <w:r>
        <w:t>csv.py</w:t>
      </w:r>
      <w:r>
        <w:rPr>
          <w:rFonts w:ascii="Consolas" w:hAnsi="Consolas"/>
          <w:sz w:val="20"/>
        </w:rPr>
        <w:t xml:space="preserve"> — gera </w:t>
      </w:r>
      <w:r>
        <w:t>ansur</w:t>
      </w:r>
      <w:r>
        <w:rPr>
          <w:i/>
        </w:rPr>
        <w:t>1988</w:t>
      </w:r>
      <w:r>
        <w:t>complete.csv</w:t>
      </w:r>
      <w:r>
        <w:rPr>
          <w:rFonts w:ascii="Consolas" w:hAnsi="Consolas"/>
          <w:sz w:val="20"/>
        </w:rPr>
        <w:t xml:space="preserve"> e </w:t>
      </w:r>
      <w:r>
        <w:t>ansur</w:t>
      </w:r>
      <w:r>
        <w:rPr>
          <w:i/>
        </w:rPr>
        <w:t>1988</w:t>
      </w:r>
      <w:r>
        <w:t>hand</w:t>
      </w:r>
      <w:r>
        <w:rPr>
          <w:i/>
        </w:rPr>
        <w:t>arm.csv</w:t>
      </w:r>
      <w:r>
        <w:rPr>
          <w:rFonts w:ascii="Consolas" w:hAnsi="Consolas"/>
          <w:sz w:val="20"/>
        </w:rPr>
        <w:t xml:space="preserve"> a partir de dicionários Python embutidos no script, um por tabela do relatório ANSUR</w:t>
      </w:r>
    </w:p>
    <w:p>
      <w:pPr>
        <w:pStyle w:val="ListBullet"/>
      </w:pPr>
      <w:r>
        <w:t xml:space="preserve">- </w:t>
      </w:r>
      <w:r>
        <w:rPr>
          <w:rFonts w:ascii="Consolas" w:hAnsi="Consolas"/>
          <w:sz w:val="20"/>
        </w:rPr>
        <w:t>generate</w:t>
      </w:r>
      <w:r>
        <w:rPr>
          <w:i/>
        </w:rPr>
        <w:t>multi</w:t>
      </w:r>
      <w:r>
        <w:t>population</w:t>
      </w:r>
      <w:r>
        <w:rPr>
          <w:i/>
        </w:rPr>
        <w:t>hand</w:t>
      </w:r>
      <w:r>
        <w:t>csv.py</w:t>
      </w:r>
      <w:r>
        <w:rPr>
          <w:rFonts w:ascii="Consolas" w:hAnsi="Consolas"/>
          <w:sz w:val="20"/>
        </w:rPr>
        <w:t xml:space="preserve"> — gera </w:t>
      </w:r>
      <w:r>
        <w:t>multi</w:t>
      </w:r>
      <w:r>
        <w:rPr>
          <w:i/>
        </w:rPr>
        <w:t>population</w:t>
      </w:r>
      <w:r>
        <w:t>hand.csv</w:t>
      </w:r>
      <w:r>
        <w:rPr>
          <w:rFonts w:ascii="Consolas" w:hAnsi="Consolas"/>
          <w:sz w:val="20"/>
        </w:rPr>
        <w:t xml:space="preserve"> a partir de dez secções numeradas, cada uma correspondente a um estudo ou conjunto de datasets</w:t>
      </w:r>
    </w:p>
    <w:p>
      <w:pPr/>
      <w: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t>value</w:t>
      </w:r>
      <w:r>
        <w:rPr>
          <w:i/>
        </w:rPr>
        <w:t>cm</w:t>
      </w:r>
      <w:r>
        <w:rPr>
          <w:rFonts w:ascii="Consolas" w:hAnsi="Consolas"/>
          <w:sz w:val="20"/>
        </w:rPr>
        <w:t xml:space="preserve">, e valida que nenhuma linha é emitida sem pelo menos uma das colunas </w:t>
      </w:r>
      <w:r>
        <w:t>value</w:t>
      </w:r>
      <w:r>
        <w:rPr>
          <w:i/>
        </w:rPr>
        <w:t>mm</w:t>
      </w:r>
      <w:r>
        <w:rPr>
          <w:rFonts w:ascii="Consolas" w:hAnsi="Consolas"/>
          <w:sz w:val="20"/>
        </w:rPr>
        <w:t xml:space="preserve"> ou </w:t>
      </w:r>
      <w:r>
        <w:t>value</w:t>
      </w:r>
      <w:r>
        <w:rPr>
          <w:i/>
        </w:rPr>
        <w:t>cm</w:t>
      </w:r>
      <w:r>
        <w:rPr>
          <w:rFonts w:ascii="Consolas" w:hAnsi="Consolas"/>
          <w:sz w:val="20"/>
        </w:rPr>
        <w:t xml:space="preserve"> preenchida.</w:t>
      </w:r>
    </w:p>
    <w:p>
      <w:pPr>
        <w:pBdr>
          <w:bottom w:val="single" w:sz="6" w:space="1" w:color="808080"/>
        </w:pBdr>
      </w:pPr>
    </w:p>
    <w:p>
      <w:pPr>
        <w:pStyle w:val="Heading3"/>
      </w:pPr>
      <w:r>
        <w:t>A.9 Resultado Final</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Ficheiro</w:t>
            </w:r>
          </w:p>
        </w:tc>
        <w:tc>
          <w:tcPr>
            <w:tcW w:w="0" w:type="auto"/>
          </w:tcPr>
          <w:p>
            <w:pPr/>
            <w:r>
              <w:t>Linhas (dados)</w:t>
            </w:r>
          </w:p>
        </w:tc>
        <w:tc>
          <w:tcPr>
            <w:tcW w:w="0" w:type="auto"/>
          </w:tcPr>
          <w:p>
            <w:pPr/>
            <w:r>
              <w:t>Países</w:t>
            </w:r>
          </w:p>
        </w:tc>
        <w:tc>
          <w:tcPr>
            <w:tcW w:w="0" w:type="auto"/>
          </w:tcPr>
          <w:p>
            <w:pPr/>
            <w:r>
              <w:t>Estudos</w:t>
            </w:r>
          </w:p>
        </w:tc>
        <w:tc>
          <w:tcPr>
            <w:tcW w:w="0" w:type="auto"/>
          </w:tcPr>
          <w:p>
            <w:pPr/>
            <w:r>
              <w:t>Dimensões distintas</w:t>
            </w:r>
          </w:p>
        </w:tc>
      </w:tr>
      <w:tr>
        <w:tc>
          <w:tcPr>
            <w:tcW w:w="0" w:type="auto"/>
          </w:tcPr>
          <w:p>
            <w:pPr/>
            <w:r>
              <w:rPr>
                <w:rFonts w:ascii="Consolas" w:hAnsi="Consolas"/>
                <w:sz w:val="20"/>
              </w:rPr>
              <w:t>ansur</w:t>
            </w:r>
            <w:r>
              <w:rPr>
                <w:i/>
              </w:rPr>
              <w:t>1988</w:t>
            </w:r>
            <w:r>
              <w:t>complete.csv</w:t>
            </w:r>
          </w:p>
        </w:tc>
        <w:tc>
          <w:tcPr>
            <w:tcW w:w="0" w:type="auto"/>
          </w:tcPr>
          <w:p>
            <w:pPr/>
            <w:r>
              <w:t>2.726</w:t>
            </w:r>
          </w:p>
        </w:tc>
        <w:tc>
          <w:tcPr>
            <w:tcW w:w="0" w:type="auto"/>
          </w:tcPr>
          <w:p>
            <w:pPr/>
            <w:r>
              <w:t>1 (EUA)</w:t>
            </w:r>
          </w:p>
        </w:tc>
        <w:tc>
          <w:tcPr>
            <w:tcW w:w="0" w:type="auto"/>
          </w:tcPr>
          <w:p>
            <w:pPr/>
            <w:r>
              <w:t>1</w:t>
            </w:r>
          </w:p>
        </w:tc>
        <w:tc>
          <w:tcPr>
            <w:tcW w:w="0" w:type="auto"/>
          </w:tcPr>
          <w:p>
            <w:pPr/>
            <w:r>
              <w:t>47</w:t>
            </w:r>
          </w:p>
        </w:tc>
      </w:tr>
      <w:tr>
        <w:tc>
          <w:tcPr>
            <w:tcW w:w="0" w:type="auto"/>
          </w:tcPr>
          <w:p>
            <w:pPr/>
            <w:r>
              <w:rPr>
                <w:rFonts w:ascii="Consolas" w:hAnsi="Consolas"/>
                <w:sz w:val="20"/>
              </w:rPr>
              <w:t>ansur</w:t>
            </w:r>
            <w:r>
              <w:rPr>
                <w:i/>
              </w:rPr>
              <w:t>1988</w:t>
            </w:r>
            <w:r>
              <w:t>hand</w:t>
            </w:r>
            <w:r>
              <w:rPr>
                <w:i/>
              </w:rPr>
              <w:t>arm.csv</w:t>
            </w:r>
          </w:p>
        </w:tc>
        <w:tc>
          <w:tcPr>
            <w:tcW w:w="0" w:type="auto"/>
          </w:tcPr>
          <w:p>
            <w:pPr/>
            <w:r>
              <w:t>696</w:t>
            </w:r>
          </w:p>
        </w:tc>
        <w:tc>
          <w:tcPr>
            <w:tcW w:w="0" w:type="auto"/>
          </w:tcPr>
          <w:p>
            <w:pPr/>
            <w:r>
              <w:t>1 (EUA)</w:t>
            </w:r>
          </w:p>
        </w:tc>
        <w:tc>
          <w:tcPr>
            <w:tcW w:w="0" w:type="auto"/>
          </w:tcPr>
          <w:p>
            <w:pPr/>
            <w:r>
              <w:t>1</w:t>
            </w:r>
          </w:p>
        </w:tc>
        <w:tc>
          <w:tcPr>
            <w:tcW w:w="0" w:type="auto"/>
          </w:tcPr>
          <w:p>
            <w:pPr/>
            <w:r>
              <w:t>17</w:t>
            </w:r>
          </w:p>
        </w:tc>
      </w:tr>
      <w:tr>
        <w:tc>
          <w:tcPr>
            <w:tcW w:w="0" w:type="auto"/>
          </w:tcPr>
          <w:p>
            <w:pPr/>
            <w:r>
              <w:rPr>
                <w:rFonts w:ascii="Consolas" w:hAnsi="Consolas"/>
                <w:sz w:val="20"/>
              </w:rPr>
              <w:t>multi</w:t>
            </w:r>
            <w:r>
              <w:rPr>
                <w:i/>
              </w:rPr>
              <w:t>population</w:t>
            </w:r>
            <w:r>
              <w:t>hand.csv</w:t>
            </w:r>
          </w:p>
        </w:tc>
        <w:tc>
          <w:tcPr>
            <w:tcW w:w="0" w:type="auto"/>
          </w:tcPr>
          <w:p>
            <w:pPr/>
            <w:r>
              <w:t>1.790</w:t>
            </w:r>
          </w:p>
        </w:tc>
        <w:tc>
          <w:tcPr>
            <w:tcW w:w="0" w:type="auto"/>
          </w:tcPr>
          <w:p>
            <w:pPr/>
            <w:r>
              <w:t>9</w:t>
            </w:r>
          </w:p>
        </w:tc>
        <w:tc>
          <w:tcPr>
            <w:tcW w:w="0" w:type="auto"/>
          </w:tcPr>
          <w:p>
            <w:pPr/>
            <w:r>
              <w:t>11</w:t>
            </w:r>
          </w:p>
        </w:tc>
        <w:tc>
          <w:tcPr>
            <w:tcW w:w="0" w:type="auto"/>
          </w:tcPr>
          <w:p>
            <w:pPr/>
            <w:r>
              <w:t>~85</w:t>
            </w:r>
          </w:p>
        </w:tc>
      </w:tr>
    </w:tbl>
    <w:p>
      <w:pPr/>
      <w:r>
        <w:t xml:space="preserve">O ficheiro </w:t>
      </w:r>
      <w:r>
        <w:rPr>
          <w:rFonts w:ascii="Consolas" w:hAnsi="Consolas"/>
          <w:sz w:val="20"/>
        </w:rPr>
        <w:t>multi</w:t>
      </w:r>
      <w:r>
        <w:rPr>
          <w:i/>
        </w:rPr>
        <w:t>population</w:t>
      </w:r>
      <w: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Bdr>
          <w:bottom w:val="single" w:sz="6" w:space="1" w:color="808080"/>
        </w:pBdr>
      </w:pPr>
    </w:p>
    <w:p>
      <w:pPr>
        <w:pStyle w:val="Heading3"/>
      </w:pPr>
      <w:r>
        <w:t>A.10 Cobertura Global da Base de Dados e Lacunas</w:t>
      </w:r>
    </w:p>
    <w:p>
      <w:pPr>
        <w:pStyle w:val="Heading3"/>
      </w:pPr>
      <w:r>
        <w:t>A.10.1 O que está coberto</w:t>
      </w:r>
    </w:p>
    <w:p>
      <w:pPr/>
      <w:r>
        <w:t xml:space="preserve">A base de dados </w:t>
      </w:r>
      <w:r>
        <w:rPr>
          <w:rFonts w:ascii="Consolas" w:hAnsi="Consolas"/>
          <w:sz w:val="20"/>
        </w:rPr>
        <w:t>multi</w:t>
      </w:r>
      <w:r>
        <w:rPr>
          <w:i/>
        </w:rPr>
        <w:t>population</w:t>
      </w:r>
      <w: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pPr>
      <w:r>
        <w:t>A.10.1.1 Cobertura geográfica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w:t>
            </w:r>
          </w:p>
        </w:tc>
        <w:tc>
          <w:tcPr>
            <w:tcW w:w="0" w:type="auto"/>
          </w:tcPr>
          <w:p>
            <w:pPr/>
            <w:r>
              <w:t>Países representados</w:t>
            </w:r>
          </w:p>
        </w:tc>
        <w:tc>
          <w:tcPr>
            <w:tcW w:w="0" w:type="auto"/>
          </w:tcPr>
          <w:p>
            <w:pPr/>
            <w:r>
              <w:t>Fonte(s)</w:t>
            </w:r>
          </w:p>
        </w:tc>
      </w:tr>
      <w:tr>
        <w:tc>
          <w:tcPr>
            <w:tcW w:w="0" w:type="auto"/>
          </w:tcPr>
          <w:p>
            <w:pPr/>
            <w:r>
              <w:t>Europa Ocidental</w:t>
            </w:r>
          </w:p>
        </w:tc>
        <w:tc>
          <w:tcPr>
            <w:tcW w:w="0" w:type="auto"/>
          </w:tcPr>
          <w:p>
            <w:pPr/>
            <w:r>
              <w:t>Portugal, Países Baixos</w:t>
            </w:r>
          </w:p>
        </w:tc>
        <w:tc>
          <w:tcPr>
            <w:tcW w:w="0" w:type="auto"/>
          </w:tcPr>
          <w:p>
            <w:pPr/>
            <w:r>
              <w:t>Anacleto Filho et al. (2023); DINED kima1993, geron1998, dined2004</w:t>
            </w:r>
          </w:p>
        </w:tc>
      </w:tr>
      <w:tr>
        <w:tc>
          <w:tcPr>
            <w:tcW w:w="0" w:type="auto"/>
          </w:tcPr>
          <w:p>
            <w:pPr/>
            <w:r>
              <w:t>América do Norte</w:t>
            </w:r>
          </w:p>
        </w:tc>
        <w:tc>
          <w:tcPr>
            <w:tcW w:w="0" w:type="auto"/>
          </w:tcPr>
          <w:p>
            <w:pPr/>
            <w:r>
              <w:t>EUA</w:t>
            </w:r>
          </w:p>
        </w:tc>
        <w:tc>
          <w:tcPr>
            <w:tcW w:w="0" w:type="auto"/>
          </w:tcPr>
          <w:p>
            <w:pPr/>
            <w:r>
              <w:t>ANSUR 1988, ANSUR II 2012, Lim et al. (2018)</w:t>
            </w:r>
          </w:p>
        </w:tc>
      </w:tr>
      <w:tr>
        <w:tc>
          <w:tcPr>
            <w:tcW w:w="0" w:type="auto"/>
          </w:tcPr>
          <w:p>
            <w:pPr/>
            <w:r>
              <w:t>América Latina</w:t>
            </w:r>
          </w:p>
        </w:tc>
        <w:tc>
          <w:tcPr>
            <w:tcW w:w="0" w:type="auto"/>
          </w:tcPr>
          <w:p>
            <w:pPr/>
            <w:r>
              <w:t>México</w:t>
            </w:r>
          </w:p>
        </w:tc>
        <w:tc>
          <w:tcPr>
            <w:tcW w:w="0" w:type="auto"/>
          </w:tcPr>
          <w:p>
            <w:pPr/>
            <w:r>
              <w:t>Rodríguez-Vega et al. (2024)</w:t>
            </w:r>
          </w:p>
        </w:tc>
      </w:tr>
      <w:tr>
        <w:tc>
          <w:tcPr>
            <w:tcW w:w="0" w:type="auto"/>
          </w:tcPr>
          <w:p>
            <w:pPr/>
            <w:r>
              <w:t>Médio Oriente</w:t>
            </w:r>
          </w:p>
        </w:tc>
        <w:tc>
          <w:tcPr>
            <w:tcW w:w="0" w:type="auto"/>
          </w:tcPr>
          <w:p>
            <w:pPr/>
            <w:r>
              <w:t>Jordânia</w:t>
            </w:r>
          </w:p>
        </w:tc>
        <w:tc>
          <w:tcPr>
            <w:tcW w:w="0" w:type="auto"/>
          </w:tcPr>
          <w:p>
            <w:pPr/>
            <w:r>
              <w:t>Mistarihi (2020)</w:t>
            </w:r>
          </w:p>
        </w:tc>
      </w:tr>
      <w:tr>
        <w:tc>
          <w:tcPr>
            <w:tcW w:w="0" w:type="auto"/>
          </w:tcPr>
          <w:p>
            <w:pPr/>
            <w:r>
              <w:t>África</w:t>
            </w:r>
          </w:p>
        </w:tc>
        <w:tc>
          <w:tcPr>
            <w:tcW w:w="0" w:type="auto"/>
          </w:tcPr>
          <w:p>
            <w:pPr/>
            <w:r>
              <w:t>Nigéria</w:t>
            </w:r>
          </w:p>
        </w:tc>
        <w:tc>
          <w:tcPr>
            <w:tcW w:w="0" w:type="auto"/>
          </w:tcPr>
          <w:p>
            <w:pPr/>
            <w:r>
              <w:t>Ibiwari et al. (2025)</w:t>
            </w:r>
          </w:p>
        </w:tc>
      </w:tr>
      <w:tr>
        <w:tc>
          <w:tcPr>
            <w:tcW w:w="0" w:type="auto"/>
          </w:tcPr>
          <w:p>
            <w:pPr/>
            <w:r>
              <w:t>Sul da Ásia</w:t>
            </w:r>
          </w:p>
        </w:tc>
        <w:tc>
          <w:tcPr>
            <w:tcW w:w="0" w:type="auto"/>
          </w:tcPr>
          <w:p>
            <w:pPr/>
            <w:r>
              <w:t>Índia</w:t>
            </w:r>
          </w:p>
        </w:tc>
        <w:tc>
          <w:tcPr>
            <w:tcW w:w="0" w:type="auto"/>
          </w:tcPr>
          <w:p>
            <w:pPr/>
            <w:r>
              <w:t>Nag et al. (2003)</w:t>
            </w:r>
          </w:p>
        </w:tc>
      </w:tr>
      <w:tr>
        <w:tc>
          <w:tcPr>
            <w:tcW w:w="0" w:type="auto"/>
          </w:tcPr>
          <w:p>
            <w:pPr/>
            <w:r>
              <w:t>Ásia Oriental</w:t>
            </w:r>
          </w:p>
        </w:tc>
        <w:tc>
          <w:tcPr>
            <w:tcW w:w="0" w:type="auto"/>
          </w:tcPr>
          <w:p>
            <w:pPr/>
            <w:r>
              <w:t>China (Pequim)</w:t>
            </w:r>
          </w:p>
        </w:tc>
        <w:tc>
          <w:tcPr>
            <w:tcW w:w="0" w:type="auto"/>
          </w:tcPr>
          <w:p>
            <w:pPr/>
            <w:r>
              <w:t>Hu et al. (2007)</w:t>
            </w:r>
          </w:p>
        </w:tc>
      </w:tr>
      <w:tr>
        <w:tc>
          <w:tcPr>
            <w:tcW w:w="0" w:type="auto"/>
          </w:tcPr>
          <w:p>
            <w:pPr/>
            <w:r>
              <w:t>Europa do Sul / Ásia Menor</w:t>
            </w:r>
          </w:p>
        </w:tc>
        <w:tc>
          <w:tcPr>
            <w:tcW w:w="0" w:type="auto"/>
          </w:tcPr>
          <w:p>
            <w:pPr/>
            <w:r>
              <w:t>Turquia</w:t>
            </w:r>
          </w:p>
        </w:tc>
        <w:tc>
          <w:tcPr>
            <w:tcW w:w="0" w:type="auto"/>
          </w:tcPr>
          <w:p>
            <w:pPr/>
            <w:r>
              <w:t>Chatzioglou et al. (2024)</w:t>
            </w:r>
          </w:p>
        </w:tc>
      </w:tr>
    </w:tbl>
    <w:p>
      <w:pPr/>
      <w:r>
        <w:t>Nove países estão representados, distribuídos por sete regiões do mundo. A cobertura é particularmente densa nos EUA (três fontes independentes) e nos Países Baixos (três sub-datasets DINED).</w:t>
      </w:r>
    </w:p>
    <w:p>
      <w:pPr>
        <w:pStyle w:val="Heading3"/>
      </w:pPr>
      <w:r>
        <w:t>A.10.1.2 Cobertura etária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Faixa etária</w:t>
            </w:r>
          </w:p>
        </w:tc>
        <w:tc>
          <w:tcPr>
            <w:tcW w:w="0" w:type="auto"/>
          </w:tcPr>
          <w:p>
            <w:pPr/>
            <w:r>
              <w:t>Cobertura</w:t>
            </w:r>
          </w:p>
        </w:tc>
        <w:tc>
          <w:tcPr>
            <w:tcW w:w="0" w:type="auto"/>
          </w:tcPr>
          <w:p>
            <w:pPr/>
            <w:r>
              <w:t>Fonte(s)</w:t>
            </w:r>
          </w:p>
        </w:tc>
      </w:tr>
      <w:tr>
        <w:tc>
          <w:tcPr>
            <w:tcW w:w="0" w:type="auto"/>
          </w:tcPr>
          <w:p>
            <w:pPr/>
            <w:r>
              <w:t>2–12 anos</w:t>
            </w:r>
          </w:p>
        </w:tc>
        <w:tc>
          <w:tcPr>
            <w:tcW w:w="0" w:type="auto"/>
          </w:tcPr>
          <w:p>
            <w:pPr/>
            <w:r>
              <w:t>Países Baixos</w:t>
            </w:r>
          </w:p>
        </w:tc>
        <w:tc>
          <w:tcPr>
            <w:tcW w:w="0" w:type="auto"/>
          </w:tcPr>
          <w:p>
            <w:pPr/>
            <w:r>
              <w:t>DINED kima1993 (por ano de idade)</w:t>
            </w:r>
          </w:p>
        </w:tc>
      </w:tr>
      <w:tr>
        <w:tc>
          <w:tcPr>
            <w:tcW w:w="0" w:type="auto"/>
          </w:tcPr>
          <w:p>
            <w:pPr/>
            <w:r>
              <w:t>15–19 anos</w:t>
            </w:r>
          </w:p>
        </w:tc>
        <w:tc>
          <w:tcPr>
            <w:tcW w:w="0" w:type="auto"/>
          </w:tcPr>
          <w:p>
            <w:pPr/>
            <w:r>
              <w:t>México</w:t>
            </w:r>
          </w:p>
        </w:tc>
        <w:tc>
          <w:tcPr>
            <w:tcW w:w="0" w:type="auto"/>
          </w:tcPr>
          <w:p>
            <w:pPr/>
            <w:r>
              <w:t>Rodríguez-Vega et al. (2024), subgrupo</w:t>
            </w:r>
          </w:p>
        </w:tc>
      </w:tr>
      <w:tr>
        <w:tc>
          <w:tcPr>
            <w:tcW w:w="0" w:type="auto"/>
          </w:tcPr>
          <w:p>
            <w:pPr/>
            <w:r>
              <w:t>18–30 anos</w:t>
            </w:r>
          </w:p>
        </w:tc>
        <w:tc>
          <w:tcPr>
            <w:tcW w:w="0" w:type="auto"/>
          </w:tcPr>
          <w:p>
            <w:pPr/>
            <w:r>
              <w:t>EUA, Turquia</w:t>
            </w:r>
          </w:p>
        </w:tc>
        <w:tc>
          <w:tcPr>
            <w:tcW w:w="0" w:type="auto"/>
          </w:tcPr>
          <w:p>
            <w:pPr/>
            <w:r>
              <w:t>Lim et al. (2018); Chatzioglou et al. (2024)</w:t>
            </w:r>
          </w:p>
        </w:tc>
      </w:tr>
      <w:tr>
        <w:tc>
          <w:tcPr>
            <w:tcW w:w="0" w:type="auto"/>
          </w:tcPr>
          <w:p>
            <w:pPr/>
            <w:r>
              <w:t>17–58 anos</w:t>
            </w:r>
          </w:p>
        </w:tc>
        <w:tc>
          <w:tcPr>
            <w:tcW w:w="0" w:type="auto"/>
          </w:tcPr>
          <w:p>
            <w:pPr/>
            <w:r>
              <w:t>EUA</w:t>
            </w:r>
          </w:p>
        </w:tc>
        <w:tc>
          <w:tcPr>
            <w:tcW w:w="0" w:type="auto"/>
          </w:tcPr>
          <w:p>
            <w:pPr/>
            <w:r>
              <w:t>ANSUR II 2012</w:t>
            </w:r>
          </w:p>
        </w:tc>
      </w:tr>
      <w:tr>
        <w:tc>
          <w:tcPr>
            <w:tcW w:w="0" w:type="auto"/>
          </w:tcPr>
          <w:p>
            <w:pPr/>
            <w:r>
              <w:t>15–59 anos</w:t>
            </w:r>
          </w:p>
        </w:tc>
        <w:tc>
          <w:tcPr>
            <w:tcW w:w="0" w:type="auto"/>
          </w:tcPr>
          <w:p>
            <w:pPr/>
            <w:r>
              <w:t>México</w:t>
            </w:r>
          </w:p>
        </w:tc>
        <w:tc>
          <w:tcPr>
            <w:tcW w:w="0" w:type="auto"/>
          </w:tcPr>
          <w:p>
            <w:pPr/>
            <w:r>
              <w:t>Rodríguez-Vega et al. (2024), 8 grupos etários</w:t>
            </w:r>
          </w:p>
        </w:tc>
      </w:tr>
      <w:tr>
        <w:tc>
          <w:tcPr>
            <w:tcW w:w="0" w:type="auto"/>
          </w:tcPr>
          <w:p>
            <w:pPr/>
            <w:r>
              <w:t>19–30 anos</w:t>
            </w:r>
          </w:p>
        </w:tc>
        <w:tc>
          <w:tcPr>
            <w:tcW w:w="0" w:type="auto"/>
          </w:tcPr>
          <w:p>
            <w:pPr/>
            <w:r>
              <w:t>Nigéria</w:t>
            </w:r>
          </w:p>
        </w:tc>
        <w:tc>
          <w:tcPr>
            <w:tcW w:w="0" w:type="auto"/>
          </w:tcPr>
          <w:p>
            <w:pPr/>
            <w:r>
              <w:t>Ibiwari et al. (2025)</w:t>
            </w:r>
          </w:p>
        </w:tc>
      </w:tr>
      <w:tr>
        <w:tc>
          <w:tcPr>
            <w:tcW w:w="0" w:type="auto"/>
          </w:tcPr>
          <w:p>
            <w:pPr/>
            <w:r>
              <w:t>20–40 anos</w:t>
            </w:r>
          </w:p>
        </w:tc>
        <w:tc>
          <w:tcPr>
            <w:tcW w:w="0" w:type="auto"/>
          </w:tcPr>
          <w:p>
            <w:pPr/>
            <w:r>
              <w:t>Jordânia</w:t>
            </w:r>
          </w:p>
        </w:tc>
        <w:tc>
          <w:tcPr>
            <w:tcW w:w="0" w:type="auto"/>
          </w:tcPr>
          <w:p>
            <w:pPr/>
            <w:r>
              <w:t>Mistarihi (2020)</w:t>
            </w:r>
          </w:p>
        </w:tc>
      </w:tr>
      <w:tr>
        <w:tc>
          <w:tcPr>
            <w:tcW w:w="0" w:type="auto"/>
          </w:tcPr>
          <w:p>
            <w:pPr/>
            <w:r>
              <w:t>20–60+ anos</w:t>
            </w:r>
          </w:p>
        </w:tc>
        <w:tc>
          <w:tcPr>
            <w:tcW w:w="0" w:type="auto"/>
          </w:tcPr>
          <w:p>
            <w:pPr/>
            <w:r>
              <w:t>Países Baixos</w:t>
            </w:r>
          </w:p>
        </w:tc>
        <w:tc>
          <w:tcPr>
            <w:tcW w:w="0" w:type="auto"/>
          </w:tcPr>
          <w:p>
            <w:pPr/>
            <w:r>
              <w:t>DINED dined2004 (3 grupos)</w:t>
            </w:r>
          </w:p>
        </w:tc>
      </w:tr>
      <w:tr>
        <w:tc>
          <w:tcPr>
            <w:tcW w:w="0" w:type="auto"/>
          </w:tcPr>
          <w:p>
            <w:pPr/>
            <w:r>
              <w:t>50–80+ anos</w:t>
            </w:r>
          </w:p>
        </w:tc>
        <w:tc>
          <w:tcPr>
            <w:tcW w:w="0" w:type="auto"/>
          </w:tcPr>
          <w:p>
            <w:pPr/>
            <w:r>
              <w:t>Países Baixos</w:t>
            </w:r>
          </w:p>
        </w:tc>
        <w:tc>
          <w:tcPr>
            <w:tcW w:w="0" w:type="auto"/>
          </w:tcPr>
          <w:p>
            <w:pPr/>
            <w:r>
              <w:t>DINED geron1998 (7 grupos de 5 anos)</w:t>
            </w:r>
          </w:p>
        </w:tc>
      </w:tr>
      <w:tr>
        <w:tc>
          <w:tcPr>
            <w:tcW w:w="0" w:type="auto"/>
          </w:tcPr>
          <w:p>
            <w:pPr/>
            <w:r>
              <w:t>65–85 anos</w:t>
            </w:r>
          </w:p>
        </w:tc>
        <w:tc>
          <w:tcPr>
            <w:tcW w:w="0" w:type="auto"/>
          </w:tcPr>
          <w:p>
            <w:pPr/>
            <w:r>
              <w:t>China</w:t>
            </w:r>
          </w:p>
        </w:tc>
        <w:tc>
          <w:tcPr>
            <w:tcW w:w="0" w:type="auto"/>
          </w:tcPr>
          <w:p>
            <w:pPr/>
            <w:r>
              <w:t>Hu et al. (2007)</w:t>
            </w:r>
          </w:p>
        </w:tc>
      </w:tr>
    </w:tbl>
    <w:p>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pPr>
      <w:r>
        <w:t>A.10.1.3 Cobertura estatística</w:t>
      </w:r>
    </w:p>
    <w:p>
      <w:pPr/>
      <w:r>
        <w:t>A profundidade estatística varia consideravelmente entre fontes: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 de detalhe</w:t>
            </w:r>
          </w:p>
        </w:tc>
        <w:tc>
          <w:tcPr>
            <w:tcW w:w="0" w:type="auto"/>
          </w:tcPr>
          <w:p>
            <w:pPr/>
            <w:r>
              <w:t>Estudos</w:t>
            </w:r>
          </w:p>
        </w:tc>
      </w:tr>
      <w:tr>
        <w:tc>
          <w:tcPr>
            <w:tcW w:w="0" w:type="auto"/>
          </w:tcPr>
          <w:p>
            <w:pPr/>
            <w:r>
              <w:t>Média, SD, min, max, P5–P95 (11 indicadores)</w:t>
            </w:r>
          </w:p>
        </w:tc>
        <w:tc>
          <w:tcPr>
            <w:tcW w:w="0" w:type="auto"/>
          </w:tcPr>
          <w:p>
            <w:pPr/>
            <w:r>
              <w:t>ANSUR 1988, ANSUR II 2012</w:t>
            </w:r>
          </w:p>
        </w:tc>
      </w:tr>
      <w:tr>
        <w:tc>
          <w:tcPr>
            <w:tcW w:w="0" w:type="auto"/>
          </w:tcPr>
          <w:p>
            <w:pPr/>
            <w:r>
              <w:t>Média, SD, P5, P50, P95 (5 indicadores)</w:t>
            </w:r>
          </w:p>
        </w:tc>
        <w:tc>
          <w:tcPr>
            <w:tcW w:w="0" w:type="auto"/>
          </w:tcPr>
          <w:p>
            <w:pPr/>
            <w:r>
              <w:t>DINED (3 sub-datasets), Hu et al. (2007)</w:t>
            </w:r>
          </w:p>
        </w:tc>
      </w:tr>
      <w:tr>
        <w:tc>
          <w:tcPr>
            <w:tcW w:w="0" w:type="auto"/>
          </w:tcPr>
          <w:p>
            <w:pPr/>
            <w:r>
              <w:t>P5, P50, P95 (3 indicadores)</w:t>
            </w:r>
          </w:p>
        </w:tc>
        <w:tc>
          <w:tcPr>
            <w:tcW w:w="0" w:type="auto"/>
          </w:tcPr>
          <w:p>
            <w:pPr/>
            <w:r>
              <w:t>Nag et al. (2003), Anacleto Filho et al. (2023), Rodríguez-Vega et al. (2024)</w:t>
            </w:r>
          </w:p>
        </w:tc>
      </w:tr>
      <w:tr>
        <w:tc>
          <w:tcPr>
            <w:tcW w:w="0" w:type="auto"/>
          </w:tcPr>
          <w:p>
            <w:pPr/>
            <w:r>
              <w:t>Média, SD, min, max (4 indicadores)</w:t>
            </w:r>
          </w:p>
        </w:tc>
        <w:tc>
          <w:tcPr>
            <w:tcW w:w="0" w:type="auto"/>
          </w:tcPr>
          <w:p>
            <w:pPr/>
            <w:r>
              <w:t>Chatzioglou et al. (2024), Ibiwari et al. (2025)</w:t>
            </w:r>
          </w:p>
        </w:tc>
      </w:tr>
      <w:tr>
        <w:tc>
          <w:tcPr>
            <w:tcW w:w="0" w:type="auto"/>
          </w:tcPr>
          <w:p>
            <w:pPr/>
            <w:r>
              <w:t>Média apenas</w:t>
            </w:r>
          </w:p>
        </w:tc>
        <w:tc>
          <w:tcPr>
            <w:tcW w:w="0" w:type="auto"/>
          </w:tcPr>
          <w:p>
            <w:pPr/>
            <w:r>
              <w:t>Mistarihi (2020) — largura da mão; Lim et al. (2018)</w:t>
            </w:r>
          </w:p>
        </w:tc>
      </w:tr>
    </w:tbl>
    <w:p>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Bdr>
          <w:bottom w:val="single" w:sz="6" w:space="1" w:color="808080"/>
        </w:pBdr>
      </w:pPr>
    </w:p>
    <w:p>
      <w:pPr>
        <w:pStyle w:val="Heading3"/>
      </w:pPr>
      <w:r>
        <w:t>A.10.2 Onde a cobertura falha</w:t>
      </w:r>
    </w:p>
    <w:p>
      <w:pPr>
        <w:pStyle w:val="Heading3"/>
      </w:pPr>
      <w:r>
        <w:t>A.10.2.1 Lacunas geográficas</w:t>
      </w:r>
    </w:p>
    <w:p>
      <w:pPr/>
      <w:r>
        <w:t>As regiões mais populosas do mundo estão sub-representadas ou ausentes:</w:t>
      </w:r>
    </w:p>
    <w:p>
      <w:pPr>
        <w:pStyle w:val="ListBullet"/>
      </w:pPr>
      <w:r>
        <w:t xml:space="preserve">- </w:t>
      </w:r>
      <w:r>
        <w:rPr>
          <w:b/>
        </w:rPr>
        <w:t>Ásia Oriental</w:t>
      </w:r>
      <w: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pPr>
      <w:r>
        <w:t xml:space="preserve">- </w:t>
      </w:r>
      <w:r>
        <w:rPr>
          <w:b/>
        </w:rPr>
        <w:t>Ásia do Sudeste</w:t>
      </w:r>
      <w: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pPr>
      <w:r>
        <w:t xml:space="preserve">- </w:t>
      </w:r>
      <w:r>
        <w:rPr>
          <w:b/>
        </w:rPr>
        <w:t>África Subsaariana</w:t>
      </w:r>
      <w: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pPr>
      <w:r>
        <w:t xml:space="preserve">- </w:t>
      </w:r>
      <w:r>
        <w:rPr>
          <w:b/>
        </w:rPr>
        <w:t>América do Sul</w:t>
      </w:r>
      <w:r>
        <w:t xml:space="preserve"> — Completamente ausente. Brasil, Colômbia e Argentina têm literatura ergonómica publicada mas não foram identificadas fontes acessíveis com dados de mão codificáveis.</w:t>
      </w:r>
    </w:p>
    <w:p>
      <w:pPr>
        <w:pStyle w:val="ListBullet"/>
      </w:pPr>
      <w:r>
        <w:t xml:space="preserve">- </w:t>
      </w:r>
      <w:r>
        <w:rPr>
          <w:b/>
        </w:rPr>
        <w:t>Europa Central e de Leste</w:t>
      </w:r>
      <w:r>
        <w:t xml:space="preserve"> — Ausente. Os Países Baixos e Portugal representam a Europa, mas há variabilidade antropométrica documentada entre populações do norte, sul e leste do continente.</w:t>
      </w:r>
    </w:p>
    <w:p>
      <w:pPr>
        <w:pStyle w:val="Heading3"/>
      </w:pPr>
      <w:r>
        <w:t>A.10.2.2 Lacunas demográficas</w:t>
      </w:r>
    </w:p>
    <w:p>
      <w:pPr>
        <w:pStyle w:val="ListBullet"/>
      </w:pPr>
      <w:r>
        <w:t xml:space="preserve">- </w:t>
      </w:r>
      <w:r>
        <w:rPr>
          <w:b/>
        </w:rPr>
        <w:t>Adolescentes (13–17 anos)</w:t>
      </w:r>
      <w:r>
        <w:t xml:space="preserve"> — a transição da mão infantil para a adulta não está coberta por nenhum estudo dedicado. O kima1993 chega aos 12 anos e o ANSUR começa aos 17.</w:t>
      </w:r>
    </w:p>
    <w:p>
      <w:pPr>
        <w:pStyle w:val="ListBullet"/>
      </w:pPr>
      <w:r>
        <w:t xml:space="preserve">- </w:t>
      </w:r>
      <w:r>
        <w:rPr>
          <w:b/>
        </w:rPr>
        <w:t>Amputados</w:t>
      </w:r>
      <w: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pPr>
      <w:r>
        <w:t xml:space="preserve">- </w:t>
      </w:r>
      <w:r>
        <w:rPr>
          <w:b/>
        </w:rPr>
        <w:t>Pessoas com deficiência física</w:t>
      </w:r>
      <w:r>
        <w:t xml:space="preserve"> — apenas o estudo de Mistarihi (2020) cobre esta população (n=40, sexos combinados, Jordânia). A dimensão amostral é insuficiente para ser estatisticamente representativa.</w:t>
      </w:r>
    </w:p>
    <w:p>
      <w:pPr>
        <w:pStyle w:val="ListBullet"/>
      </w:pPr>
      <w:r>
        <w:t xml:space="preserve">- </w:t>
      </w:r>
      <w:r>
        <w:rPr>
          <w:b/>
        </w:rPr>
        <w:t>Idosos fora da Europa e China</w:t>
      </w:r>
      <w: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pPr>
      <w:r>
        <w:t>A.10.2.3 Limitações qualitativas dos dados existentes</w:t>
      </w:r>
    </w:p>
    <w:p>
      <w:pPr/>
      <w:r>
        <w:t>Para além das lacunas por ausência, existem limitações nos dados já presentes:</w:t>
      </w:r>
    </w:p>
    <w:p>
      <w:pPr>
        <w:pStyle w:val="ListBullet"/>
      </w:pPr>
      <w:r>
        <w:t xml:space="preserve">- </w:t>
      </w:r>
      <w:r>
        <w:rPr>
          <w:b/>
        </w:rPr>
        <w:t>Heterogeneidade de protocolos</w:t>
      </w:r>
      <w: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pPr>
      <w:r>
        <w:t xml:space="preserve">- </w:t>
      </w:r>
      <w:r>
        <w:rPr>
          <w:b/>
        </w:rPr>
        <w:t>Amostras de conveniência</w:t>
      </w:r>
      <w: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pPr>
      <w:r>
        <w:t xml:space="preserve">- </w:t>
      </w:r>
      <w:r>
        <w:rPr>
          <w:b/>
        </w:rPr>
        <w:t>Desequilíbrio de dimensões</w:t>
      </w:r>
      <w: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pPr>
      <w:r>
        <w:t xml:space="preserve">- </w:t>
      </w:r>
      <w:r>
        <w:rPr>
          <w:b/>
        </w:rPr>
        <w:t>Mão medida</w:t>
      </w:r>
      <w:r>
        <w:t xml:space="preserve"> — a maioria dos estudos mede a mão dominante ou a mão direita; o estudo português mede a mão esquerda por limitação de instalações. Esta inconsistência é registada nos metadados mas não pode ser corrigida post-hoc.</w:t>
      </w:r>
    </w:p>
    <w:p>
      <w:pPr>
        <w:pBdr>
          <w:bottom w:val="single" w:sz="6" w:space="1" w:color="808080"/>
        </w:pBdr>
      </w:pPr>
    </w:p>
    <w:p>
      <w:pPr>
        <w:pStyle w:val="Heading3"/>
      </w:pPr>
      <w:r>
        <w:t>A.10.3 Frentes identificadas para expansão futura</w:t>
      </w:r>
    </w:p>
    <w:p>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pPr>
      <w:r>
        <w:t>A.10.3.1 Prioridade alta</w:t>
      </w:r>
    </w:p>
    <w:p>
      <w:pPr>
        <w:pStyle w:val="ListBullet"/>
      </w:pPr>
      <w:r>
        <w:t>- Dados pediátricos e adolescentes da Ásia Oriental, capazes de preencher a lacuna entre os 13 e os 17 anos e de reduzir a dependência de fontes neerlandesas para perfis infantis.</w:t>
      </w:r>
    </w:p>
    <w:p>
      <w:pPr>
        <w:pStyle w:val="ListBullet"/>
      </w:pPr>
      <w:r>
        <w:t>- Dados industriais ou ergonómicos do Médio Oriente com maior dimensão amostral e separação por sexo, de modo a complementar a fonte jordana já incluída.</w:t>
      </w:r>
    </w:p>
    <w:p>
      <w:pPr>
        <w:pStyle w:val="ListBullet"/>
      </w:pPr>
      <w:r>
        <w:t>- Bases públicas nacionais com dados de mão para populações asiáticas, quando disponibilizarem metadados claros e condições de reutilização compatíveis com investigação académica.</w:t>
      </w:r>
    </w:p>
    <w:p>
      <w:pPr>
        <w:pStyle w:val="Heading3"/>
      </w:pPr>
      <w:r>
        <w:t>A.10.3.2 Prioridade média</w:t>
      </w:r>
    </w:p>
    <w:p>
      <w:pPr>
        <w:pStyle w:val="ListBullet"/>
      </w:pPr>
      <w:r>
        <w:t>- Relatórios técnicos com medições granulares da mão, incluindo comprimentos por falange, profundidades articulares e ângulos de preensão.</w:t>
      </w:r>
    </w:p>
    <w:p>
      <w:pPr>
        <w:pStyle w:val="ListBullet"/>
      </w:pPr>
      <w:r>
        <w:t>- Estudos baseados em digitalização 3D com amostras adultas amplas, desde que disponibilizem estatísticas por dimensão e não apenas exemplos individuais.</w:t>
      </w:r>
    </w:p>
    <w:p>
      <w:pPr>
        <w:pStyle w:val="Heading3"/>
      </w:pPr>
      <w:r>
        <w:t>A.10.3.3 Pertinência direta para o tema da tese</w:t>
      </w:r>
    </w:p>
    <w:p>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3">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 xml:space="preserve"> </w:t>
      </w:r>
      <w:r>
        <w:rPr/>
        <w:t>T</w:t>
      </w:r>
      <w:r>
        <w:rPr/>
        <w: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hyperlink" Target="https://www.semanticscholar.org/paper/305d55af5fda06b4d1b33e7d29c1f16d1b7ea488"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doi.org/10.1109/BioRob60516.2024.10719909" TargetMode="External"/><Relationship Id="rId19" Type="http://schemas.openxmlformats.org/officeDocument/2006/relationships/image" Target="media/image13.png"/><Relationship Id="rId20" Type="http://schemas.openxmlformats.org/officeDocument/2006/relationships/hyperlink" Target="https://doi.org/10.1115/DETC2018-85645" TargetMode="External"/><Relationship Id="rId21" Type="http://schemas.openxmlformats.org/officeDocument/2006/relationships/image" Target="media/image14.png"/><Relationship Id="rId22" Type="http://schemas.openxmlformats.org/officeDocument/2006/relationships/hyperlink" Target="https://doi.org/10.1109/BioRob60516.2024.10719909" TargetMode="External"/><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doi.org/10.1088/1742-6596/2198/1/012040" TargetMode="External"/><Relationship Id="rId26" Type="http://schemas.openxmlformats.org/officeDocument/2006/relationships/image" Target="media/image17.png"/><Relationship Id="rId27" Type="http://schemas.openxmlformats.org/officeDocument/2006/relationships/hyperlink" Target="https://doi.org/10.1080/17483107.2025.2483953" TargetMode="External"/><Relationship Id="rId28" Type="http://schemas.openxmlformats.org/officeDocument/2006/relationships/image" Target="media/image18.png"/><Relationship Id="rId29" Type="http://schemas.openxmlformats.org/officeDocument/2006/relationships/hyperlink" Target="https://doi.org/10.1016/j.inffus.2019.12.012" TargetMode="Externa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footnotes" Target="footnotes.xml"/><Relationship Id="rId33" Type="http://schemas.openxmlformats.org/officeDocument/2006/relationships/comments" Target="comment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4030</TotalTime>
  <Application>LibreOffice/26.2.4.2$Linux_X86_64 LibreOffice_project/3346a99e6b841765b75a9b29714a5b95c6761ce3</Application>
  <AppVersion>15.0000</AppVersion>
  <Pages>110</Pages>
  <Words>40136</Words>
  <Characters>256706</Characters>
  <CharactersWithSpaces>295929</CharactersWithSpaces>
  <Paragraphs>1031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2026-07-07T14:34:51Z</dcterms:modified>
  <cp:revision>82</cp:revision>
  <dc:subject/>
  <dc:title>projecto-completo</dc:title>
</cp:coreProperties>
</file>

<file path=docProps/custom.xml><?xml version="1.0" encoding="utf-8"?>
<Properties xmlns="http://schemas.openxmlformats.org/officeDocument/2006/custom-properties" xmlns:vt="http://schemas.openxmlformats.org/officeDocument/2006/docPropsVTypes"/>
</file>