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lang w:val="pt-PT"/>
        </w:rPr>
      </w:pPr>
      <w:r>
        <w:rPr>
          <w:lang w:val="pt-PT"/>
        </w:rPr>
        <w:t>Projecto completo</w:t>
      </w:r>
    </w:p>
    <w:p>
      <w:pPr>
        <w:pStyle w:val="Normal"/>
        <w:bidi w:val="0"/>
        <w:jc w:val="left"/>
        <w:rPr>
          <w:lang w:val="pt-PT"/>
        </w:rPr>
      </w:pPr>
      <w:r>
        <w:rPr>
          <w:lang w:val="pt-PT"/>
        </w:rPr>
        <w:t>Versão do documento:0.4.12</w:t>
      </w:r>
    </w:p>
    <w:p>
      <w:pPr>
        <w:pStyle w:val="Normal"/>
        <w:bidi w:val="0"/>
        <w:jc w:val="left"/>
        <w:rPr>
          <w:lang w:val="pt-PT"/>
        </w:rPr>
      </w:pPr>
      <w:r>
        <w:rPr>
          <w:lang w:val="pt-PT"/>
        </w:rPr>
      </w:r>
    </w:p>
    <w:p>
      <w:pPr>
        <w:pStyle w:val="Heading2"/>
        <w:rPr/>
      </w:pPr>
      <w:r>
        <w:rPr/>
        <w:t>Lista de acrónimos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Acrónimo</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Designação/explicação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2D</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Bidimensional.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3D</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Tridimensional.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3DP</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3D Printing</w:t>
            </w:r>
            <w:r>
              <w:rPr/>
              <w:t>; impressão 3D.</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3MF</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3D Manufacturing Format</w:t>
            </w:r>
            <w:r>
              <w:rPr/>
              <w:t>; formato de ficheiro para fabrico aditivo.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ANSUR</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Anthropometric Survey of U.S. Army Personnel</w:t>
            </w:r>
            <w:r>
              <w:rPr/>
              <w:t>; inquérito antropométrico do Exército dos Estados Unidos.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API</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Application Programming Interface</w:t>
            </w:r>
            <w:r>
              <w:rPr/>
              <w:t>; interface de programação de aplicações.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ASTM</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American Society for Testing and Materials</w:t>
            </w:r>
            <w:r>
              <w:rPr/>
              <w:t>; organismo internacional de normalização.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CAD</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Design</w:t>
            </w:r>
            <w:r>
              <w:rPr/>
              <w:t>; desenho ou projeto assistido por computador.</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CAM</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Manufacturing</w:t>
            </w:r>
            <w:r>
              <w:rPr/>
              <w:t>; fabrico assistido por computador.</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CE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Conformité Européenne</w:t>
            </w:r>
            <w:r>
              <w:rPr/>
              <w:t>; marcação europeia de conformidade.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CSG</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Constructive Solid Geometry</w:t>
            </w:r>
            <w:r>
              <w:rPr/>
              <w:t>; geometria sólida construtiva.</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CSV</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Comma-Separated Values</w:t>
            </w:r>
            <w:r>
              <w:rPr/>
              <w:t>; formato de valores separados por vírgulas.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CT</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Computed Tomography</w:t>
            </w:r>
            <w:r>
              <w:rPr/>
              <w:t>; tomografia computorizada.</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DfAM</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Design for Additive Manufacturing</w:t>
            </w:r>
            <w:r>
              <w:rPr/>
              <w:t>; design para fabricação aditiva.</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DINED</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Delft Institute of Ergonomics and Design</w:t>
            </w:r>
            <w:r>
              <w:rPr/>
              <w:t>; base de dados antropométrica da TU Delft.</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DOI</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Digital Object Identifier</w:t>
            </w:r>
            <w:r>
              <w:rPr/>
              <w:t>; identificador digital de objeto.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EMG</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Eletromiografia; registo da atividade elétrica muscular.</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EU</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European Union</w:t>
            </w:r>
            <w:r>
              <w:rPr/>
              <w:t>; União Europeia.</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Estados Unidos da América.</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FA/FdA</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Fabricação aditiva.</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FDA</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Food and Drug Administration</w:t>
            </w:r>
            <w:r>
              <w:rPr/>
              <w:t>; agência reguladora dos Estados Unidos para alimentos, medicamentos e dispositivos médicos.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FDM</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Fused Deposition Modelling</w:t>
            </w:r>
            <w:r>
              <w:rPr/>
              <w:t>; modelação por deposição fundida.</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FEA</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Analysis</w:t>
            </w:r>
            <w:r>
              <w:rPr/>
              <w:t>; análise por elementos finitos.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FEM</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Method</w:t>
            </w:r>
            <w:r>
              <w:rPr/>
              <w:t>; método dos elementos finitos.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FFF</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Fused Filament Fabrication</w:t>
            </w:r>
            <w:r>
              <w:rPr/>
              <w:t>; fabricação por filamento fundido.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FFD</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Free-Form Deformation</w:t>
            </w:r>
            <w:r>
              <w:rPr/>
              <w:t>; deformação de forma livre.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GB/T</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Norma nacional recomendada chinesa.</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HB</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Hand Breadth</w:t>
            </w:r>
            <w:r>
              <w:rPr/>
              <w:t>; largura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HCD</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Human-Centred Design</w:t>
            </w:r>
            <w:r>
              <w:rPr/>
              <w:t>; design centrado no humano.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HGD</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Hand Grip Diameter</w:t>
            </w:r>
            <w:r>
              <w:rPr/>
              <w:t>; diâmetro de preensão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HL</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Hand Length</w:t>
            </w:r>
            <w:r>
              <w:rPr/>
              <w:t>;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HTML</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HyperText Markup Language</w:t>
            </w:r>
            <w:r>
              <w:rPr/>
              <w:t>; linguagem de marcação de hipertexto.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IA</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Inteligência Artificial.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ICF</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Classification of Functioning, Disability and Health</w:t>
            </w:r>
            <w:r>
              <w:rPr/>
              <w:t>; Classificação Internacional de Funcionalidade, Incapacidade e Saúde.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IEEE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Institute of Electrical and Electronics Engineers</w:t>
            </w:r>
            <w:r>
              <w:rPr/>
              <w:t>; associação técnico-científica e entidade editorial/de normalização.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ISO</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Organization for Standardization</w:t>
            </w:r>
            <w:r>
              <w:rPr/>
              <w:t>; Organização Internacional de Normalização.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JSON</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JavaScript Object Notation</w:t>
            </w:r>
            <w:r>
              <w:rPr/>
              <w:t>; formato leve de intercâmbio de dados.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JWT</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JSON Web Token</w:t>
            </w:r>
            <w:r>
              <w:rPr/>
              <w:t>; token web em formato JSON para autenticação e autorização.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LL</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Lower Limb</w:t>
            </w:r>
            <w:r>
              <w:rPr/>
              <w:t>; membro inferior.</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MCP</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Metacarpophalangeal</w:t>
            </w:r>
            <w:r>
              <w:rPr/>
              <w:t>; articulação metacarpofalângica.</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MDR</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Medical Device Regulation</w:t>
            </w:r>
            <w:r>
              <w:rPr/>
              <w:t>; Regulamento Europeu dos Dispositivos Médicos.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MPT</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Matching Person and Technology</w:t>
            </w:r>
            <w:r>
              <w:rPr/>
              <w:t>; modelo de adequação entre pessoa e tecnologia.</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MRI</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Magnetic Resonance Imaging</w:t>
            </w:r>
            <w:r>
              <w:rPr/>
              <w:t>; ressonância magnética.</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PCA</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Principal Component Analysis</w:t>
            </w:r>
            <w:r>
              <w:rPr/>
              <w:t>; análise de componentes principais.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PDF</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Portable Document Format</w:t>
            </w:r>
            <w:r>
              <w:rPr/>
              <w:t>; formato portátil de documento.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PIP</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Proximal Interphalangeal</w:t>
            </w:r>
            <w:r>
              <w:rPr/>
              <w:t>; articulação interfalângica proximal.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PL</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Palm Length</w:t>
            </w:r>
            <w:r>
              <w:rPr/>
              <w:t>; comprimento da palma.</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PRISMA</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Preferred Reporting Items for Systematic Reviews and Meta-Analyses</w:t>
            </w:r>
            <w:r>
              <w:rPr/>
              <w:t>; diretrizes para reporte de revisões sistemáticas e meta-análises.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RTD</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Research Through Design</w:t>
            </w:r>
            <w:r>
              <w:rPr/>
              <w:t>; investigação através do design.</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SD</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Standard Deviation</w:t>
            </w:r>
            <w:r>
              <w:rPr/>
              <w:t>; desvio-padrão.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SLA</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estereolitografia.</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SLS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Selective Laser Sintering</w:t>
            </w:r>
            <w:r>
              <w:rPr/>
              <w:t>; sinterização seletiva a laser.</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SSM</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Statistical Shape Modelling</w:t>
            </w:r>
            <w:r>
              <w:rPr/>
              <w:t>; modelação estatística da forma.</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STL</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formato de ficheiro de malha tridimensional usado em impressão 3D.</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TC</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Technical Committee</w:t>
            </w:r>
            <w:r>
              <w:rPr/>
              <w:t>; comité técnico.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TRL</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Technology Readiness Level</w:t>
            </w:r>
            <w:r>
              <w:rPr/>
              <w:t>; nível de prontidão tecnológica.</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UCD</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User-Centred Design</w:t>
            </w:r>
            <w:r>
              <w:rPr/>
              <w:t>; design centrado no utilizador.</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UI</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User Interface</w:t>
            </w:r>
            <w:r>
              <w:rPr/>
              <w:t>; interface do utilizador.</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UL</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Upper Limb</w:t>
            </w:r>
            <w:r>
              <w:rPr/>
              <w:t>; membro superior.</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UX</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User Experience</w:t>
            </w:r>
            <w:r>
              <w:rPr/>
              <w:t>; experiência do utilizador.</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WASM</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WebAssembly</w:t>
            </w:r>
            <w:r>
              <w:rPr/>
              <w:t>; tecnologia para execução de código compilado no navegador.</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XAI</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i/>
              </w:rPr>
              <w:t>Explainable Artificial Intelligence</w:t>
            </w:r>
            <w:r>
              <w:rPr/>
              <w:t>; inteligência artificial explicável.</w:t>
            </w:r>
          </w:p>
        </w:tc>
      </w:tr>
    </w:tbl>
    <w:p>
      <w:pPr>
        <w:pStyle w:val="Heading2"/>
        <w:bidi w:val="0"/>
        <w:jc w:val="left"/>
        <w:rPr>
          <w:lang w:val="pt-PT"/>
        </w:rPr>
      </w:pPr>
      <w:r>
        <w:rPr>
          <w:lang w:val="pt-PT"/>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expansã, a reprodutibilidade e a integração robusta de dados antropométricos, ou seja,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wp:inline distT="0" distB="0" distL="0" distR="0">
            <wp:extent cx="5715000" cy="3924300"/>
            <wp:effectExtent l="0" t="0" r="0" b="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r>
    </w:p>
    <w:p>
      <w:pPr>
        <w:pStyle w:val="Heading3"/>
        <w:bidi w:val="0"/>
        <w:jc w:val="left"/>
        <w:rPr>
          <w:lang w:val="pt-PT"/>
        </w:rPr>
      </w:pPr>
      <w:r>
        <w:rPr>
          <w:lang w:val="pt-PT"/>
        </w:rPr>
        <w:t>1.3 Objetivos da investigação</w:t>
      </w:r>
    </w:p>
    <w:p>
      <w:pPr>
        <w:pStyle w:val="Heading3"/>
        <w:bidi w:val="0"/>
        <w:jc w:val="left"/>
        <w:rPr>
          <w:lang w:val="pt-PT"/>
        </w:rPr>
      </w:pPr>
      <w:r>
        <w:rPr>
          <w:lang w:val="pt-PT"/>
        </w:rPr>
      </w:r>
    </w:p>
    <w:p>
      <w:pPr>
        <w:pStyle w:val="Heading3"/>
        <w:bidi w:val="0"/>
        <w:jc w:val="left"/>
        <w:rPr>
          <w:lang w:val="pt-PT"/>
        </w:rPr>
      </w:pPr>
      <w:r>
        <w:rPr>
          <w:lang w:val="pt-PT"/>
        </w:rPr>
        <w:t>1.3.1 Objetivo geral</w:t>
      </w:r>
    </w:p>
    <w:p>
      <w:pPr>
        <w:pStyle w:val="Normal"/>
        <w:bidi w:val="0"/>
        <w:jc w:val="left"/>
        <w:rPr>
          <w:lang w:val="pt-PT"/>
        </w:rPr>
      </w:pPr>
      <w:r>
        <w:rPr>
          <w:lang w:val="pt-PT"/>
        </w:rPr>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pStyle w:val="Normal"/>
        <w:bidi w:val="0"/>
        <w:jc w:val="left"/>
        <w:rPr>
          <w:lang w:val="pt-PT"/>
        </w:rPr>
      </w:pPr>
      <w:r>
        <w:rPr>
          <w:lang w:val="pt-PT"/>
        </w:rP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BodyText"/>
        <w:rPr>
          <w:lang w:val="pt-PT"/>
        </w:rPr>
      </w:pPr>
      <w:r>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w:t>
      </w:r>
    </w:p>
    <w:p>
      <w:pPr>
        <w:pStyle w:val="Normal"/>
        <w:bidi w:val="0"/>
        <w:jc w:val="left"/>
        <w:rPr>
          <w:lang w:val="pt-PT"/>
        </w:rPr>
      </w:pPr>
      <w:r>
        <w:rPr>
          <w:lang w:val="pt-PT"/>
        </w:rPr>
        <w:t>Um atributo particularmente relevante é o feedback proprioceptivo</w:t>
      </w:r>
      <w:r>
        <w:rPr>
          <w:rStyle w:val="FootnoteReference"/>
          <w:lang w:val="pt-PT"/>
        </w:rPr>
        <w:footnoteReference w:id="2"/>
      </w:r>
      <w:r>
        <w:rPr>
          <w:lang w:val="pt-PT"/>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5467350"/>
            <wp:effectExtent l="0" t="0" r="0" b="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wp:inline distT="0" distB="0" distL="0" distR="0">
            <wp:extent cx="5715000" cy="4086225"/>
            <wp:effectExtent l="0" t="0" r="0" b="0"/>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w:t>
      </w:r>
      <w:r>
        <w:rPr>
          <w:rStyle w:val="FootnoteReference"/>
          <w:lang w:val="pt-PT"/>
        </w:rPr>
        <w:footnoteReference w:id="3"/>
      </w:r>
      <w:r>
        <w:rPr>
          <w:lang w:val="pt-PT"/>
        </w:rPr>
        <w:t xml:space="preserve">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4"/>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sz w:val="22"/>
        </w:rPr>
        <w:t xml:space="preserve"> Oldfrey</w:t>
      </w:r>
      <w:r>
        <w:rPr>
          <w:b w:val="false"/>
          <w:i w:val="false"/>
          <w:sz w:val="22"/>
          <w:lang w:val="pt-PT"/>
        </w:rPr>
        <w:t xml:space="preserve"> et al 2024; </w:t>
      </w:r>
      <w:r>
        <w:rPr>
          <w:b w:val="false"/>
          <w:i w:val="false"/>
          <w:sz w:val="22"/>
        </w:rPr>
        <w:t xml:space="preserve">  Mc Guinness et al</w:t>
      </w:r>
      <w:r>
        <w:rPr>
          <w:b w:val="false"/>
          <w:i w:val="false"/>
          <w:sz w:val="22"/>
          <w:lang w:val="pt-PT"/>
        </w:rPr>
        <w:t>, 2025</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924300"/>
            <wp:effectExtent l="0" t="0" r="0" b="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r:id="rId8">
        <w:r>
          <w:rPr>
            <w:rStyle w:val="Hyperlink"/>
            <w:lang w:val="pt-PT"/>
          </w:rPr>
          <w:t>https://www.mdpi.com/2673-1592/7/2/26/pdf?version=1740996517</w:t>
        </w:r>
      </w:hyperlink>
    </w:p>
    <w:p>
      <w:pPr>
        <w:pStyle w:val="Normal"/>
        <w:bidi w:val="0"/>
        <w:jc w:val="left"/>
        <w:rPr>
          <w:lang w:val="pt-PT"/>
        </w:rPr>
      </w:pPr>
      <w:r>
        <w:rPr>
          <w:lang w:val="pt-PT"/>
        </w:rPr>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w:t>
      </w:r>
      <w:r>
        <w:rPr>
          <w:rStyle w:val="FootnoteReference"/>
          <w:lang w:val="pt-PT"/>
        </w:rPr>
        <w:footnoteReference w:id="5"/>
      </w:r>
      <w:r>
        <w:rPr>
          <w:lang w:val="pt-PT"/>
        </w:rP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Normal"/>
        <w:bidi w:val="0"/>
        <w:jc w:val="left"/>
        <w:rPr>
          <w:lang w:val="pt-PT"/>
        </w:rPr>
      </w:pPr>
      <w:r>
        <w:rPr>
          <w:lang w:val="pt-PT"/>
        </w:rPr>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lang w:val="pt-PT"/>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019425"/>
            <wp:effectExtent l="0" t="0" r="0" b="0"/>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a:picLocks noChangeAspect="1" noChangeArrowheads="1"/>
                    </pic:cNvPicPr>
                  </pic:nvPicPr>
                  <pic:blipFill>
                    <a:blip r:embed="rId9"/>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Este modelo “</w:t>
      </w:r>
      <w:r>
        <w:rPr>
          <w:i/>
          <w:iCs/>
          <w:lang w:val="pt-PT"/>
        </w:rPr>
        <w:t>file-to-factory</w:t>
      </w:r>
      <w:r>
        <w:rPr>
          <w:lang w:val="pt-PT"/>
        </w:rPr>
        <w:t>”</w:t>
      </w:r>
      <w:r>
        <w:rPr>
          <w:rStyle w:val="FootnoteReference"/>
          <w:lang w:val="pt-PT"/>
        </w:rPr>
        <w:footnoteReference w:id="6"/>
      </w:r>
      <w:r>
        <w:rPr>
          <w:lang w:val="pt-PT"/>
        </w:rPr>
        <w:t xml:space="preserve"> viabiliza fluxos digitais em que o ficheiro parametrizado é convertido diretamente em instruções de fabrico, seja localmente (impressão 3D descentralizada) ou através de uma encomenda online[^11]. </w:t>
      </w:r>
      <w:r>
        <w:rPr/>
        <w:t>A literatura associa esta lógica à democratização do design e à expansão de estratégias de customização em massa (</w:t>
      </w:r>
      <w:r>
        <w:rPr>
          <w:rStyle w:val="Emphasis"/>
        </w:rPr>
        <w:t>mass customization</w:t>
      </w:r>
      <w:r>
        <w:rPr/>
        <w:t>) e personalização em massa (</w:t>
      </w:r>
      <w:r>
        <w:rPr>
          <w:rStyle w:val="Emphasis"/>
        </w:rPr>
        <w:t>mass personalization</w:t>
      </w:r>
      <w:r>
        <w:rPr/>
        <w:t>), reduzindo custos marginais ao dispensar moldes e dispositivos específicos de fabrico.[^12]</w:t>
      </w:r>
      <w:r>
        <w:rPr>
          <w:lang w:val="pt-PT"/>
        </w:rPr>
        <w:t xml:space="preserve"> (Lei et al., 2016 (#ref-lei-2016); Stralen, 2018 (#ref-stralen-2018)).</w:t>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7"/>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wp:inline distT="0" distB="0" distL="0" distR="0">
            <wp:extent cx="5715000" cy="4219575"/>
            <wp:effectExtent l="0" t="0" r="0" b="0"/>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a:picLocks noChangeAspect="1" noChangeArrowheads="1"/>
                    </pic:cNvPicPr>
                  </pic:nvPicPr>
                  <pic:blipFill>
                    <a:blip r:embed="rId10"/>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pPr>
      <w:r>
        <w:rPr>
          <w:lang w:val="pt-PT"/>
        </w:rPr>
        <w:t xml:space="preserve">1. </w:t>
      </w:r>
      <w:r>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coto. Contudo, estas medidas podem representar de forma limitada as alterações reais de volume, uma vez que dependem da geometria do segmento e da distribuição dos tecidos, o que reduz a sua fiabilidade em decisões de ajuste fino.</w:t>
      </w:r>
      <w:r>
        <w:rPr>
          <w:lang w:val="pt-PT"/>
        </w:rPr>
        <w:t xml:space="preserve">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8"/>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zonas de aquecimento localizado (</w:t>
      </w:r>
      <w:r>
        <w:rPr>
          <w:i/>
          <w:iCs/>
        </w:rPr>
        <w:t>Thermal hot spots</w:t>
      </w:r>
      <w:r>
        <w:rPr/>
        <w:t>)</w:t>
      </w:r>
      <w:r>
        <w:rPr>
          <w:lang w:val="pt-PT"/>
        </w:rP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rPr>
          <w:lang w:val="pt-PT"/>
        </w:rPr>
        <w:t>PCA)</w:t>
      </w:r>
      <w:r>
        <w:rPr>
          <w:rStyle w:val="FootnoteReference"/>
          <w:lang w:val="pt-PT"/>
        </w:rPr>
        <w:footnoteReference w:id="9"/>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wp:inline distT="0" distB="0" distL="0" distR="0">
            <wp:extent cx="5715000" cy="2638425"/>
            <wp:effectExtent l="0" t="0" r="0" b="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a:picLocks noChangeAspect="1" noChangeArrowheads="1"/>
                    </pic:cNvPicPr>
                  </pic:nvPicPr>
                  <pic:blipFill>
                    <a:blip r:embed="rId11"/>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10"/>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11"/>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Normal"/>
        <w:bidi w:val="0"/>
        <w:jc w:val="left"/>
        <w:rPr>
          <w:highlight w:val="none"/>
          <w:shd w:fill="FFFF00" w:val="clear"/>
        </w:rPr>
      </w:pPr>
      <w:r>
        <w:rPr>
          <w:shd w:fill="FFFF00" w:val="clear"/>
          <w:lang w:val="pt-PT"/>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lang w:val="pt-PT"/>
        </w:rPr>
      </w:pPr>
      <w:r>
        <w:rPr>
          <w:shd w:fill="FFFF00" w:val="clear"/>
          <w:lang w:val="pt-PT"/>
        </w:rPr>
        <w:t>O meta-design aprofunda esta lógica ao defender a participação “em uso”,</w:t>
      </w:r>
      <w:r>
        <w:rPr/>
        <w:commentReference w:id="3"/>
      </w:r>
      <w:r>
        <w:rPr>
          <w:shd w:fill="FFFF00" w:val="clear"/>
          <w:lang w:val="pt-PT"/>
        </w:rPr>
        <w:t xml:space="preserve">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commentReference w:id="4"/>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wp:inline distT="0" distB="0" distL="0" distR="0">
            <wp:extent cx="5715000" cy="2990850"/>
            <wp:effectExtent l="0" t="0" r="0" b="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a:picLocks noChangeAspect="1" noChangeArrowheads="1"/>
                    </pic:cNvPicPr>
                  </pic:nvPicPr>
                  <pic:blipFill>
                    <a:blip r:embed="rId12"/>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r:id="rId13">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r:id="rId14">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12"/>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 Estudos sobre próteses pediátricas, serviços de reabilitação assistiva e modelos como o Victoria Hand Project</w:t>
      </w:r>
      <w:r>
        <w:rPr/>
        <w:commentReference w:id="5"/>
      </w:r>
      <w:r>
        <w:rPr>
          <w:lang w:val="pt-PT"/>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rastreabilidade, segurança e qualidade,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FFFF00" w:val="clear"/>
          <w:lang w:val="pt-PT"/>
        </w:rPr>
        <w:t>por nível de prontidão tecnológica, ou Technology Readiness Level (TRL)</w:t>
      </w:r>
      <w:r>
        <w:rPr>
          <w:rStyle w:val="FootnoteReference"/>
          <w:shd w:fill="FFFF00" w:val="clear"/>
          <w:lang w:val="pt-PT"/>
        </w:rPr>
        <w:footnoteReference w:id="13"/>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wp:inline distT="0" distB="0" distL="0" distR="0">
            <wp:extent cx="5715000" cy="4067175"/>
            <wp:effectExtent l="0" t="0" r="0" b="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15"/>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181225"/>
            <wp:effectExtent l="0" t="0" r="0" b="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16"/>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6"/>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Normal"/>
        <w:bidi w:val="0"/>
        <w:jc w:val="left"/>
        <w:rPr>
          <w:lang w:val="pt-PT"/>
        </w:rPr>
      </w:pPr>
      <w:r>
        <w:rPr/>
        <w:commentReference w:id="7"/>
      </w:r>
    </w:p>
    <w:p>
      <w:pPr>
        <w:pStyle w:val="Heading3"/>
        <w:bidi w:val="0"/>
        <w:jc w:val="left"/>
        <w:rPr>
          <w:lang w:val="pt-PT"/>
        </w:rPr>
      </w:pPr>
      <w:r>
        <w:rPr>
          <w:lang w:val="pt-PT"/>
        </w:rPr>
        <w:t>3.4 Métodos de recolha e análise de dados</w:t>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8"/>
      </w:r>
      <w:r>
        <w:rPr>
          <w:lang w:val="pt-PT"/>
        </w:rPr>
        <w:t>. Estes dados são analisados de forma iterativa, permitindo reformular o modelo paramétrico e otimizar o seu desempenho.</w:t>
      </w:r>
    </w:p>
    <w:p>
      <w:pPr>
        <w:pStyle w:val="Normal"/>
        <w:bidi w:val="0"/>
        <w:jc w:val="left"/>
        <w:rPr>
          <w:lang w:val="pt-PT"/>
        </w:rPr>
      </w:pPr>
      <w:r>
        <w:rPr>
          <w:lang w:val="pt-PT"/>
        </w:rP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1905000"/>
            <wp:effectExtent l="0" t="0" r="0" b="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a:picLocks noChangeAspect="1" noChangeArrowheads="1"/>
                    </pic:cNvPicPr>
                  </pic:nvPicPr>
                  <pic:blipFill>
                    <a:blip r:embed="rId17"/>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w:t>
      </w:r>
      <w:commentRangeStart w:id="9"/>
      <w:r>
        <w:rPr>
          <w:lang w:val="pt-PT"/>
        </w:rPr>
        <w:t xml:space="preserve">s OpenSCAD/WebAssembly </w:t>
      </w:r>
      <w:r>
        <w:rPr>
          <w:lang w:val="pt-PT"/>
        </w:rPr>
      </w:r>
      <w:commentRangeEnd w:id="9"/>
      <w:r>
        <w:commentReference w:id="9"/>
      </w:r>
      <w:r>
        <w:rPr>
          <w:lang w:val="pt-PT"/>
        </w:rPr>
        <w:t xml:space="preserve">e se os ficheiros </w:t>
      </w:r>
      <w:commentRangeStart w:id="10"/>
      <w:r>
        <w:rPr>
          <w:lang w:val="pt-PT"/>
        </w:rPr>
        <w:t>3MF e STL</w:t>
      </w:r>
      <w:r>
        <w:rPr>
          <w:lang w:val="pt-PT"/>
        </w:rPr>
      </w:r>
      <w:commentRangeEnd w:id="10"/>
      <w:r>
        <w:commentReference w:id="10"/>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Implica, pelo contrário, a conceção de dispositivos capazes de conciliar funcionalidade, conforto, leveza, fiabilidade, controlo inteligível, aceitabilidade estética e e custos compatíveis com a produção, adaptação, manutenção e acesso continuado à prótese, num contexto em que continuam a registar-se taxas elevadas de rejeição e abandono. 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11"/>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wp:inline distT="0" distB="0" distL="0" distR="0">
            <wp:extent cx="4667250" cy="3467100"/>
            <wp:effectExtent l="0" t="0" r="0" b="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18"/>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9">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705100"/>
            <wp:effectExtent l="0" t="0" r="0" b="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a:picLocks noChangeAspect="1" noChangeArrowheads="1"/>
                    </pic:cNvPicPr>
                  </pic:nvPicPr>
                  <pic:blipFill>
                    <a:blip r:embed="rId20"/>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21">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customização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os conjuntos de dados (</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 xml:space="preserve">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 A base de dados construída permite comparar, de forma rastreável, valores relativos ao comprimento da mão, à largura da palma, aos comprimentos digitais, às dimensões do punho e às relações com o antebraço. </w:t>
      </w:r>
      <w:r>
        <w:rP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rPr/>
        <w:t>OpenSCAD: enquadramento e justificação da escolha</w:t>
      </w:r>
    </w:p>
    <w:p>
      <w:pPr>
        <w:pStyle w:val="Normal"/>
        <w:bidi w:val="0"/>
        <w:jc w:val="left"/>
        <w:rPr>
          <w:lang w:val="pt-PT"/>
        </w:rPr>
      </w:pPr>
      <w:r>
        <w:rP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rP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rPr/>
        <w:t>A escolha do OpenSCAD resulta, em primeiro lugar, da sua adequação a processos reprodutíveis de design paramétrico. Por ser texto simples, o ficheiro-fonte pode ser versionado, comparado, revisto e reutilizado, o que favorece a rastreabilidade das decisões de modelação e a replicação das variantes geradas. 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rP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customização sem exigir a instalação local de software CAD completo (Nilsiam &amp; Pearce, 2017 (#ref-nilsiam-2017); Brooks, 2026 (#ref-brooks-2026)).</w:t>
      </w:r>
    </w:p>
    <w:p>
      <w:pPr>
        <w:pStyle w:val="Normal"/>
        <w:bidi w:val="0"/>
        <w:jc w:val="left"/>
        <w:rPr>
          <w:lang w:val="pt-PT"/>
        </w:rPr>
      </w:pPr>
      <w:r>
        <w:rP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rPr/>
        <w:t>No contexto específico das próteses e das tecnologias de apoio, esta escolha é ainda reforçada por estudos que usam modelação paramétrica para adaptar dedos protésicos, mãos mecânicas acionadas pelo corpo e produtos assistivos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 Os estudos revistos sobre modelação paramétrica aplicada a próteses e sobre modelação CAD programável reforçam esta perspetiva, ao associarem estas abordagens a maior rastreabilidade das decisões, consistência entre variantes e capacidade de automatização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324225"/>
            <wp:effectExtent l="0" t="0" r="0" b="0"/>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a:picLocks noChangeAspect="1" noChangeArrowheads="1"/>
                    </pic:cNvPicPr>
                  </pic:nvPicPr>
                  <pic:blipFill>
                    <a:blip r:embed="rId22"/>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3">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coto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12"/>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12"/>
      <w:r>
        <w:commentReference w:id="12"/>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3"/>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3"/>
      <w:r>
        <w:commentReference w:id="13"/>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4"/>
      <w:r>
        <w:rPr>
          <w:lang w:val="pt-PT"/>
        </w:rPr>
        <w:t>ivamente técnica (Peixoto et al., 2025 (#ref-peixoto-2025)).</w:t>
      </w:r>
      <w:commentRangeEnd w:id="14"/>
      <w:r>
        <w:commentReference w:id="14"/>
      </w:r>
      <w:r>
        <w:rPr>
          <w:lang w:val="pt-PT"/>
        </w:rPr>
      </w:r>
    </w:p>
    <w:p>
      <w:pPr>
        <w:pStyle w:val="Normal"/>
        <w:bidi w:val="0"/>
        <w:jc w:val="left"/>
        <w:rPr>
          <w:lang w:val="pt-PT"/>
        </w:rPr>
      </w:pPr>
      <w:r>
        <w:rPr>
          <w:lang w:val="pt-PT"/>
        </w:rPr>
      </w:r>
    </w:p>
    <w:p>
      <w:pPr>
        <w:pStyle w:val="Normal"/>
        <w:bidi w:val="0"/>
        <w:jc w:val="left"/>
        <w:rPr>
          <w:lang w:val="pt-PT"/>
        </w:rPr>
      </w:pPr>
      <w:r>
        <w:rPr>
          <w:lang w:val="pt-PT"/>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31510" cy="2687955"/>
            <wp:effectExtent l="0" t="0" r="0" b="0"/>
            <wp:wrapSquare wrapText="largest"/>
            <wp:docPr id="1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0"/>
                    <pic:cNvPicPr>
                      <a:picLocks noChangeAspect="1" noChangeArrowheads="1"/>
                    </pic:cNvPicPr>
                  </pic:nvPicPr>
                  <pic:blipFill>
                    <a:blip r:embed="rId24"/>
                    <a:stretch>
                      <a:fillRect/>
                    </a:stretch>
                  </pic:blipFill>
                  <pic:spPr bwMode="auto">
                    <a:xfrm>
                      <a:off x="0" y="0"/>
                      <a:ext cx="5731510" cy="2687955"/>
                    </a:xfrm>
                    <a:prstGeom prst="rect">
                      <a:avLst/>
                    </a:prstGeom>
                    <a:noFill/>
                  </pic:spPr>
                </pic:pic>
              </a:graphicData>
            </a:graphic>
          </wp:anchor>
        </w:drawing>
      </w:r>
    </w:p>
    <w:p>
      <w:pPr>
        <w:pStyle w:val="Normal"/>
        <w:bidi w:val="0"/>
        <w:jc w:val="left"/>
        <w:rPr>
          <w:lang w:val="pt-PT"/>
        </w:rPr>
      </w:pPr>
      <w:r>
        <w:rPr>
          <w:lang w:val="pt-PT"/>
        </w:rPr>
        <w:t>Figura 5.1 — Fluxo geral de produção personalizada de próteses a partir de 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pStyle w:val="Normal"/>
        <w:bidi w:val="0"/>
        <w:jc w:val="left"/>
        <w:rPr>
          <w:lang w:val="pt-PT"/>
        </w:rPr>
      </w:pPr>
      <w:r>
        <w:rPr>
          <w:lang w:val="pt-PT"/>
        </w:rP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wp:inline distT="0" distB="0" distL="0" distR="0">
            <wp:extent cx="5715000" cy="3238500"/>
            <wp:effectExtent l="0" t="0" r="0" b="0"/>
            <wp:docPr id="16"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descr="Image 15"/>
                    <pic:cNvPicPr>
                      <a:picLocks noChangeAspect="1" noChangeArrowheads="1"/>
                    </pic:cNvPicPr>
                  </pic:nvPicPr>
                  <pic:blipFill>
                    <a:blip r:embed="rId25"/>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5.1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r:id="rId26">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direta entre edição paramétrica, cálculo geométrico e feedback visual, mantendo o processo rastreável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5.2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wp:inline distT="0" distB="0" distL="0" distR="0">
            <wp:extent cx="5715000" cy="4657725"/>
            <wp:effectExtent l="0" t="0" r="0" b="0"/>
            <wp:docPr id="17"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descr="Image 16"/>
                    <pic:cNvPicPr>
                      <a:picLocks noChangeAspect="1" noChangeArrowheads="1"/>
                    </pic:cNvPicPr>
                  </pic:nvPicPr>
                  <pic:blipFill>
                    <a:blip r:embed="rId27"/>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5.2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r:id="rId28">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5"/>
      <w:r>
        <w:rPr>
          <w:lang w:val="pt-PT"/>
        </w:rPr>
        <w:t>STL ou 3MF</w:t>
      </w:r>
      <w:r>
        <w:rPr>
          <w:lang w:val="pt-PT"/>
        </w:rPr>
      </w:r>
      <w:commentRangeEnd w:id="15"/>
      <w:r>
        <w:commentReference w:id="15"/>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 xml:space="preserve">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w:t>
      </w:r>
      <w:commentRangeStart w:id="16"/>
      <w:r>
        <w:rPr>
          <w:lang w:val="pt-PT"/>
        </w:rPr>
        <w:t>da plataforma não se esgota na manipulação de parâmetros e na visualização de</w:t>
      </w:r>
      <w:r>
        <w:rPr>
          <w:lang w:val="pt-PT"/>
        </w:rPr>
      </w:r>
      <w:commentRangeEnd w:id="16"/>
      <w:r>
        <w:commentReference w:id="16"/>
      </w:r>
      <w:r>
        <w:rPr>
          <w:lang w:val="pt-PT"/>
        </w:rPr>
        <w:t xml:space="preserve"> formas; inclui também a gestão das relações entre agentes, das responsabilidades e dos níveis de intervenção. Neste sentido, a aplicação obtém sugestões paramétricas através do servidor, que se comunica com serviços externos por intermédio de um </w:t>
      </w:r>
      <w:commentRangeStart w:id="17"/>
      <w:r>
        <w:rPr>
          <w:lang w:val="pt-PT"/>
        </w:rPr>
        <w:t>proxy seguro</w:t>
      </w:r>
      <w:r>
        <w:rPr>
          <w:lang w:val="pt-PT"/>
        </w:rPr>
      </w:r>
      <w:commentRangeEnd w:id="17"/>
      <w:r>
        <w:commentReference w:id="17"/>
      </w:r>
      <w:r>
        <w:rPr>
          <w:lang w:val="pt-PT"/>
        </w:rPr>
        <w:t>, mas enquadra essa capacidade dentro de 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8"/>
      <w:r>
        <w:rPr>
          <w:lang w:val="pt-PT"/>
        </w:rPr>
        <w:t>No caso do Paraglider Hand, também conhecido como Flexible Flyer, a integração partiu de uma mão mecânica acionada pelo corpo, derivada da linhagem Phoenix e UnLimbited.</w:t>
      </w:r>
      <w:r>
        <w:rPr>
          <w:lang w:val="pt-PT"/>
        </w:rPr>
      </w:r>
      <w:commentRangeEnd w:id="18"/>
      <w:r>
        <w:commentReference w:id="18"/>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9"/>
      <w:r>
        <w:rPr>
          <w:lang w:val="pt-PT"/>
        </w:rPr>
        <w:t>parâmetros de hardware</w:t>
      </w:r>
      <w:r>
        <w:rPr>
          <w:lang w:val="pt-PT"/>
        </w:rPr>
      </w:r>
      <w:commentRangeEnd w:id="19"/>
      <w:r>
        <w:commentReference w:id="19"/>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 xml:space="preserve">Do ponto de vista funcional, a persistência dessas configurações em estruturas </w:t>
      </w:r>
      <w:commentRangeStart w:id="20"/>
      <w:r>
        <w:rPr>
          <w:lang w:val="pt-PT"/>
        </w:rPr>
        <w:t>JSON</w:t>
      </w:r>
      <w:r>
        <w:rPr>
          <w:lang w:val="pt-PT"/>
        </w:rPr>
      </w:r>
      <w:commentRangeEnd w:id="20"/>
      <w:r>
        <w:commentReference w:id="20"/>
      </w:r>
      <w:r>
        <w:rPr>
          <w:lang w:val="pt-PT"/>
        </w:rPr>
        <w:t xml:space="preserve">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21"/>
      <w:r>
        <w:rPr>
          <w:lang w:val="pt-PT"/>
        </w:rPr>
        <w:t>SQLite</w:t>
      </w:r>
      <w:r>
        <w:rPr>
          <w:lang w:val="pt-PT"/>
        </w:rPr>
      </w:r>
      <w:commentRangeEnd w:id="21"/>
      <w:r>
        <w:commentReference w:id="21"/>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22"/>
      <w:r>
        <w:rPr>
          <w:lang w:val="pt-PT"/>
        </w:rPr>
        <w:t>IA</w:t>
      </w:r>
      <w:r>
        <w:rPr>
          <w:lang w:val="pt-PT"/>
        </w:rPr>
      </w:r>
      <w:commentRangeEnd w:id="22"/>
      <w:r>
        <w:commentReference w:id="22"/>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23"/>
      <w:r>
        <w:rPr>
          <w:lang w:val="pt-PT"/>
        </w:rPr>
        <w:t>EMG</w:t>
      </w:r>
      <w:r>
        <w:rPr>
          <w:lang w:val="pt-PT"/>
        </w:rPr>
      </w:r>
      <w:commentRangeEnd w:id="23"/>
      <w:r>
        <w:commentReference w:id="23"/>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24"/>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24"/>
      <w:r>
        <w:commentReference w:id="24"/>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25"/>
      <w:r>
        <w:rPr>
          <w:i/>
          <w:iCs/>
          <w:shd w:fill="FFFF00" w:val="clear"/>
          <w:lang w:val="pt-PT"/>
        </w:rPr>
        <w:t>data-driven</w:t>
      </w:r>
      <w:r>
        <w:rPr>
          <w:i/>
          <w:iCs/>
          <w:shd w:fill="FFFF00" w:val="clear"/>
          <w:lang w:val="pt-PT"/>
        </w:rPr>
      </w:r>
      <w:commentRangeEnd w:id="25"/>
      <w:r>
        <w:commentReference w:id="25"/>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t>No protótipo implementado, esta lógica é operacionalizada por pedidos construídos a partir da descrição livre e do esquema ativo do modelo. A IA não infere valores num espaço aberto: trabalha sobre uma gramática paramétrica previamente declarada e sujeita a filtragem posterior pela aplicação, podendo ainda ser ancorada em perfis populacionais quando existe correspondência.</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t>É por isso que, nesta investigação, a personalização assistida por IA deve ser entendida como uma prática de human-in-the-loop. 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a aceitação final, porém, continua dependente de verificação técnica e de julgamento contextual.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t>A validação antropométrica assistida por IA realizada no sistema deve ser entendida como validação interna de plausibilidade e de coerência paramétrica, não como validação clínica da prótese final. 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t>Metodologicamente, o ensaio verificou a continuidade entre descrição livre, esquema de parâmetros, sugestão JSON, filtragem de campos e aplicação dos valores ao modelo. A IA foi avaliada apenas dentro da gramática paramétrica do modelo ativo, com nomes, legendas, limites e valores correntes já declarados pela plataforma.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r>
        <w:t>Os ensaios foram organizados em dois conjuntos: cinco perfis sintéticos baseados em indicadores populacionais indiretos e três cenários de amputação unilateral com informação completa, parcial ou apenas demográfica. A etapa geométrica prolongou depois o teste até à exportação em STL e 3MF nos modelos Flexy Beast, Paraglider Hand e UnLimbited Phoenix.</w:t>
      </w:r>
    </w:p>
    <w:p>
      <w:pPr>
        <w:pStyle w:val="Normal"/>
        <w:bidi w:val="0"/>
        <w:jc w:val="left"/>
        <w:rPr>
          <w:lang w:val="pt-PT"/>
        </w:rPr>
      </w:pPr>
      <w:r>
        <w:t>Os resultados, incluindo a preservação de medições fornecidas, a estimativa de campos em falta, a variabilidade estocástica e a falha posterior de lateralidade, são apresentados e discutidos nas Secções 8.2 e 8.3. Nesta secção interessa apenas delimitar o alcance da validação: trata-se de um teste de coerência interna do fluxo entre linguagem natural, parâmetros e geometria, não de medição direta, prototipagem física ou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A Figura 6.1 sintetiza esta tensão entre desafios de explicabilidade e princípios de IA responsável. No contexto desta investigação, a figura é útil porque torna explícito que a responsabilidade não depende apenas de desempenho preditivo, mas de condições como transparência, auditabilidade, privacidade, justiça e prestação de contas. Estes princípios reforçam a opção do sistema por uma IA assistiva,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000250"/>
            <wp:effectExtent l="0" t="0" r="0" b="0"/>
            <wp:docPr id="18"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7" descr="Image 17"/>
                    <pic:cNvPicPr>
                      <a:picLocks noChangeAspect="1" noChangeArrowheads="1"/>
                    </pic:cNvPicPr>
                  </pic:nvPicPr>
                  <pic:blipFill>
                    <a:blip r:embed="rId29"/>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6.1 — Relação entre desafios de explicabilidade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30">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9"/>
      <w:r>
        <w:rPr>
          <w:lang w:val="pt-PT"/>
        </w:rPr>
        <w:t>UI/UX</w:t>
      </w:r>
      <w:r>
        <w:rPr>
          <w:lang w:val="pt-PT"/>
        </w:rPr>
      </w:r>
      <w:commentRangeEnd w:id="29"/>
      <w:r>
        <w:commentReference w:id="29"/>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previsibilidade das ações e o registo das alterações, mediando a passagem entre os dados do utilizador, as regras paramétricas, a assistência algorítmica e o resultado tridimensional. 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038725" cy="4724400"/>
            <wp:effectExtent l="0" t="0" r="0" b="0"/>
            <wp:docPr id="19"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8" descr="Image 18"/>
                    <pic:cNvPicPr>
                      <a:picLocks noChangeAspect="1" noChangeArrowheads="1"/>
                    </pic:cNvPicPr>
                  </pic:nvPicPr>
                  <pic:blipFill>
                    <a:blip r:embed="rId31"/>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coerência técnica do modelo paramétrico, funcionamento da plataforma digital e plausibilidade das sugestões assistidas por IA.</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condições mínimas de plausibilidade antes de qualquer prototipagem. A avaliação de conforto, desempenho funcional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571875"/>
            <wp:effectExtent l="0" t="0" r="0" b="0"/>
            <wp:docPr id="20"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9" descr="Image 19"/>
                    <pic:cNvPicPr>
                      <a:picLocks noChangeAspect="1" noChangeArrowheads="1"/>
                    </pic:cNvPicPr>
                  </pic:nvPicPr>
                  <pic:blipFill>
                    <a:blip r:embed="rId32"/>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8.1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plausibilidade dos parâmetros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t>Tabela 8.2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ableHeading"/>
              <w:rPr/>
            </w:pPr>
            <w:r>
              <w:rPr/>
              <w:t>Eixo avaliado</w:t>
            </w:r>
          </w:p>
        </w:tc>
        <w:tc>
          <w:tcPr>
            <w:tcW w:w="3719"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8" w:type="dxa"/>
            <w:tcBorders/>
            <w:vAlign w:val="center"/>
          </w:tcPr>
          <w:p>
            <w:pPr>
              <w:pStyle w:val="TableContents"/>
              <w:rPr/>
            </w:pPr>
            <w:r>
              <w:rPr/>
              <w:t>Conformidade com o esquema</w:t>
            </w:r>
          </w:p>
        </w:tc>
        <w:tc>
          <w:tcPr>
            <w:tcW w:w="3719"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8" w:type="dxa"/>
            <w:tcBorders/>
            <w:vAlign w:val="center"/>
          </w:tcPr>
          <w:p>
            <w:pPr>
              <w:pStyle w:val="TableContents"/>
              <w:rPr/>
            </w:pPr>
            <w:r>
              <w:rPr/>
              <w:t>Proporcionalidade digital</w:t>
            </w:r>
          </w:p>
        </w:tc>
        <w:tc>
          <w:tcPr>
            <w:tcW w:w="3719"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8" w:type="dxa"/>
            <w:tcBorders/>
            <w:vAlign w:val="center"/>
          </w:tcPr>
          <w:p>
            <w:pPr>
              <w:pStyle w:val="TableContents"/>
              <w:rPr/>
            </w:pPr>
            <w:r>
              <w:rPr/>
              <w:t>Entradas completas</w:t>
            </w:r>
          </w:p>
        </w:tc>
        <w:tc>
          <w:tcPr>
            <w:tcW w:w="3719"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8" w:type="dxa"/>
            <w:tcBorders/>
            <w:vAlign w:val="center"/>
          </w:tcPr>
          <w:p>
            <w:pPr>
              <w:pStyle w:val="TableContents"/>
              <w:rPr/>
            </w:pPr>
            <w:r>
              <w:rPr/>
              <w:t>Entradas parciais</w:t>
            </w:r>
          </w:p>
        </w:tc>
        <w:tc>
          <w:tcPr>
            <w:tcW w:w="3719"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8" w:type="dxa"/>
            <w:tcBorders/>
            <w:vAlign w:val="center"/>
          </w:tcPr>
          <w:p>
            <w:pPr>
              <w:pStyle w:val="TableContents"/>
              <w:rPr/>
            </w:pPr>
            <w:r>
              <w:rPr/>
              <w:t>Entradas apenas demográficas</w:t>
            </w:r>
          </w:p>
        </w:tc>
        <w:tc>
          <w:tcPr>
            <w:tcW w:w="3719"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8" w:type="dxa"/>
            <w:tcBorders/>
            <w:vAlign w:val="center"/>
          </w:tcPr>
          <w:p>
            <w:pPr>
              <w:pStyle w:val="TableContents"/>
              <w:rPr/>
            </w:pPr>
            <w:r>
              <w:rPr/>
              <w:t>Lateralidade</w:t>
            </w:r>
          </w:p>
        </w:tc>
        <w:tc>
          <w:tcPr>
            <w:tcW w:w="3719"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invariantes, taxas de aprovação e comportamento em cenários de baixo conhecimento, e não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t>Tabela 8.3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t>Tabela 8.4 — 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t>Esta etapa confirmou que a validação das sugestões de IA deve prolongar-se para além da resposta em JSON, pois a geometria exportada pode revelar dependências internas, limites de escala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t>A avaliação também delimita os limites do sistema: as sugestões de IA não devem ser lidas como prescrições fixas, a validação interna não substitui referência clínica direta e cada modelo mantém constrangimentos geométricos próprios. O caso da lateralidade, discutido na Secção 8.2, evidencia a necessidade de deslocar decisões críticas para controlos explícitos da interface. Consequentemente, os resultados são promissores enquanto validação de coerência interna e de acessibilidade paramétrica, mas permanecem preliminares enquanto validação protésica.</w:t>
      </w:r>
    </w:p>
    <w:p>
      <w:pPr>
        <w:pStyle w:val="Normal"/>
        <w:bidi w:val="0"/>
        <w:jc w:val="left"/>
        <w:rPr>
          <w:lang w:val="pt-PT"/>
        </w:rPr>
      </w:pPr>
      <w:r>
        <w:t>A principal conclusão metodológica é que a robustez do sistema depende menos da presença isolada da IA do que da qualidade das regras, limites e mecanismos de validação que enquadram a sua atuação. O esquema de parâmetros, os limites declarados, a filtragem dos campos devolvidos, a ancoragem populacional, a renderização e a exportação formam uma cadeia de verificações que reduz riscos de parâmetros inválidos, lateralidade inferida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pStyle w:val="Normal"/>
        <w:bidi w:val="0"/>
        <w:jc w:val="left"/>
        <w:rPr>
          <w:lang w:val="pt-PT"/>
        </w:rPr>
      </w:pPr>
      <w:r>
        <w:rP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pStyle w:val="Normal"/>
        <w:bidi w:val="0"/>
        <w:jc w:val="left"/>
        <w:rPr>
          <w:lang w:val="pt-PT"/>
        </w:rPr>
      </w:pPr>
      <w:r>
        <w:t>Quarto, a avaliação centrada no utilizador mostrou que a acessibilidade paramétrica depende também das salvaguardas da interface. Entradas vagas e formuladas em diferentes línguas foram tratadas com robustez, mas decisões críticas, como lateralidade, adequação do modelo escolhido e proveniência das estimativas, exigem controlos explícitos para evitar confiança excessiva no resultado.</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O alcance das conclusões deve ser entendido a partir do caráter metodológico e técnico da validação realizada. A avaliação incidiu sobre perfis simulados, dados secundários e critérios internos de plausibilidade, deixando para investigação futura os testes com utilizadores reais, as avaliações clínicas, as medições diretas de conforto, os ensaios funcionais prolongados e a validação biomecânica completa. Assim, os resultados sustentam a validação do fluxo de personalização, sem constituírem demonstração de eficácia protésica em contexto de uso.</w:t>
      </w:r>
    </w:p>
    <w:p>
      <w:pPr>
        <w:pStyle w:val="Normal"/>
        <w:bidi w:val="0"/>
        <w:jc w:val="left"/>
        <w:rPr>
          <w:lang w:val="pt-PT"/>
        </w:rPr>
      </w:pPr>
      <w:r>
        <w:t>A componente de IA exige desenvolvimento adicional. A saída deve ser validada por esquema JSON no servidor, prevendo-se a repetição automática do pedido sempre que a resposta se afaste da estrutura definida.</w:t>
      </w:r>
    </w:p>
    <w:p>
      <w:pPr>
        <w:pStyle w:val="Normal"/>
        <w:bidi w:val="0"/>
        <w:jc w:val="left"/>
        <w:rPr>
          <w:lang w:val="pt-PT"/>
        </w:rPr>
      </w:pPr>
      <w:r>
        <w:rPr>
          <w:lang w:val="pt-PT"/>
        </w:rPr>
        <w:t>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pPr>
        <w:pStyle w:val="Normal"/>
        <w:rPr/>
      </w:pPr>
      <w:r>
        <w:rPr/>
      </w:r>
      <w:r>
        <w:br w:type="page"/>
      </w:r>
    </w:p>
    <w:p>
      <w:pPr>
        <w:pStyle w:val="Heading2"/>
        <w:spacing w:before="0" w:after="0"/>
        <w:rPr/>
      </w:pPr>
      <w:r>
        <w:rPr/>
        <w:t>Anexo A — Metodologia de extração e codificação de dados antropométricos da mão</w:t>
      </w:r>
    </w:p>
    <w:p>
      <w:pPr>
        <w:pStyle w:val="Heading3"/>
        <w:rPr/>
      </w:pPr>
      <w:r>
        <w:rPr/>
        <w:t>A.1 Contexto e Objetivo</w:t>
      </w:r>
    </w:p>
    <w:p>
      <w:pPr>
        <w:pStyle w:val="Normal"/>
        <w:rPr/>
      </w:pPr>
      <w:r>
        <w:rP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Normal"/>
        <w:rPr/>
      </w:pPr>
      <w:r>
        <w:rPr/>
        <w:t>Foram produzidos três ficheiros CSV complementares:</w:t>
      </w:r>
    </w:p>
    <w:p>
      <w:pPr>
        <w:pStyle w:val="ListBullet"/>
        <w:rPr/>
      </w:pPr>
      <w:r>
        <w:rPr/>
        <w:t xml:space="preserve">- </w:t>
      </w:r>
      <w:r>
        <w:rPr>
          <w:rFonts w:ascii="Consolas" w:hAnsi="Consolas"/>
          <w:sz w:val="20"/>
        </w:rPr>
        <w:t>ansur</w:t>
      </w:r>
      <w:r>
        <w:rPr>
          <w:i/>
        </w:rPr>
        <w:t>1988</w:t>
      </w:r>
      <w:r>
        <w:rPr/>
        <w:t>complete.csv</w:t>
      </w:r>
      <w:r>
        <w:rPr>
          <w:rFonts w:ascii="Consolas" w:hAnsi="Consolas"/>
          <w:sz w:val="20"/>
        </w:rPr>
        <w:t xml:space="preserve"> — 2.726 linhas, 47 dimensões corporais do estudo ANSUR 1988 (Gordon et al., 1989), população militar norte-americana</w:t>
      </w:r>
    </w:p>
    <w:p>
      <w:pPr>
        <w:pStyle w:val="ListBullet"/>
        <w:rPr/>
      </w:pPr>
      <w:r>
        <w:rPr/>
        <w:t xml:space="preserve">- </w:t>
      </w:r>
      <w:r>
        <w:rPr>
          <w:rFonts w:ascii="Consolas" w:hAnsi="Consolas"/>
          <w:sz w:val="20"/>
        </w:rPr>
        <w:t>ansur</w:t>
      </w:r>
      <w:r>
        <w:rPr>
          <w:i/>
        </w:rPr>
        <w:t>1988</w:t>
      </w:r>
      <w:r>
        <w:rPr/>
        <w:t>hand</w:t>
      </w:r>
      <w:r>
        <w:rPr>
          <w:i/>
        </w:rPr>
        <w:t>arm.csv</w:t>
      </w:r>
      <w:r>
        <w:rPr>
          <w:rFonts w:ascii="Consolas" w:hAnsi="Consolas"/>
          <w:sz w:val="20"/>
        </w:rPr>
        <w:t xml:space="preserve"> — 696 linhas, subconjunto do ANSUR restrito às medições da mão, antebraço e braço</w:t>
      </w:r>
    </w:p>
    <w:p>
      <w:pPr>
        <w:pStyle w:val="ListBullet"/>
        <w:rPr/>
      </w:pPr>
      <w:r>
        <w:rPr/>
        <w:t xml:space="preserve">- </w:t>
      </w:r>
      <w:r>
        <w:rPr>
          <w:rFonts w:ascii="Consolas" w:hAnsi="Consolas"/>
          <w:sz w:val="20"/>
        </w:rPr>
        <w:t>multi</w:t>
      </w:r>
      <w:r>
        <w:rPr>
          <w:i/>
        </w:rPr>
        <w:t>population</w:t>
      </w:r>
      <w:r>
        <w:rPr/>
        <w:t>hand.csv</w:t>
      </w:r>
      <w:r>
        <w:rPr>
          <w:rFonts w:ascii="Consolas" w:hAnsi="Consolas"/>
          <w:sz w:val="20"/>
        </w:rPr>
        <w:t xml:space="preserve"> — 1.790 linhas, dados de onze estudos populacionais independentes de nove países diferentes</w:t>
      </w:r>
    </w:p>
    <w:p>
      <w:pPr>
        <w:pStyle w:val="Normal"/>
        <w:pBdr>
          <w:bottom w:val="single" w:sz="6" w:space="1" w:color="808080"/>
        </w:pBdr>
        <w:rPr/>
      </w:pPr>
      <w:r>
        <w:rPr/>
      </w:r>
    </w:p>
    <w:p>
      <w:pPr>
        <w:pStyle w:val="Heading3"/>
        <w:rPr/>
      </w:pPr>
      <w:r>
        <w:rPr/>
        <w:t>A.2 Estratégia de Pesquisa Bibliográfica</w:t>
      </w:r>
    </w:p>
    <w:p>
      <w:pPr>
        <w:pStyle w:val="Heading3"/>
        <w:rPr/>
      </w:pPr>
      <w:r>
        <w:rPr/>
        <w:t>A.2.1 Pesquisa bibliográfica assistida e revisões sistemáticas</w:t>
      </w:r>
    </w:p>
    <w:p>
      <w:pPr>
        <w:pStyle w:val="Normal"/>
        <w:rPr/>
      </w:pPr>
      <w:r>
        <w:rP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rPr/>
      </w:pPr>
      <w:r>
        <w:rPr>
          <w:i/>
        </w:rPr>
        <w:t>"hand anthropometry normative data population study percentiles"</w:t>
      </w:r>
      <w:r>
        <w:rPr/>
        <w:t xml:space="preserve"> </w:t>
      </w:r>
      <w:r>
        <w:rPr>
          <w:i/>
        </w:rPr>
        <w:t>"hand dimensions measurement ergonomics working population"</w:t>
      </w:r>
      <w:r>
        <w:rPr/>
        <w:t xml:space="preserve"> </w:t>
      </w:r>
      <w:r>
        <w:rPr>
          <w:i/>
        </w:rPr>
        <w:t>"anthropometric survey finger length breadth caliper"</w:t>
      </w:r>
    </w:p>
    <w:p>
      <w:pPr>
        <w:pStyle w:val="Normal"/>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rPr/>
      </w:pPr>
      <w:r>
        <w:rPr/>
        <w:t>A.2.2 Base ANSUR 1988</w:t>
      </w:r>
    </w:p>
    <w:p>
      <w:pPr>
        <w:pStyle w:val="Normal"/>
        <w:rPr/>
      </w:pPr>
      <w:r>
        <w:rP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Normal"/>
        <w:pBdr>
          <w:bottom w:val="single" w:sz="6" w:space="1" w:color="808080"/>
        </w:pBdr>
        <w:rPr/>
      </w:pPr>
      <w:r>
        <w:rPr/>
      </w:r>
    </w:p>
    <w:p>
      <w:pPr>
        <w:pStyle w:val="Heading3"/>
        <w:rPr/>
      </w:pPr>
      <w:r>
        <w:rPr/>
        <w:t>A.3 Critérios de Inclusão e Exclusão de Estudos</w:t>
      </w:r>
    </w:p>
    <w:p>
      <w:pPr>
        <w:pStyle w:val="Normal"/>
        <w:rPr/>
      </w:pPr>
      <w:r>
        <w:rPr/>
        <w:t>Para cada estudo identificado, a decisão de incluir ou excluir os seus dados na base CSV seguiu critérios explícitos.</w:t>
      </w:r>
    </w:p>
    <w:p>
      <w:pPr>
        <w:pStyle w:val="Heading3"/>
        <w:rPr/>
      </w:pPr>
      <w:r>
        <w:rPr/>
        <w:t>A.3.1 Critérios de inclusão</w:t>
      </w:r>
    </w:p>
    <w:p>
      <w:pPr>
        <w:pStyle w:val="Normal"/>
        <w:rPr/>
      </w:pPr>
      <w:r>
        <w:rPr/>
        <w:t>Um estudo foi incluído se satisfazia simultaneamente as seguintes condições:</w:t>
      </w:r>
    </w:p>
    <w:p>
      <w:pPr>
        <w:pStyle w:val="ListNumber"/>
        <w:rPr/>
      </w:pPr>
      <w:r>
        <w:rPr/>
        <w:t xml:space="preserve">1. </w:t>
      </w:r>
      <w:r>
        <w:rPr>
          <w:b/>
        </w:rPr>
        <w:t>Dados primários</w:t>
      </w:r>
      <w:r>
        <w:rPr/>
        <w:t xml:space="preserve"> — o estudo apresenta medições recolhidas pelos seus próprios autores sobre participantes reais, não reutilizando tabelas de terceiros sem transformação.</w:t>
      </w:r>
    </w:p>
    <w:p>
      <w:pPr>
        <w:pStyle w:val="ListNumber"/>
        <w:rPr/>
      </w:pPr>
      <w:r>
        <w:rPr/>
        <w:t xml:space="preserve">2. </w:t>
      </w:r>
      <w:r>
        <w:rPr>
          <w:b/>
        </w:rPr>
        <w:t>Dimensões da mão ou do membro superior</w:t>
      </w:r>
      <w:r>
        <w:rPr/>
        <w:t xml:space="preserve"> — pelo menos uma medição refere-se à mão, dedos, palma, antebraço ou punho.</w:t>
      </w:r>
    </w:p>
    <w:p>
      <w:pPr>
        <w:pStyle w:val="ListNumber"/>
        <w:rPr/>
      </w:pPr>
      <w:r>
        <w:rPr/>
        <w:t xml:space="preserve">3. </w:t>
      </w:r>
      <w:r>
        <w:rPr>
          <w:b/>
        </w:rPr>
        <w:t>Estatística descritiva legível</w:t>
      </w:r>
      <w:r>
        <w:rPr/>
        <w:t xml:space="preserve"> — a tabela do artigo fornece, no mínimo, a média. A presença de desvio-padrão e/ou percentis constituía um critério de preferência.</w:t>
      </w:r>
    </w:p>
    <w:p>
      <w:pPr>
        <w:pStyle w:val="ListNumber"/>
        <w:rPr/>
      </w:pPr>
      <w:r>
        <w:rPr/>
        <w:t xml:space="preserve">4. </w:t>
      </w:r>
      <w:r>
        <w:rPr>
          <w:b/>
        </w:rPr>
        <w:t>Identificação clara da população</w:t>
      </w:r>
      <w:r>
        <w:rPr/>
        <w:t xml:space="preserve"> — o artigo especifica país, sexo, dimensão amostral e método de medição.</w:t>
      </w:r>
    </w:p>
    <w:p>
      <w:pPr>
        <w:pStyle w:val="Heading3"/>
        <w:rPr/>
      </w:pPr>
      <w:r>
        <w:rPr/>
        <w:t>A.3.2 Critérios de exclusão</w:t>
      </w:r>
    </w:p>
    <w:p>
      <w:pPr>
        <w:pStyle w:val="Normal"/>
        <w:rPr/>
      </w:pPr>
      <w:r>
        <w:rPr/>
        <w:t>Um estudo foi excluído nas seguintes situações:</w:t>
      </w:r>
    </w:p>
    <w:p>
      <w:pPr>
        <w:pStyle w:val="ListBullet"/>
        <w:rPr/>
      </w:pPr>
      <w:r>
        <w:rPr/>
        <w:t xml:space="preserve">- </w:t>
      </w:r>
      <w:r>
        <w:rPr>
          <w:b/>
        </w:rPr>
        <w:t>Dados secundários sem valor acrescentado</w:t>
      </w:r>
      <w:r>
        <w:rP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rPr/>
      </w:pPr>
      <w:r>
        <w:rPr/>
        <w:t xml:space="preserve">- </w:t>
      </w:r>
      <w:r>
        <w:rPr>
          <w:b/>
        </w:rPr>
        <w:t>Artigos de engenharia sem tabelas antropométricas</w:t>
      </w:r>
      <w:r>
        <w:rPr/>
        <w:t xml:space="preserve"> — estudos centrados em materiais, análise de elementos finitos ou fabrico aditivo que referenciam dimensões da mão apenas de forma incidental e sem estatística descritiva.</w:t>
      </w:r>
    </w:p>
    <w:p>
      <w:pPr>
        <w:pStyle w:val="ListBullet"/>
        <w:rPr/>
      </w:pPr>
      <w:r>
        <w:rPr/>
        <w:t xml:space="preserve">- </w:t>
      </w:r>
      <w:r>
        <w:rPr>
          <w:b/>
        </w:rPr>
        <w:t>Dimensões não da mão em estudos mistos</w:t>
      </w:r>
      <w:r>
        <w:rP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Normal"/>
        <w:pBdr>
          <w:bottom w:val="single" w:sz="6" w:space="1" w:color="808080"/>
        </w:pBdr>
        <w:rPr/>
      </w:pPr>
      <w:r>
        <w:rPr/>
      </w:r>
    </w:p>
    <w:p>
      <w:pPr>
        <w:pStyle w:val="Heading3"/>
        <w:rPr/>
      </w:pPr>
      <w:r>
        <w:rPr/>
        <w:t>A.4 Processo de Extração de Dados</w:t>
      </w:r>
    </w:p>
    <w:p>
      <w:pPr>
        <w:pStyle w:val="Heading3"/>
        <w:rPr/>
      </w:pPr>
      <w:r>
        <w:rPr/>
        <w:t>A.4.1 Leitura dos PDFs e localização das tabelas</w:t>
      </w:r>
    </w:p>
    <w:p>
      <w:pPr>
        <w:pStyle w:val="Normal"/>
        <w:rPr/>
      </w:pPr>
      <w:r>
        <w:rPr/>
        <w:t xml:space="preserve">Cada artigo foi lido integralmente, com foco nas secções de </w:t>
      </w:r>
      <w:r>
        <w:rPr>
          <w:i/>
        </w:rPr>
        <w:t>Methods</w:t>
      </w:r>
      <w:r>
        <w:rPr/>
        <w:t xml:space="preserve"> (para identificar o instrumento de medição, a mão medida, e a posição do participante) e </w:t>
      </w:r>
      <w:r>
        <w:rPr>
          <w:i/>
        </w:rPr>
        <w:t>Results</w:t>
      </w:r>
      <w:r>
        <w:rP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pStyle w:val="Normal"/>
        <w:rPr/>
      </w:pPr>
      <w:r>
        <w:rPr/>
        <w:t>Quando um artigo reportava medições em mais do que uma tabela (por exemplo, comprimentos numa tabela e larguras noutra), cada tabela foi processada separadamente.</w:t>
      </w:r>
    </w:p>
    <w:p>
      <w:pPr>
        <w:pStyle w:val="Heading3"/>
        <w:rPr/>
      </w:pPr>
      <w:r>
        <w:rPr/>
        <w:t>A.4.2 Identificação das unidades e conversão</w:t>
      </w:r>
    </w:p>
    <w:p>
      <w:pPr>
        <w:pStyle w:val="Normal"/>
        <w:rPr/>
      </w:pPr>
      <w:r>
        <w:rP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rPr/>
        <w:t>value</w:t>
      </w:r>
      <w:r>
        <w:rPr>
          <w:i/>
        </w:rPr>
        <w:t>cm</w:t>
      </w:r>
      <w:r>
        <w:rPr>
          <w:rFonts w:ascii="Consolas" w:hAnsi="Consolas"/>
          <w:sz w:val="20"/>
        </w:rPr>
        <w:t xml:space="preserve">, </w:t>
      </w:r>
      <w:r>
        <w:rPr/>
        <w:t>value</w:t>
      </w:r>
      <w:r>
        <w:rPr>
          <w:i/>
        </w:rPr>
        <w:t>in</w:t>
      </w:r>
      <w:r>
        <w:rPr>
          <w:rFonts w:ascii="Consolas" w:hAnsi="Consolas"/>
          <w:sz w:val="20"/>
        </w:rPr>
        <w:t>), calculados a partir de uma única unidade-fonte:</w:t>
      </w:r>
    </w:p>
    <w:p>
      <w:pPr>
        <w:pStyle w:val="ListBullet"/>
        <w:rPr/>
      </w:pPr>
      <w:r>
        <w:rPr/>
        <w:t xml:space="preserve">- Se o artigo reporta em mm: </w:t>
      </w:r>
      <w:r>
        <w:rPr>
          <w:rFonts w:ascii="Consolas" w:hAnsi="Consolas"/>
          <w:sz w:val="20"/>
        </w:rPr>
        <w:t>value</w:t>
      </w:r>
      <w:r>
        <w:rPr>
          <w:i/>
        </w:rPr>
        <w:t>cm = value</w:t>
      </w:r>
      <w:r>
        <w:rPr/>
        <w:t>mm / 10</w:t>
      </w:r>
      <w:r>
        <w:rPr>
          <w:rFonts w:ascii="Consolas" w:hAnsi="Consolas"/>
          <w:sz w:val="20"/>
        </w:rPr>
        <w:t xml:space="preserve">; </w:t>
      </w:r>
      <w:r>
        <w:rPr/>
        <w:t>value</w:t>
      </w:r>
      <w:r>
        <w:rPr>
          <w:i/>
        </w:rPr>
        <w:t>in = value</w:t>
      </w:r>
      <w:r>
        <w:rPr/>
        <w:t>cm / 2.54</w:t>
      </w:r>
    </w:p>
    <w:p>
      <w:pPr>
        <w:pStyle w:val="ListBullet"/>
        <w:rPr/>
      </w:pPr>
      <w:r>
        <w:rPr/>
        <w:t xml:space="preserve">- Se o artigo reporta em cm: </w:t>
      </w:r>
      <w:r>
        <w:rPr>
          <w:rFonts w:ascii="Consolas" w:hAnsi="Consolas"/>
          <w:sz w:val="20"/>
        </w:rPr>
        <w:t>value</w:t>
      </w:r>
      <w:r>
        <w:rPr>
          <w:i/>
        </w:rPr>
        <w:t>mm = value</w:t>
      </w:r>
      <w:r>
        <w:rPr/>
        <w:t>cm × 10</w:t>
      </w:r>
      <w:r>
        <w:rPr>
          <w:rFonts w:ascii="Consolas" w:hAnsi="Consolas"/>
          <w:sz w:val="20"/>
        </w:rPr>
        <w:t xml:space="preserve">; </w:t>
      </w:r>
      <w:r>
        <w:rPr/>
        <w:t>value</w:t>
      </w:r>
      <w:r>
        <w:rPr>
          <w:i/>
        </w:rPr>
        <w:t>in = value</w:t>
      </w:r>
      <w:r>
        <w:rPr/>
        <w:t>cm / 2.54</w:t>
      </w:r>
    </w:p>
    <w:p>
      <w:pPr>
        <w:pStyle w:val="Normal"/>
        <w:rPr/>
      </w:pPr>
      <w:r>
        <w:rPr/>
        <w:t>Esta redundância elimina conversões em tempo de execução por parte do modelo paramétrico.</w:t>
      </w:r>
    </w:p>
    <w:p>
      <w:pPr>
        <w:pStyle w:val="Heading3"/>
        <w:rPr/>
      </w:pPr>
      <w:r>
        <w:rPr/>
      </w:r>
    </w:p>
    <w:p>
      <w:pPr>
        <w:pStyle w:val="Heading3"/>
        <w:rPr/>
      </w:pPr>
      <w:r>
        <w:rPr/>
        <w:t>A.4.3 Decomposição em linhas atómicas</w:t>
      </w:r>
    </w:p>
    <w:p>
      <w:pPr>
        <w:pStyle w:val="Normal"/>
        <w:rPr/>
      </w:pPr>
      <w:r>
        <w:rPr/>
      </w:r>
    </w:p>
    <w:p>
      <w:pPr>
        <w:pStyle w:val="Normal"/>
        <w:rPr/>
      </w:pPr>
      <w:r>
        <w:rPr/>
        <w:t xml:space="preserve">Cada célula de uma tabela estatística origina </w:t>
      </w:r>
      <w:r>
        <w:rPr>
          <w:b/>
        </w:rPr>
        <w:t>uma linha independente</w:t>
      </w:r>
      <w:r>
        <w:rP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rPr/>
        <w:t>mean</w:t>
      </w:r>
      <w:r>
        <w:rPr>
          <w:rFonts w:ascii="Consolas" w:hAnsi="Consolas"/>
          <w:sz w:val="20"/>
        </w:rPr>
        <w:t xml:space="preserve">, </w:t>
      </w:r>
      <w:r>
        <w:rPr/>
        <w:t>std</w:t>
      </w:r>
      <w:r>
        <w:rPr>
          <w:i/>
        </w:rPr>
        <w:t>dev</w:t>
      </w:r>
      <w:r>
        <w:rPr>
          <w:rFonts w:ascii="Consolas" w:hAnsi="Consolas"/>
          <w:sz w:val="20"/>
        </w:rPr>
        <w:t xml:space="preserve"> ou </w:t>
      </w:r>
      <w:r>
        <w:rPr/>
        <w:t>percentile</w:t>
      </w:r>
      <w:r>
        <w:rPr>
          <w:rFonts w:ascii="Consolas" w:hAnsi="Consolas"/>
          <w:sz w:val="20"/>
        </w:rPr>
        <w:t xml:space="preserve">, e o campo </w:t>
      </w:r>
      <w:r>
        <w:rPr/>
        <w:t>percentile</w:t>
      </w:r>
      <w:r>
        <w:rPr>
          <w:rFonts w:ascii="Consolas" w:hAnsi="Consolas"/>
          <w:sz w:val="20"/>
        </w:rPr>
        <w:t xml:space="preserve"> preenchido apenas nas linhas de tipo </w:t>
      </w:r>
      <w:r>
        <w:rPr/>
        <w:t>percentile</w:t>
      </w:r>
      <w:r>
        <w:rPr>
          <w:rFonts w:ascii="Consolas" w:hAnsi="Consolas"/>
          <w:sz w:val="20"/>
        </w:rPr>
        <w:t>.</w:t>
      </w:r>
    </w:p>
    <w:p>
      <w:pPr>
        <w:pStyle w:val="Normal"/>
        <w:rPr/>
      </w:pPr>
      <w:r>
        <w:rPr/>
        <w:t>Esta estrutura longa (</w:t>
      </w:r>
      <w:r>
        <w:rPr>
          <w:i/>
        </w:rPr>
        <w:t>long format</w:t>
      </w:r>
      <w:r>
        <w:rPr/>
        <w:t>) permite filtrar e agregar por qualquer combinação de variáveis sem necessidade de transformação prévia.</w:t>
      </w:r>
    </w:p>
    <w:p>
      <w:pPr>
        <w:pStyle w:val="Heading3"/>
        <w:rPr/>
      </w:pPr>
      <w:r>
        <w:rPr/>
      </w:r>
    </w:p>
    <w:p>
      <w:pPr>
        <w:pStyle w:val="Heading3"/>
        <w:rPr/>
      </w:pPr>
      <w:r>
        <w:rPr/>
        <w:t>A.4.4 Registo fiel do contexto da medição</w:t>
      </w:r>
    </w:p>
    <w:p>
      <w:pPr>
        <w:pStyle w:val="Normal"/>
        <w:rPr/>
      </w:pPr>
      <w:r>
        <w:rPr/>
      </w:r>
    </w:p>
    <w:p>
      <w:pPr>
        <w:pStyle w:val="Normal"/>
        <w:rPr/>
      </w:pPr>
      <w:r>
        <w:rPr/>
        <w:t xml:space="preserve">O campo </w:t>
      </w:r>
      <w:r>
        <w:rPr>
          <w:rFonts w:ascii="Consolas" w:hAnsi="Consolas"/>
          <w:sz w:val="20"/>
        </w:rPr>
        <w:t>measurement</w:t>
      </w:r>
      <w:r>
        <w:rPr>
          <w:i/>
        </w:rPr>
        <w:t>method</w:t>
      </w:r>
      <w:r>
        <w:rPr/>
        <w:t>note</w:t>
      </w:r>
      <w:r>
        <w:rPr>
          <w:rFonts w:ascii="Consolas" w:hAnsi="Consolas"/>
          <w:sz w:val="20"/>
        </w:rPr>
        <w:t xml:space="preserve"> regista, para cada estudo, informações sobre:</w:t>
      </w:r>
    </w:p>
    <w:p>
      <w:pPr>
        <w:pStyle w:val="ListBullet"/>
        <w:rPr/>
      </w:pPr>
      <w:r>
        <w:rPr/>
        <w:t>- O instrumento utilizado (e.g., "paquímetro digital Vernier 200 mm, resolução 0,01 mm")</w:t>
      </w:r>
    </w:p>
    <w:p>
      <w:pPr>
        <w:pStyle w:val="ListBullet"/>
        <w:rPr/>
      </w:pPr>
      <w:r>
        <w:rPr/>
        <w:t>- A mão medida (direita/esquerda/dominante)</w:t>
      </w:r>
    </w:p>
    <w:p>
      <w:pPr>
        <w:pStyle w:val="ListBullet"/>
        <w:rPr/>
      </w:pPr>
      <w:r>
        <w:rPr/>
        <w:t>- A posição da mão durante a medição (estendida e plana, em posição de repouso, sentado)</w:t>
      </w:r>
    </w:p>
    <w:p>
      <w:pPr>
        <w:pStyle w:val="ListBullet"/>
        <w:rPr/>
      </w:pPr>
      <w:r>
        <w:rPr/>
        <w:t>- O ponto de referência do comprimento (e.g., "da prega palmar proximal à ponta do dedo")</w:t>
      </w:r>
    </w:p>
    <w:p>
      <w:pPr>
        <w:pStyle w:val="Normal"/>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rPr/>
      </w:pPr>
      <w:r>
        <w:rPr/>
      </w:r>
    </w:p>
    <w:p>
      <w:pPr>
        <w:pStyle w:val="Heading3"/>
        <w:rPr/>
      </w:pPr>
      <w:r>
        <w:rPr/>
        <w:t>A.5 Decisões por Estudo</w:t>
      </w:r>
    </w:p>
    <w:p>
      <w:pPr>
        <w:pStyle w:val="Heading3"/>
        <w:rPr/>
      </w:pPr>
      <w:r>
        <w:rPr/>
      </w:r>
    </w:p>
    <w:p>
      <w:pPr>
        <w:pStyle w:val="Heading3"/>
        <w:rPr/>
      </w:pPr>
      <w:r>
        <w:rPr/>
        <w:t>A.5.1 ANSUR 1988 — EUA, militares (Gordon et al., 1989)</w:t>
      </w:r>
    </w:p>
    <w:p>
      <w:pPr>
        <w:pStyle w:val="Normal"/>
        <w:rPr>
          <w:b/>
        </w:rPr>
      </w:pPr>
      <w:r>
        <w:rPr>
          <w:b/>
        </w:rPr>
      </w:r>
    </w:p>
    <w:p>
      <w:pPr>
        <w:pStyle w:val="Normal"/>
        <w:rPr/>
      </w:pPr>
      <w:r>
        <w:rPr>
          <w:b/>
        </w:rPr>
        <w:t>Fonte:</w:t>
      </w:r>
      <w:r>
        <w:rP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Normal"/>
        <w:rPr/>
      </w:pPr>
      <w:r>
        <w:rPr>
          <w:b/>
        </w:rPr>
        <w:t>Decisão:</w:t>
      </w:r>
      <w:r>
        <w:rPr/>
        <w:t xml:space="preserve"> Incluição total. A dimensão amostral, a abrangência estatística (11 indicadores por dimensão) e a origem militar controlada tornam-no a âncora de referência da base de dados.</w:t>
      </w:r>
    </w:p>
    <w:p>
      <w:pPr>
        <w:pStyle w:val="Normal"/>
        <w:rPr/>
      </w:pPr>
      <w:r>
        <w:rPr>
          <w:b/>
        </w:rPr>
        <w:t>Notas:</w:t>
      </w:r>
      <w:r>
        <w:rP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A.5.2 Turquia — jovens adultos (Chatzioglou et al., 2024)</w:t>
      </w:r>
    </w:p>
    <w:p>
      <w:pPr>
        <w:pStyle w:val="Normal"/>
        <w:rPr>
          <w:b/>
        </w:rPr>
      </w:pPr>
      <w:r>
        <w:rPr>
          <w:b/>
        </w:rPr>
      </w:r>
    </w:p>
    <w:p>
      <w:pPr>
        <w:pStyle w:val="Normal"/>
        <w:rPr/>
      </w:pPr>
      <w:r>
        <w:rPr>
          <w:b/>
        </w:rPr>
        <w:t>Fonte:</w:t>
      </w:r>
      <w:r>
        <w:rPr/>
        <w:t xml:space="preserve"> </w:t>
      </w:r>
      <w:r>
        <w:rPr>
          <w:i/>
        </w:rPr>
        <w:t>Anatomy &amp; Cell Biology</w:t>
      </w:r>
      <w:r>
        <w:rPr/>
        <w:t>, 57:172–182. n=51 (32F, 19M), idade 18–30, Izmir e Istanbul. Método foto-antropométrico com ImageJ (pixel → mm via fator de calibração 0,08618 ×). Comprimentos dos cinco dedos da mão direita, por sexo e amostra total, Tabela 1.</w:t>
      </w:r>
    </w:p>
    <w:p>
      <w:pPr>
        <w:pStyle w:val="Normal"/>
        <w:rPr/>
      </w:pPr>
      <w:r>
        <w:rPr>
          <w:b/>
        </w:rPr>
        <w:t>Decisão:</w:t>
      </w:r>
      <w:r>
        <w:rP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rPr/>
        <w:t>max</w:t>
      </w:r>
      <w:r>
        <w:rPr>
          <w:rFonts w:ascii="Consolas" w:hAnsi="Consolas"/>
          <w:sz w:val="20"/>
        </w:rPr>
        <w:t>.</w:t>
      </w:r>
    </w:p>
    <w:p>
      <w:pPr>
        <w:pStyle w:val="Heading3"/>
        <w:rPr/>
      </w:pPr>
      <w:r>
        <w:rPr/>
      </w:r>
    </w:p>
    <w:p>
      <w:pPr>
        <w:pStyle w:val="Heading3"/>
        <w:rPr/>
      </w:pPr>
      <w:r>
        <w:rPr/>
        <w:t>A.5.3 México — população geral (Rodríguez-Vega &amp; Rodríguez-Vega, 2024)</w:t>
      </w:r>
    </w:p>
    <w:p>
      <w:pPr>
        <w:pStyle w:val="Normal"/>
        <w:rPr>
          <w:b/>
        </w:rPr>
      </w:pPr>
      <w:r>
        <w:rPr>
          <w:b/>
        </w:rPr>
      </w:r>
    </w:p>
    <w:p>
      <w:pPr>
        <w:pStyle w:val="Normal"/>
        <w:rPr/>
      </w:pPr>
      <w:r>
        <w:rPr>
          <w:b/>
        </w:rPr>
        <w:t>Fonte:</w:t>
      </w:r>
      <w:r>
        <w:rPr/>
        <w:t xml:space="preserve"> </w:t>
      </w:r>
      <w:r>
        <w:rPr>
          <w:i/>
        </w:rPr>
        <w:t>European Public &amp; Social Innovation Review</w:t>
      </w:r>
      <w:r>
        <w:rPr/>
        <w:t>, 9:1–15. n=2.837 (2.275M, 562F), Noroeste do México, idade 15–59. Quatro dimensões: comprimento da mão (HL), comprimento da palma (PL), largura da mão (HB) e diâmetro de preensão (HGD). Tabela 3 (amostra geral) e Tabela 4 (oito grupos etários: 15–19, 20–24, …, 50–54).</w:t>
      </w:r>
    </w:p>
    <w:p>
      <w:pPr>
        <w:pStyle w:val="Normal"/>
        <w:rPr/>
      </w:pPr>
      <w:r>
        <w:rPr>
          <w:b/>
        </w:rPr>
        <w:t>Decisão:</w:t>
      </w:r>
      <w:r>
        <w:rP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A.5.4 Índia — mulheres trabalhadoras (Nag et al., 2003)</w:t>
      </w:r>
    </w:p>
    <w:p>
      <w:pPr>
        <w:pStyle w:val="Normal"/>
        <w:rPr>
          <w:b/>
        </w:rPr>
      </w:pPr>
      <w:r>
        <w:rPr>
          <w:b/>
        </w:rPr>
      </w:r>
    </w:p>
    <w:p>
      <w:pPr>
        <w:pStyle w:val="Normal"/>
        <w:rPr/>
      </w:pPr>
      <w:r>
        <w:rPr>
          <w:b/>
        </w:rPr>
        <w:t>Fonte:</w:t>
      </w:r>
      <w:r>
        <w:rPr/>
        <w:t xml:space="preserve"> </w:t>
      </w:r>
      <w:r>
        <w:rPr>
          <w:i/>
        </w:rPr>
        <w:t>Indian Journal of Medical Research</w:t>
      </w:r>
      <w:r>
        <w:rP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Normal"/>
        <w:rPr/>
      </w:pPr>
      <w:r>
        <w:rPr>
          <w:b/>
        </w:rPr>
        <w:t>Decisão:</w:t>
      </w:r>
      <w:r>
        <w:rP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rPr/>
        <w:t>.</w:t>
      </w:r>
    </w:p>
    <w:p>
      <w:pPr>
        <w:pStyle w:val="Heading3"/>
        <w:rPr/>
      </w:pPr>
      <w:r>
        <w:rPr/>
      </w:r>
    </w:p>
    <w:p>
      <w:pPr>
        <w:pStyle w:val="Heading3"/>
        <w:rPr/>
      </w:pPr>
      <w:r>
        <w:rPr/>
        <w:t>A.5.5 Portugal — trabalhadores industriais (Anacleto Filho et al., 2023)</w:t>
      </w:r>
    </w:p>
    <w:p>
      <w:pPr>
        <w:pStyle w:val="Normal"/>
        <w:rPr>
          <w:b/>
        </w:rPr>
      </w:pPr>
      <w:r>
        <w:rPr>
          <w:b/>
        </w:rPr>
      </w:r>
    </w:p>
    <w:p>
      <w:pPr>
        <w:pStyle w:val="Normal"/>
        <w:rPr/>
      </w:pPr>
      <w:r>
        <w:rPr>
          <w:b/>
        </w:rPr>
        <w:t>Fonte:</w:t>
      </w:r>
      <w:r>
        <w:rPr/>
        <w:t xml:space="preserve"> </w:t>
      </w:r>
      <w:r>
        <w:rPr>
          <w:i/>
        </w:rPr>
        <w:t>International Journal of Industrial Ergonomics</w:t>
      </w:r>
      <w:r>
        <w:rPr/>
        <w:t>, 97:103473. n=343 (169M, 174F),</w:t>
      </w:r>
    </w:p>
    <w:p>
      <w:pPr>
        <w:pStyle w:val="Normal"/>
        <w:rPr/>
      </w:pPr>
      <w:r>
        <w:rPr/>
        <w:t>trabalhadores industriais do Norte de Portugal, 2021. De um conjunto de 27 dimensões corporais, apenas duas são da mão: comprimento da mão e largura da mão (metacarpal II–V). Tabela 3, P5, P50, P95 por sexo.</w:t>
      </w:r>
    </w:p>
    <w:p>
      <w:pPr>
        <w:pStyle w:val="Normal"/>
        <w:rPr/>
      </w:pPr>
      <w:r>
        <w:rPr>
          <w:b/>
        </w:rPr>
        <w:t>Decisão:</w:t>
      </w:r>
      <w:r>
        <w:rP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Normal"/>
        <w:rPr/>
      </w:pPr>
      <w:r>
        <w:rPr>
          <w:b/>
        </w:rPr>
        <w:t>Nota metodológica:</w:t>
      </w:r>
      <w:r>
        <w:rPr/>
        <w:t xml:space="preserve"> O estudo mediu o lado esquerdo por limitação de instalações; este facto é registado em </w:t>
      </w:r>
      <w:r>
        <w:rPr>
          <w:rFonts w:ascii="Consolas" w:hAnsi="Consolas"/>
          <w:sz w:val="20"/>
        </w:rPr>
        <w:t>measurement</w:t>
      </w:r>
      <w:r>
        <w:rPr>
          <w:i/>
        </w:rPr>
        <w:t>method</w:t>
      </w:r>
      <w:r>
        <w:rPr/>
        <w:t>note</w:t>
      </w:r>
      <w:r>
        <w:rPr>
          <w:rFonts w:ascii="Consolas" w:hAnsi="Consolas"/>
          <w:sz w:val="20"/>
        </w:rPr>
        <w:t>.</w:t>
      </w:r>
    </w:p>
    <w:p>
      <w:pPr>
        <w:pStyle w:val="Heading3"/>
        <w:rPr/>
      </w:pPr>
      <w:r>
        <w:rPr/>
      </w:r>
    </w:p>
    <w:p>
      <w:pPr>
        <w:pStyle w:val="Heading3"/>
        <w:rPr/>
      </w:pPr>
      <w:r>
        <w:rPr/>
        <w:t>A.5.6 Nigéria — atletas universitários (Ibiwari et al., 2025)</w:t>
      </w:r>
    </w:p>
    <w:p>
      <w:pPr>
        <w:pStyle w:val="Normal"/>
        <w:rPr>
          <w:b/>
        </w:rPr>
      </w:pPr>
      <w:r>
        <w:rPr>
          <w:b/>
        </w:rPr>
      </w:r>
    </w:p>
    <w:p>
      <w:pPr>
        <w:pStyle w:val="Normal"/>
        <w:rPr/>
      </w:pPr>
      <w:r>
        <w:rPr>
          <w:b/>
        </w:rPr>
        <w:t>Fonte:</w:t>
      </w:r>
      <w:r>
        <w:rPr/>
        <w:t xml:space="preserve"> </w:t>
      </w:r>
      <w:r>
        <w:rPr>
          <w:i/>
        </w:rPr>
        <w:t>International Journal of Science Academic Research</w:t>
      </w:r>
      <w:r>
        <w:rP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Normal"/>
        <w:rPr/>
      </w:pPr>
      <w:r>
        <w:rPr>
          <w:b/>
        </w:rPr>
        <w:t>Decisão:</w:t>
      </w:r>
      <w:r>
        <w:rP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Normal"/>
        <w:rPr/>
      </w:pPr>
      <w:r>
        <w:rPr>
          <w:b/>
        </w:rPr>
        <w:t>Nota:</w:t>
      </w:r>
      <w:r>
        <w:rPr/>
        <w:t xml:space="preserve"> A população de atletas não é representativa da população geral; os valores refletem uma seleção fisicamente ativa e potencialmente com mãos de dimensões superiores à média.</w:t>
      </w:r>
    </w:p>
    <w:p>
      <w:pPr>
        <w:pStyle w:val="Heading3"/>
        <w:rPr/>
      </w:pPr>
      <w:r>
        <w:rPr/>
      </w:r>
    </w:p>
    <w:p>
      <w:pPr>
        <w:pStyle w:val="Heading3"/>
        <w:rPr/>
      </w:pPr>
      <w:r>
        <w:rPr/>
        <w:t>A.5.7 Jordânia — trabalhadores com deficiência (Mistarihi, 2020)</w:t>
      </w:r>
    </w:p>
    <w:p>
      <w:pPr>
        <w:pStyle w:val="Normal"/>
        <w:rPr>
          <w:b/>
        </w:rPr>
      </w:pPr>
      <w:r>
        <w:rPr>
          <w:b/>
        </w:rPr>
      </w:r>
    </w:p>
    <w:p>
      <w:pPr>
        <w:pStyle w:val="Normal"/>
        <w:rPr/>
      </w:pPr>
      <w:r>
        <w:rPr>
          <w:b/>
        </w:rPr>
        <w:t>Fonte:</w:t>
      </w:r>
      <w:r>
        <w:rPr/>
        <w:t xml:space="preserve"> </w:t>
      </w:r>
      <w:r>
        <w:rPr>
          <w:i/>
        </w:rPr>
        <w:t>Data in Brief</w:t>
      </w:r>
      <w:r>
        <w:rP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Normal"/>
        <w:rPr/>
      </w:pPr>
      <w:r>
        <w:rPr>
          <w:b/>
        </w:rPr>
        <w:t>Decisão:</w:t>
      </w:r>
      <w:r>
        <w:rP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rPr/>
      </w:pPr>
      <w:r>
        <w:rPr/>
      </w:r>
    </w:p>
    <w:p>
      <w:pPr>
        <w:pStyle w:val="Heading3"/>
        <w:rPr/>
      </w:pPr>
      <w:r>
        <w:rPr/>
        <w:t>A.5.8 EUA — dedo indicador (Lim et al., 2018)</w:t>
      </w:r>
    </w:p>
    <w:p>
      <w:pPr>
        <w:pStyle w:val="Normal"/>
        <w:rPr>
          <w:b/>
        </w:rPr>
      </w:pPr>
      <w:r>
        <w:rPr>
          <w:b/>
        </w:rPr>
      </w:r>
    </w:p>
    <w:p>
      <w:pPr>
        <w:pStyle w:val="Normal"/>
        <w:rPr/>
      </w:pPr>
      <w:r>
        <w:rPr>
          <w:b/>
        </w:rPr>
        <w:t>Fonte:</w:t>
      </w:r>
      <w:r>
        <w:rPr/>
        <w:t xml:space="preserve"> Trabalho académico UC Berkeley. n=50 adultos, idade 18–30. Apenas duas dimensões do dedo indicador (D2): comprimento MCP-ponta (média=90,9 mm) e largura na articulação PIP (média=16,9 mm). Apenas médias reportadas, sem SD ou percentis.</w:t>
      </w:r>
    </w:p>
    <w:p>
      <w:pPr>
        <w:pStyle w:val="Normal"/>
        <w:rPr/>
      </w:pPr>
      <w:r>
        <w:rPr>
          <w:b/>
        </w:rPr>
        <w:t>Decisão:</w:t>
      </w:r>
      <w:r>
        <w:rPr/>
        <w:t xml:space="preserve"> Inclusão limitada. A ausência de desvio-padrão e percentis reduz significativamente a utilidade estatística. No entanto, o estudo foi incluído porque é especificamente orientado para a customização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rPr/>
      </w:pPr>
      <w:r>
        <w:rPr/>
      </w:r>
    </w:p>
    <w:p>
      <w:pPr>
        <w:pStyle w:val="Heading3"/>
        <w:rPr/>
      </w:pPr>
      <w:r>
        <w:rPr/>
        <w:t>A.5.9 Estudo excluído: Moreo (2016)</w:t>
      </w:r>
    </w:p>
    <w:p>
      <w:pPr>
        <w:pStyle w:val="Normal"/>
        <w:rPr/>
      </w:pPr>
      <w:r>
        <w:rPr/>
      </w:r>
    </w:p>
    <w:p>
      <w:pPr>
        <w:pStyle w:val="Normal"/>
        <w:rPr/>
      </w:pPr>
      <w:r>
        <w:rPr/>
        <w:t xml:space="preserve">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 não constituindo uma recolha primária por parte da autora. Incluir estes valores equivaleria a duplicar uma fonte secundária sem rastreabilidade direta ao estudo DINED original. </w:t>
      </w:r>
      <w:r>
        <w:rPr>
          <w:b/>
        </w:rPr>
        <w:t>Decisão: excluído.</w:t>
      </w:r>
    </w:p>
    <w:p>
      <w:pPr>
        <w:pStyle w:val="Heading3"/>
        <w:rPr/>
      </w:pPr>
      <w:r>
        <w:rPr/>
      </w:r>
    </w:p>
    <w:p>
      <w:pPr>
        <w:pStyle w:val="Heading3"/>
        <w:rPr/>
      </w:pPr>
      <w:r>
        <w:rPr/>
        <w:t>A.5.10 EUA — militares ANSUR II (Gordon et al., 2015)</w:t>
      </w:r>
    </w:p>
    <w:p>
      <w:pPr>
        <w:pStyle w:val="Normal"/>
        <w:rPr>
          <w:b/>
        </w:rPr>
      </w:pPr>
      <w:r>
        <w:rPr>
          <w:b/>
        </w:rPr>
      </w:r>
    </w:p>
    <w:p>
      <w:pPr>
        <w:pStyle w:val="Normal"/>
        <w:rPr/>
      </w:pPr>
      <w:r>
        <w:rPr>
          <w:b/>
        </w:rPr>
        <w:t>Fonte:</w:t>
      </w:r>
      <w:r>
        <w:rP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usando Python puro sem dependências externas, por forma a garantir reprodutibilidade exata.</w:t>
      </w:r>
    </w:p>
    <w:p>
      <w:pPr>
        <w:pStyle w:val="Normal"/>
        <w:rPr/>
      </w:pPr>
      <w:r>
        <w:rPr>
          <w:b/>
        </w:rPr>
        <w:t>Decisão:</w:t>
      </w:r>
      <w:r>
        <w:rP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Normal"/>
        <w:rPr/>
      </w:pPr>
      <w:r>
        <w:rPr>
          <w:b/>
        </w:rPr>
        <w:t>Nota:</w:t>
      </w:r>
      <w:r>
        <w:rPr/>
        <w:t xml:space="preserve"> A medição </w:t>
      </w:r>
      <w:r>
        <w:rPr>
          <w:rFonts w:ascii="Consolas" w:hAnsi="Consolas"/>
          <w:sz w:val="20"/>
        </w:rPr>
        <w:t>wristheight</w:t>
      </w:r>
      <w:r>
        <w:rPr/>
        <w:t xml:space="preserve"> foi excluída — corresponde à distância do chão ao pulso em posição de pé, uma dimensão postural e não uma medição da mão.</w:t>
      </w:r>
    </w:p>
    <w:p>
      <w:pPr>
        <w:pStyle w:val="Heading3"/>
        <w:rPr/>
      </w:pPr>
      <w:r>
        <w:rPr/>
      </w:r>
    </w:p>
    <w:p>
      <w:pPr>
        <w:pStyle w:val="Heading3"/>
        <w:rPr/>
      </w:pPr>
      <w:r>
        <w:rPr/>
        <w:t>A.5.11 Países Baixos — DINED (TU Delft, 1993–2004)</w:t>
      </w:r>
    </w:p>
    <w:p>
      <w:pPr>
        <w:pStyle w:val="Normal"/>
        <w:rPr>
          <w:b/>
        </w:rPr>
      </w:pPr>
      <w:r>
        <w:rPr>
          <w:b/>
        </w:rPr>
      </w:r>
    </w:p>
    <w:p>
      <w:pPr>
        <w:pStyle w:val="Normal"/>
        <w:rPr/>
      </w:pPr>
      <w:r>
        <w:rPr>
          <w:b/>
        </w:rPr>
        <w:t>Fonte:</w:t>
      </w:r>
      <w:r>
        <w:rPr/>
        <w:t xml:space="preserve"> Base de dados antropométrica do Delft Institute for Ergonomics and Design, acessível via conta institucional em dined.io.tudelft.nl. Três sub-datasets distintos, com dados de mão disponíveis:</w:t>
      </w:r>
    </w:p>
    <w:p>
      <w:pPr>
        <w:pStyle w:val="ListBullet"/>
        <w:rPr/>
      </w:pPr>
      <w:r>
        <w:rPr/>
        <w:t xml:space="preserve">- </w:t>
      </w:r>
      <w:r>
        <w:rPr>
          <w:b/>
        </w:rPr>
        <w:t>kima1993</w:t>
      </w:r>
      <w:r>
        <w:rPr/>
        <w:t>: crianças neerlandesas, idades 2–12 (grupos por ano), por sexo e combinado; 8 medições da mão por grupo etário.</w:t>
      </w:r>
    </w:p>
    <w:p>
      <w:pPr>
        <w:pStyle w:val="ListBullet"/>
        <w:rPr/>
      </w:pPr>
      <w:r>
        <w:rPr/>
        <w:t xml:space="preserve">- </w:t>
      </w:r>
      <w:r>
        <w:rPr>
          <w:b/>
        </w:rPr>
        <w:t>geron1998</w:t>
      </w:r>
      <w:r>
        <w:rPr/>
        <w:t>: idosos neerlandeses, idades 50–80+ (bandas de 5 anos), por sexo e combinado; 5 medições da mão.</w:t>
      </w:r>
    </w:p>
    <w:p>
      <w:pPr>
        <w:pStyle w:val="ListBullet"/>
        <w:rPr/>
      </w:pPr>
      <w:r>
        <w:rPr/>
        <w:t xml:space="preserve">- </w:t>
      </w:r>
      <w:r>
        <w:rPr>
          <w:b/>
        </w:rPr>
        <w:t>dined2004</w:t>
      </w:r>
      <w:r>
        <w:rPr/>
        <w:t>: adultos neerlandeses, grupos etários 20–30, 31–60, 60+, por sexo e combinado; 6–7 medições da mão.</w:t>
      </w:r>
    </w:p>
    <w:p>
      <w:pPr>
        <w:pStyle w:val="Normal"/>
        <w:rPr/>
      </w:pPr>
      <w:r>
        <w:rP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rPr/>
        <w:t>id="sd{col}</w:t>
      </w:r>
      <w:r>
        <w:rPr>
          <w:i/>
        </w:rPr>
        <w:t>{row}"</w:t>
      </w:r>
      <w:r>
        <w:rPr>
          <w:rFonts w:ascii="Consolas" w:hAnsi="Consolas"/>
          <w:sz w:val="20"/>
        </w:rPr>
        <w:t>), mapeando índices de coluna para combinações (sub-dataset, sexo, grupo etário) e índices de linha para nomes de medição.</w:t>
      </w:r>
    </w:p>
    <w:p>
      <w:pPr>
        <w:pStyle w:val="Normal"/>
        <w:rPr/>
      </w:pPr>
      <w:r>
        <w:rPr>
          <w:b/>
        </w:rPr>
        <w:t>Decisão:</w:t>
      </w:r>
      <w:r>
        <w:rP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rPr/>
      </w:pPr>
      <w:r>
        <w:rPr/>
      </w:r>
    </w:p>
    <w:p>
      <w:pPr>
        <w:pStyle w:val="Heading3"/>
        <w:rPr/>
      </w:pPr>
      <w:r>
        <w:rPr/>
        <w:t>A.5.12 China — idosos de Pequim (Hu et al., 2007)</w:t>
      </w:r>
    </w:p>
    <w:p>
      <w:pPr>
        <w:pStyle w:val="Normal"/>
        <w:rPr>
          <w:b/>
        </w:rPr>
      </w:pPr>
      <w:r>
        <w:rPr>
          <w:b/>
        </w:rPr>
      </w:r>
    </w:p>
    <w:p>
      <w:pPr>
        <w:pStyle w:val="Normal"/>
        <w:rPr/>
      </w:pPr>
      <w:r>
        <w:rPr>
          <w:b/>
        </w:rPr>
        <w:t>Fonte:</w:t>
      </w:r>
      <w:r>
        <w:rPr/>
        <w:t xml:space="preserve"> </w:t>
      </w:r>
      <w:r>
        <w:rPr>
          <w:i/>
        </w:rPr>
        <w:t>International Journal of Industrial Ergonomics</w:t>
      </w:r>
      <w:r>
        <w:rP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Normal"/>
        <w:rPr>
          <w:b/>
        </w:rPr>
      </w:pPr>
      <w:r>
        <w:rPr>
          <w:b/>
        </w:rPr>
      </w:r>
    </w:p>
    <w:p>
      <w:pPr>
        <w:pStyle w:val="Normal"/>
        <w:rPr/>
      </w:pPr>
      <w:r>
        <w:rPr>
          <w:b/>
        </w:rPr>
        <w:t>Decisão:</w:t>
      </w:r>
      <w:r>
        <w:rP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rPr/>
        <w:t>note</w:t>
      </w:r>
      <w:r>
        <w:rPr>
          <w:rFonts w:ascii="Consolas" w:hAnsi="Consolas"/>
          <w:sz w:val="20"/>
        </w:rPr>
        <w:t>.</w:t>
      </w:r>
    </w:p>
    <w:p>
      <w:pPr>
        <w:pStyle w:val="Normal"/>
        <w:rPr>
          <w:b/>
        </w:rPr>
      </w:pPr>
      <w:r>
        <w:rPr>
          <w:b/>
        </w:rPr>
      </w:r>
    </w:p>
    <w:p>
      <w:pPr>
        <w:pStyle w:val="Normal"/>
        <w:rPr/>
      </w:pPr>
      <w:r>
        <w:rPr>
          <w:b/>
        </w:rPr>
        <w:t>Nota de cobertura:</w:t>
      </w:r>
      <w:r>
        <w:rPr/>
        <w:t xml:space="preserve"> Primeira fonte de dados de idosos chineses e, simultaneamente, a única fonte da Ásia Oriental na base de dados (após a verificação de que uma referência alternativa inicialmente identificada não era verificável).</w:t>
      </w:r>
    </w:p>
    <w:p>
      <w:pPr>
        <w:pStyle w:val="Heading3"/>
        <w:rPr/>
      </w:pPr>
      <w:r>
        <w:rPr/>
      </w:r>
    </w:p>
    <w:p>
      <w:pPr>
        <w:pStyle w:val="Heading3"/>
        <w:rPr/>
      </w:pPr>
      <w:r>
        <w:rPr/>
        <w:t>A.5.13 Estudo excluído: reconstrução corporal 3D a partir de fotografias ortogonais</w:t>
      </w:r>
    </w:p>
    <w:p>
      <w:pPr>
        <w:pStyle w:val="Normal"/>
        <w:rPr>
          <w:b/>
        </w:rPr>
      </w:pPr>
      <w:r>
        <w:rPr>
          <w:b/>
        </w:rPr>
      </w:r>
    </w:p>
    <w:p>
      <w:pPr>
        <w:pStyle w:val="Normal"/>
        <w:rPr/>
      </w:pPr>
      <w:r>
        <w:rPr>
          <w:b/>
        </w:rPr>
        <w:t>Fonte:</w:t>
      </w:r>
      <w:r>
        <w:rPr/>
        <w:t xml:space="preserve"> artigo metodológico sobre reconstrução de modelos corporais 3D a partir de fotografias ortogonais, publicado no </w:t>
      </w:r>
      <w:r>
        <w:rPr>
          <w:i/>
        </w:rPr>
        <w:t>International Journal of Industrial Ergonomics</w:t>
      </w:r>
      <w:r>
        <w:rPr/>
        <w:t>, usando deformação de forma livre (FFD).</w:t>
      </w:r>
    </w:p>
    <w:p>
      <w:pPr>
        <w:pStyle w:val="Normal"/>
        <w:rPr>
          <w:b/>
        </w:rPr>
      </w:pPr>
      <w:r>
        <w:rPr>
          <w:b/>
        </w:rPr>
      </w:r>
    </w:p>
    <w:p>
      <w:pPr>
        <w:pStyle w:val="Normal"/>
        <w:rPr/>
      </w:pPr>
      <w:r>
        <w:rPr>
          <w:b/>
        </w:rPr>
        <w:t>Decisão: excluído.</w:t>
      </w:r>
      <w:r>
        <w:rP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rPr/>
      </w:pPr>
      <w:r>
        <w:rPr/>
      </w:r>
    </w:p>
    <w:p>
      <w:pPr>
        <w:pStyle w:val="Heading3"/>
        <w:rPr/>
      </w:pPr>
      <w:r>
        <w:rPr/>
        <w:t>A.6 Estrutura do CSV e Schema</w:t>
      </w:r>
    </w:p>
    <w:p>
      <w:pPr>
        <w:pStyle w:val="Heading3"/>
        <w:rPr/>
      </w:pPr>
      <w:r>
        <w:rPr/>
      </w:r>
    </w:p>
    <w:p>
      <w:pPr>
        <w:pStyle w:val="Heading3"/>
        <w:rPr/>
      </w:pPr>
      <w:r>
        <w:rPr/>
        <w:t>A.6.1 Campos</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Campo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Tipo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Região corporal (</w:t>
            </w:r>
            <w:r>
              <w:rPr>
                <w:rFonts w:ascii="Consolas" w:hAnsi="Consolas"/>
                <w:sz w:val="20"/>
              </w:rPr>
              <w:t>hand</w:t>
            </w:r>
            <w:r>
              <w:rPr/>
              <w:t xml:space="preserve">, </w:t>
            </w:r>
            <w:r>
              <w:rPr>
                <w:rFonts w:ascii="Consolas" w:hAnsi="Consolas"/>
                <w:sz w:val="20"/>
              </w:rPr>
              <w:t>forearm</w:t>
            </w:r>
            <w:r>
              <w:rPr/>
              <w:t xml:space="preserve">, </w:t>
            </w:r>
            <w:r>
              <w:rPr>
                <w:rFonts w:ascii="Consolas" w:hAnsi="Consolas"/>
                <w:sz w:val="20"/>
              </w:rPr>
              <w:t>upper</w:t>
            </w:r>
            <w:r>
              <w:rPr>
                <w:i/>
              </w:rPr>
              <w:t>arm</w:t>
            </w:r>
            <w:r>
              <w:rPr>
                <w:rFonts w:ascii="Consolas" w:hAnsi="Consolas"/>
                <w:sz w:val="20"/>
              </w:rPr>
              <w:t xml:space="preserve">, </w:t>
            </w:r>
            <w:r>
              <w:rPr/>
              <w:t>lower</w:t>
            </w:r>
            <w:r>
              <w:rPr>
                <w:i/>
              </w:rPr>
              <w:t>limb</w:t>
            </w:r>
            <w:r>
              <w:rPr>
                <w:rFonts w:ascii="Consolas" w:hAnsi="Consolas"/>
                <w:sz w:val="20"/>
              </w:rPr>
              <w:t xml:space="preserve">, </w:t>
            </w:r>
            <w:r>
              <w:rPr/>
              <w:t>torso</w:t>
            </w:r>
            <w:r>
              <w:rPr>
                <w:rFonts w:ascii="Consolas" w:hAnsi="Consolas"/>
                <w:sz w:val="20"/>
              </w:rPr>
              <w:t xml:space="preserve">, </w:t>
            </w:r>
            <w:r>
              <w:rPr/>
              <w:t>head</w:t>
            </w:r>
            <w:r>
              <w:rPr>
                <w:rFonts w:ascii="Consolas" w:hAnsi="Consolas"/>
                <w:sz w:val="20"/>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method</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country</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sex</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male</w:t>
            </w:r>
            <w:r>
              <w:rPr/>
              <w:t xml:space="preserve">, </w:t>
            </w:r>
            <w:r>
              <w:rPr>
                <w:rFonts w:ascii="Consolas" w:hAnsi="Consolas"/>
                <w:sz w:val="20"/>
              </w:rPr>
              <w:t>female</w:t>
            </w:r>
            <w:r>
              <w:rPr/>
              <w:t xml:space="preserve"> ou </w:t>
            </w:r>
            <w:r>
              <w:rPr>
                <w:rFonts w:ascii="Consolas" w:hAnsi="Consolas"/>
                <w:sz w:val="20"/>
              </w:rP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 xml:space="preserve">Tipo de estatística: </w:t>
            </w:r>
            <w:r>
              <w:rPr>
                <w:rFonts w:ascii="Consolas" w:hAnsi="Consolas"/>
                <w:sz w:val="20"/>
              </w:rPr>
              <w:t>mean</w:t>
            </w:r>
            <w:r>
              <w:rPr/>
              <w:t xml:space="preserve">, </w:t>
            </w:r>
            <w:r>
              <w:rPr>
                <w:rFonts w:ascii="Consolas" w:hAnsi="Consolas"/>
                <w:sz w:val="20"/>
              </w:rPr>
              <w:t>std</w:t>
            </w:r>
            <w:r>
              <w:rPr>
                <w:i/>
              </w:rPr>
              <w:t>dev</w:t>
            </w:r>
            <w:r>
              <w:rPr>
                <w:rFonts w:ascii="Consolas" w:hAnsi="Consolas"/>
                <w:sz w:val="20"/>
              </w:rPr>
              <w:t xml:space="preserve">, </w:t>
            </w:r>
            <w:r>
              <w:rPr/>
              <w:t>percentile</w:t>
            </w:r>
            <w:r>
              <w:rPr>
                <w:rFonts w:ascii="Consolas" w:hAnsi="Consolas"/>
                <w:sz w:val="20"/>
              </w:rPr>
              <w:t xml:space="preserve">, </w:t>
            </w:r>
            <w:r>
              <w:rPr/>
              <w:t>min</w:t>
            </w:r>
            <w:r>
              <w:rPr>
                <w:rFonts w:ascii="Consolas" w:hAnsi="Consolas"/>
                <w:sz w:val="20"/>
              </w:rPr>
              <w:t xml:space="preserve">, </w:t>
            </w:r>
            <w:r>
              <w:rP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data</w:t>
            </w:r>
            <w:r>
              <w:rPr>
                <w:i/>
              </w:rPr>
              <w:t>quality</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Notas sobre limitações, artefactos ou incertezas do valor</w:t>
            </w:r>
          </w:p>
        </w:tc>
      </w:tr>
    </w:tbl>
    <w:p>
      <w:pPr>
        <w:pStyle w:val="Heading3"/>
        <w:rPr/>
      </w:pPr>
      <w:r>
        <w:rPr/>
      </w:r>
    </w:p>
    <w:p>
      <w:pPr>
        <w:pStyle w:val="Heading3"/>
        <w:rPr/>
      </w:pPr>
      <w:r>
        <w:rPr/>
        <w:t>A.6.2 Formato longo (</w:t>
      </w:r>
      <w:r>
        <w:rPr>
          <w:i/>
        </w:rPr>
        <w:t>long format</w:t>
      </w:r>
      <w:r>
        <w:rPr/>
        <w:t>)</w:t>
      </w:r>
    </w:p>
    <w:p>
      <w:pPr>
        <w:pStyle w:val="Normal"/>
        <w:rPr/>
      </w:pPr>
      <w:r>
        <w:rPr/>
        <w:t xml:space="preserve">A opção pelo formato longo — uma linha por estatística, e não uma linha por dimensão com colunas </w:t>
      </w:r>
      <w:r>
        <w:rPr>
          <w:rFonts w:ascii="Consolas" w:hAnsi="Consolas"/>
          <w:sz w:val="20"/>
        </w:rPr>
        <w:t>mean</w:t>
      </w:r>
      <w:r>
        <w:rPr/>
        <w:t xml:space="preserve">, </w:t>
      </w:r>
      <w:r>
        <w:rPr>
          <w:rFonts w:ascii="Consolas" w:hAnsi="Consolas"/>
          <w:sz w:val="20"/>
        </w:rPr>
        <w:t>sd</w:t>
      </w:r>
      <w:r>
        <w:rPr/>
        <w:t xml:space="preserve">, </w:t>
      </w:r>
      <w:r>
        <w:rPr>
          <w:rFonts w:ascii="Consolas" w:hAnsi="Consolas"/>
          <w:sz w:val="20"/>
        </w:rPr>
        <w:t>p5</w:t>
      </w:r>
      <w:r>
        <w:rPr/>
        <w:t>, etc. — permite:</w:t>
      </w:r>
    </w:p>
    <w:p>
      <w:pPr>
        <w:pStyle w:val="ListBullet"/>
        <w:rPr/>
      </w:pPr>
      <w:r>
        <w:rPr/>
        <w:t>- Filtrar facilmente por tipo de estatística sem tratamento especial de colunas opcionais</w:t>
      </w:r>
    </w:p>
    <w:p>
      <w:pPr>
        <w:pStyle w:val="ListBullet"/>
        <w:rPr/>
      </w:pPr>
      <w:r>
        <w:rPr/>
        <w:t>- Incluir estudos que reportam apenas subconjuntos de estatísticas (e.g., apenas média, sem percentis) sem introduzir células vazias em colunas estruturais</w:t>
      </w:r>
    </w:p>
    <w:p>
      <w:pPr>
        <w:pStyle w:val="ListBullet"/>
        <w:rPr/>
      </w:pPr>
      <w:r>
        <w:rPr/>
        <w:t>- Acrescentar novos tipos de estatística (e.g., intervalo de confiança) sem alterar o schema</w:t>
      </w:r>
    </w:p>
    <w:p>
      <w:pPr>
        <w:pStyle w:val="Normal"/>
        <w:rPr/>
      </w:pPr>
      <w:r>
        <w:rPr/>
        <w:t>O custo é a repetição dos campos de identificação (país, sexo, dimensão) em cada linha — aceitável dado o volume total de dados (&lt; 5 MB).</w:t>
      </w:r>
    </w:p>
    <w:p>
      <w:pPr>
        <w:pStyle w:val="Heading3"/>
        <w:rPr/>
      </w:pPr>
      <w:r>
        <w:rPr/>
      </w:r>
    </w:p>
    <w:p>
      <w:pPr>
        <w:pStyle w:val="Heading3"/>
        <w:rPr/>
      </w:pPr>
      <w:r>
        <w:rPr/>
        <w:t>A.7 Controlo de Qualidade dos Dados</w:t>
      </w:r>
    </w:p>
    <w:p>
      <w:pPr>
        <w:pStyle w:val="Heading3"/>
        <w:rPr/>
      </w:pPr>
      <w:r>
        <w:rPr/>
      </w:r>
    </w:p>
    <w:p>
      <w:pPr>
        <w:pStyle w:val="Heading3"/>
        <w:rPr/>
      </w:pPr>
      <w:r>
        <w:rPr/>
        <w:t>A.7.1 Marcação inline de limitações</w:t>
      </w:r>
    </w:p>
    <w:p>
      <w:pPr>
        <w:pStyle w:val="Normal"/>
        <w:rPr/>
      </w:pPr>
      <w:r>
        <w:rPr/>
      </w:r>
    </w:p>
    <w:p>
      <w:pPr>
        <w:pStyle w:val="Normal"/>
        <w:rPr/>
      </w:pPr>
      <w:r>
        <w:rPr/>
        <w:t xml:space="preserve">O campo </w:t>
      </w:r>
      <w:r>
        <w:rPr>
          <w:rFonts w:ascii="Consolas" w:hAnsi="Consolas"/>
          <w:sz w:val="20"/>
        </w:rPr>
        <w:t>data</w:t>
      </w:r>
      <w:r>
        <w:rPr>
          <w:i/>
        </w:rPr>
        <w:t>quality</w:t>
      </w:r>
      <w:r>
        <w:rPr/>
        <w:t>note</w:t>
      </w:r>
      <w:r>
        <w:rPr>
          <w:rFonts w:ascii="Consolas" w:hAnsi="Consolas"/>
          <w:sz w:val="20"/>
        </w:rPr>
        <w:t xml:space="preserve"> é preenchido sempre que existe uma das seguintes situações:</w:t>
      </w:r>
    </w:p>
    <w:p>
      <w:pPr>
        <w:pStyle w:val="ListBullet"/>
        <w:rPr/>
      </w:pPr>
      <w:r>
        <w:rPr/>
        <w:t>- Valor extraído de uma figura (diagrama ou gráfico) em vez de uma tabela</w:t>
      </w:r>
    </w:p>
    <w:p>
      <w:pPr>
        <w:pStyle w:val="ListBullet"/>
        <w:rPr/>
      </w:pPr>
      <w:r>
        <w:rPr/>
        <w:t>- Subgrupo com n ≤ 10</w:t>
      </w:r>
    </w:p>
    <w:p>
      <w:pPr>
        <w:pStyle w:val="ListBullet"/>
        <w:rPr/>
      </w:pPr>
      <w:r>
        <w:rPr/>
        <w:t>- Desvio-padrão ausente ou atipicamente elevado</w:t>
      </w:r>
    </w:p>
    <w:p>
      <w:pPr>
        <w:pStyle w:val="ListBullet"/>
        <w:rPr/>
      </w:pPr>
      <w:r>
        <w:rPr/>
        <w:t>- Valor estimado a partir de estatísticas adjacentes por ilegibilidade da tabela</w:t>
      </w:r>
    </w:p>
    <w:p>
      <w:pPr>
        <w:pStyle w:val="ListBullet"/>
        <w:rPr/>
      </w:pPr>
      <w:r>
        <w:rPr/>
        <w:t>- Correlação fraca entre variáveis reportada pelo próprio estudo</w:t>
      </w:r>
    </w:p>
    <w:p>
      <w:pPr>
        <w:pStyle w:val="ListBullet"/>
        <w:rPr/>
      </w:pPr>
      <w:r>
        <w:rPr/>
        <w:t>- Inconsistência tipográfica no documento original, corrigida com nota</w:t>
      </w:r>
    </w:p>
    <w:p>
      <w:pPr>
        <w:pStyle w:val="Heading3"/>
        <w:rPr/>
      </w:pPr>
      <w:r>
        <w:rPr/>
      </w:r>
    </w:p>
    <w:p>
      <w:pPr>
        <w:pStyle w:val="Heading3"/>
        <w:rPr/>
      </w:pPr>
      <w:r>
        <w:rPr/>
        <w:t>A.7.2 Verificação de unidades</w:t>
      </w:r>
    </w:p>
    <w:p>
      <w:pPr>
        <w:pStyle w:val="Normal"/>
        <w:rPr/>
      </w:pPr>
      <w:r>
        <w:rPr/>
      </w:r>
    </w:p>
    <w:p>
      <w:pPr>
        <w:pStyle w:val="Normal"/>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rPr/>
      </w:pPr>
      <w:r>
        <w:rPr/>
      </w:r>
    </w:p>
    <w:p>
      <w:pPr>
        <w:pStyle w:val="Heading3"/>
        <w:rPr/>
      </w:pPr>
      <w:r>
        <w:rPr/>
        <w:t>A.7.3 Rastreabilidade total</w:t>
      </w:r>
    </w:p>
    <w:p>
      <w:pPr>
        <w:pStyle w:val="Normal"/>
        <w:rPr/>
      </w:pPr>
      <w:r>
        <w:rPr/>
      </w:r>
    </w:p>
    <w:p>
      <w:pPr>
        <w:pStyle w:val="Normal"/>
        <w:rPr/>
      </w:pPr>
      <w:r>
        <w:rPr/>
        <w:t>Cada linha do CSV contém a citação completa (</w:t>
      </w:r>
      <w:r>
        <w:rPr>
          <w:rFonts w:ascii="Consolas" w:hAnsi="Consolas"/>
          <w:sz w:val="20"/>
        </w:rPr>
        <w:t>source</w:t>
      </w:r>
      <w:r>
        <w:rPr>
          <w:i/>
        </w:rPr>
        <w:t>citation</w:t>
      </w:r>
      <w:r>
        <w:rPr>
          <w:rFonts w:ascii="Consolas" w:hAnsi="Consolas"/>
          <w:sz w:val="20"/>
        </w:rPr>
        <w:t>) e o número de página exato (</w:t>
      </w:r>
      <w:r>
        <w:rPr/>
        <w:t>source</w:t>
      </w:r>
      <w:r>
        <w:rPr>
          <w:i/>
        </w:rPr>
        <w:t>page</w:t>
      </w:r>
      <w:r>
        <w:rPr>
          <w:rFonts w:ascii="Consolas" w:hAnsi="Consolas"/>
          <w:sz w:val="20"/>
        </w:rPr>
        <w:t>), permitindo que qualquer valor seja verificado diretamente na fonte primária sem necessidade de metadados externos.</w:t>
      </w:r>
    </w:p>
    <w:p>
      <w:pPr>
        <w:pStyle w:val="Heading3"/>
        <w:rPr/>
      </w:pPr>
      <w:r>
        <w:rPr/>
      </w:r>
    </w:p>
    <w:p>
      <w:pPr>
        <w:pStyle w:val="Heading3"/>
        <w:rPr/>
      </w:pPr>
      <w:r>
        <w:rPr/>
        <w:t>A.8 Escrita do Código de Geração</w:t>
      </w:r>
    </w:p>
    <w:p>
      <w:pPr>
        <w:pStyle w:val="Normal"/>
        <w:rPr/>
      </w:pPr>
      <w:r>
        <w:rPr/>
        <w:t>Os dados foram codificados em dois scripts Python independentes:</w:t>
      </w:r>
    </w:p>
    <w:p>
      <w:pPr>
        <w:pStyle w:val="ListBullet"/>
        <w:rPr/>
      </w:pPr>
      <w:r>
        <w:rPr/>
        <w:t xml:space="preserve">- </w:t>
      </w:r>
      <w:r>
        <w:rPr>
          <w:rFonts w:ascii="Consolas" w:hAnsi="Consolas"/>
          <w:sz w:val="20"/>
        </w:rPr>
        <w:t>generate</w:t>
      </w:r>
      <w:r>
        <w:rPr>
          <w:i/>
        </w:rPr>
        <w:t>ansur</w:t>
      </w:r>
      <w:r>
        <w:rPr/>
        <w:t>csv.py</w:t>
      </w:r>
      <w:r>
        <w:rPr>
          <w:rFonts w:ascii="Consolas" w:hAnsi="Consolas"/>
          <w:sz w:val="20"/>
        </w:rPr>
        <w:t xml:space="preserve"> — gera </w:t>
      </w:r>
      <w:r>
        <w:rPr/>
        <w:t>ansur</w:t>
      </w:r>
      <w:r>
        <w:rPr>
          <w:i/>
        </w:rPr>
        <w:t>1988</w:t>
      </w:r>
      <w:r>
        <w:rPr/>
        <w:t>complete.csv</w:t>
      </w:r>
      <w:r>
        <w:rPr>
          <w:rFonts w:ascii="Consolas" w:hAnsi="Consolas"/>
          <w:sz w:val="20"/>
        </w:rPr>
        <w:t xml:space="preserve"> e </w:t>
      </w:r>
      <w:r>
        <w:rPr/>
        <w:t>ansur</w:t>
      </w:r>
      <w:r>
        <w:rPr>
          <w:i/>
        </w:rPr>
        <w:t>1988</w:t>
      </w:r>
      <w:r>
        <w:rPr/>
        <w:t>hand</w:t>
      </w:r>
      <w:r>
        <w:rPr>
          <w:i/>
        </w:rPr>
        <w:t>arm.csv</w:t>
      </w:r>
      <w:r>
        <w:rPr>
          <w:rFonts w:ascii="Consolas" w:hAnsi="Consolas"/>
          <w:sz w:val="20"/>
        </w:rPr>
        <w:t xml:space="preserve"> a partir de dicionários Python embutidos no script, um por tabela do relatório ANSUR</w:t>
      </w:r>
    </w:p>
    <w:p>
      <w:pPr>
        <w:pStyle w:val="ListBullet"/>
        <w:rPr/>
      </w:pPr>
      <w:r>
        <w:rPr/>
        <w:t xml:space="preserve">- </w:t>
      </w:r>
      <w:r>
        <w:rPr>
          <w:rFonts w:ascii="Consolas" w:hAnsi="Consolas"/>
          <w:sz w:val="20"/>
        </w:rPr>
        <w:t>generate</w:t>
      </w:r>
      <w:r>
        <w:rPr>
          <w:i/>
        </w:rPr>
        <w:t>multi</w:t>
      </w:r>
      <w:r>
        <w:rPr/>
        <w:t>population</w:t>
      </w:r>
      <w:r>
        <w:rPr>
          <w:i/>
        </w:rPr>
        <w:t>hand</w:t>
      </w:r>
      <w:r>
        <w:rPr/>
        <w:t>csv.py</w:t>
      </w:r>
      <w:r>
        <w:rPr>
          <w:rFonts w:ascii="Consolas" w:hAnsi="Consolas"/>
          <w:sz w:val="20"/>
        </w:rPr>
        <w:t xml:space="preserve"> — gera </w:t>
      </w:r>
      <w:r>
        <w:rPr/>
        <w:t>multi</w:t>
      </w:r>
      <w:r>
        <w:rPr>
          <w:i/>
        </w:rPr>
        <w:t>population</w:t>
      </w:r>
      <w:r>
        <w:rPr/>
        <w:t>hand.csv</w:t>
      </w:r>
      <w:r>
        <w:rPr>
          <w:rFonts w:ascii="Consolas" w:hAnsi="Consolas"/>
          <w:sz w:val="20"/>
        </w:rPr>
        <w:t xml:space="preserve"> a partir de dez secções numeradas, cada uma correspondente a um estudo ou conjunto de datasets</w:t>
      </w:r>
    </w:p>
    <w:p>
      <w:pPr>
        <w:pStyle w:val="Normal"/>
        <w:rPr/>
      </w:pPr>
      <w:r>
        <w:rPr/>
        <w:t>A escolha de embeber os dados diretamente no código (em vez de, por exemplo, folhas de cálculo intermédias) serve três propósitos: (1) rastreabilidade — cada valor está imediatamente adjacente à sua citação e nota de método; (2) reprodutibilidade — executar o script regenera o CSV de forma determinista; (3) controlo de versão — alterações aos dados são visíveis em diff de git, com o contexto de que estudo foi modificado.</w:t>
      </w:r>
    </w:p>
    <w:p>
      <w:pPr>
        <w:pStyle w:val="Normal"/>
        <w:rPr/>
      </w:pPr>
      <w:r>
        <w:rP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rPr/>
        <w:t>value</w:t>
      </w:r>
      <w:r>
        <w:rPr>
          <w:i/>
        </w:rPr>
        <w:t>cm</w:t>
      </w:r>
      <w:r>
        <w:rPr>
          <w:rFonts w:ascii="Consolas" w:hAnsi="Consolas"/>
          <w:sz w:val="20"/>
        </w:rPr>
        <w:t xml:space="preserve">, e valida que nenhuma linha é emitida sem pelo menos uma das colunas </w:t>
      </w:r>
      <w:r>
        <w:rPr/>
        <w:t>value</w:t>
      </w:r>
      <w:r>
        <w:rPr>
          <w:i/>
        </w:rPr>
        <w:t>mm</w:t>
      </w:r>
      <w:r>
        <w:rPr>
          <w:rFonts w:ascii="Consolas" w:hAnsi="Consolas"/>
          <w:sz w:val="20"/>
        </w:rPr>
        <w:t xml:space="preserve"> ou </w:t>
      </w:r>
      <w:r>
        <w:rPr/>
        <w:t>value</w:t>
      </w:r>
      <w:r>
        <w:rPr>
          <w:i/>
        </w:rPr>
        <w:t>cm</w:t>
      </w:r>
      <w:r>
        <w:rPr>
          <w:rFonts w:ascii="Consolas" w:hAnsi="Consolas"/>
          <w:sz w:val="20"/>
        </w:rPr>
        <w:t xml:space="preserve"> preenchida.</w:t>
      </w:r>
    </w:p>
    <w:p>
      <w:pPr>
        <w:pStyle w:val="Heading3"/>
        <w:rPr/>
      </w:pPr>
      <w:r>
        <w:rPr/>
      </w:r>
    </w:p>
    <w:p>
      <w:pPr>
        <w:pStyle w:val="Heading3"/>
        <w:rPr/>
      </w:pPr>
      <w:r>
        <w:rPr/>
        <w:t>A.9 Resultado Final</w:t>
      </w:r>
    </w:p>
    <w:tbl>
      <w:tblPr>
        <w:tblW w:w="5000" w:type="pct"/>
        <w:jc w:val="left"/>
        <w:tblInd w:w="108" w:type="dxa"/>
        <w:tblLayout w:type="fixed"/>
        <w:tblCellMar>
          <w:top w:w="0" w:type="dxa"/>
          <w:left w:w="108" w:type="dxa"/>
          <w:bottom w:w="0" w:type="dxa"/>
          <w:right w:w="108" w:type="dxa"/>
        </w:tblCellMar>
      </w:tblPr>
      <w:tblGrid>
        <w:gridCol w:w="1805"/>
        <w:gridCol w:w="1805"/>
        <w:gridCol w:w="1803"/>
        <w:gridCol w:w="1805"/>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Linhas (dados)</w:t>
            </w:r>
          </w:p>
        </w:tc>
        <w:tc>
          <w:tcPr>
            <w:tcW w:w="1803" w:type="dxa"/>
            <w:tcBorders>
              <w:top w:val="single" w:sz="4" w:space="0" w:color="808080"/>
              <w:left w:val="single" w:sz="4" w:space="0" w:color="808080"/>
              <w:bottom w:val="single" w:sz="4" w:space="0" w:color="808080"/>
              <w:right w:val="single" w:sz="4" w:space="0" w:color="808080"/>
            </w:tcBorders>
          </w:tcPr>
          <w:p>
            <w:pPr>
              <w:pStyle w:val="Normal"/>
              <w:rPr/>
            </w:pPr>
            <w:r>
              <w:rPr/>
              <w:t>Países</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2.726</w:t>
            </w:r>
          </w:p>
        </w:tc>
        <w:tc>
          <w:tcPr>
            <w:tcW w:w="1803"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696</w:t>
            </w:r>
          </w:p>
        </w:tc>
        <w:tc>
          <w:tcPr>
            <w:tcW w:w="1803"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multi</w:t>
            </w:r>
            <w:r>
              <w:rPr>
                <w:i/>
              </w:rPr>
              <w:t>population</w:t>
            </w:r>
            <w:r>
              <w:rPr/>
              <w:t>hand.csv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1.790</w:t>
            </w:r>
          </w:p>
        </w:tc>
        <w:tc>
          <w:tcPr>
            <w:tcW w:w="1803" w:type="dxa"/>
            <w:tcBorders>
              <w:top w:val="single" w:sz="4" w:space="0" w:color="808080"/>
              <w:left w:val="single" w:sz="4" w:space="0" w:color="808080"/>
              <w:bottom w:val="single" w:sz="4" w:space="0" w:color="808080"/>
              <w:right w:val="single" w:sz="4" w:space="0" w:color="808080"/>
            </w:tcBorders>
          </w:tcPr>
          <w:p>
            <w:pPr>
              <w:pStyle w:val="Normal"/>
              <w:rPr/>
            </w:pPr>
            <w:r>
              <w:rPr/>
              <w:t>9</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~85</w:t>
            </w:r>
          </w:p>
        </w:tc>
      </w:tr>
    </w:tbl>
    <w:p>
      <w:pPr>
        <w:pStyle w:val="Normal"/>
        <w:rPr/>
      </w:pPr>
      <w:r>
        <w:rPr/>
      </w:r>
    </w:p>
    <w:p>
      <w:pPr>
        <w:pStyle w:val="Normal"/>
        <w:rPr/>
      </w:pPr>
      <w:r>
        <w:rPr/>
        <w:t xml:space="preserve">O ficheiro </w:t>
      </w:r>
      <w:r>
        <w:rPr>
          <w:rFonts w:ascii="Consolas" w:hAnsi="Consolas"/>
          <w:sz w:val="20"/>
        </w:rPr>
        <w:t>multi</w:t>
      </w:r>
      <w:r>
        <w:rPr>
          <w:i/>
        </w:rPr>
        <w:t>population</w:t>
      </w:r>
      <w:r>
        <w:rP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rPr/>
      </w:pPr>
      <w:r>
        <w:rPr/>
      </w:r>
    </w:p>
    <w:p>
      <w:pPr>
        <w:pStyle w:val="Heading3"/>
        <w:rPr/>
      </w:pPr>
      <w:r>
        <w:rPr/>
        <w:t>A.10 Cobertura Global da Base de Dados e Lacunas</w:t>
      </w:r>
    </w:p>
    <w:p>
      <w:pPr>
        <w:pStyle w:val="Heading3"/>
        <w:rPr/>
      </w:pPr>
      <w:r>
        <w:rPr/>
      </w:r>
    </w:p>
    <w:p>
      <w:pPr>
        <w:pStyle w:val="Heading3"/>
        <w:rPr/>
      </w:pPr>
      <w:r>
        <w:rPr/>
        <w:t>A.10.1 O que está coberto</w:t>
      </w:r>
    </w:p>
    <w:p>
      <w:pPr>
        <w:pStyle w:val="Normal"/>
        <w:rPr/>
      </w:pPr>
      <w:r>
        <w:rPr/>
      </w:r>
    </w:p>
    <w:p>
      <w:pPr>
        <w:pStyle w:val="Normal"/>
        <w:rPr/>
      </w:pPr>
      <w:r>
        <w:rPr/>
        <w:t xml:space="preserve">A base de dados </w:t>
      </w:r>
      <w:r>
        <w:rPr>
          <w:rFonts w:ascii="Consolas" w:hAnsi="Consolas"/>
          <w:sz w:val="20"/>
        </w:rPr>
        <w:t>multi</w:t>
      </w:r>
      <w:r>
        <w:rPr>
          <w:i/>
        </w:rPr>
        <w:t>population</w:t>
      </w:r>
      <w:r>
        <w:rPr/>
        <w:t>hand.csv</w:t>
      </w:r>
      <w:r>
        <w:rPr>
          <w:rFonts w:ascii="Consolas" w:hAnsi="Consolas"/>
          <w:sz w:val="20"/>
        </w:rPr>
        <w:t xml:space="preserve"> foi construída com o objetivo de representar a variabilidade antropométrica da mão humana em múltiplas dimensões: geográfica, demográfica, etária e estatística. A tabela seguinte sintetiza a cobertura atual.</w:t>
      </w:r>
    </w:p>
    <w:p>
      <w:pPr>
        <w:pStyle w:val="Heading3"/>
        <w:rPr/>
      </w:pPr>
      <w:r>
        <w:rPr/>
      </w:r>
    </w:p>
    <w:p>
      <w:pPr>
        <w:pStyle w:val="Heading3"/>
        <w:rPr/>
      </w:pPr>
      <w:r>
        <w:rPr/>
        <w:t>A.10.1.1 Cobertura geográfica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África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Índia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w:t>
            </w:r>
          </w:p>
        </w:tc>
      </w:tr>
    </w:tbl>
    <w:p>
      <w:pPr>
        <w:pStyle w:val="Normal"/>
        <w:rPr/>
      </w:pPr>
      <w:r>
        <w:rPr/>
      </w:r>
    </w:p>
    <w:p>
      <w:pPr>
        <w:pStyle w:val="Normal"/>
        <w:rPr/>
      </w:pPr>
      <w:r>
        <w:rPr/>
        <w:t>Nove países estão representados, distribuídos por sete regiões do mundo. A cobertura é particularmente densa nos EUA (três fontes independentes) e nos Países Baixos (três sub-datasets DINED).</w:t>
      </w:r>
    </w:p>
    <w:p>
      <w:pPr>
        <w:pStyle w:val="Heading3"/>
        <w:rPr/>
      </w:pPr>
      <w:r>
        <w:rPr/>
      </w:r>
    </w:p>
    <w:p>
      <w:pPr>
        <w:pStyle w:val="Heading3"/>
        <w:rPr/>
      </w:pPr>
      <w:r>
        <w:rPr/>
        <w:t>A.10.1.2 Cobertura etária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2–12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15–19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18–30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17–58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15–59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19–30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20–40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20–60+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50–80+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65–85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bl>
    <w:p>
      <w:pPr>
        <w:pStyle w:val="Normal"/>
        <w:rPr/>
      </w:pPr>
      <w:r>
        <w:rPr/>
      </w:r>
    </w:p>
    <w:p>
      <w:pPr>
        <w:pStyle w:val="Normal"/>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rPr/>
      </w:pPr>
      <w:r>
        <w:rPr/>
      </w:r>
    </w:p>
    <w:p>
      <w:pPr>
        <w:pStyle w:val="Heading3"/>
        <w:rPr/>
      </w:pPr>
      <w:r>
        <w:rPr/>
        <w:t>A.10.1.3 Cobertura estatística</w:t>
      </w:r>
    </w:p>
    <w:p>
      <w:pPr>
        <w:pStyle w:val="Normal"/>
        <w:rPr/>
      </w:pPr>
      <w:r>
        <w:rPr/>
      </w:r>
    </w:p>
    <w:p>
      <w:pPr>
        <w:pStyle w:val="Normal"/>
        <w:rPr/>
      </w:pPr>
      <w:r>
        <w:rPr/>
        <w:t>A profundidade estatística varia consideravelmente entre fontes: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Mistarihi (2020) — largura da mão; Lim et al. (2018)</w:t>
            </w:r>
          </w:p>
        </w:tc>
      </w:tr>
    </w:tbl>
    <w:p>
      <w:pPr>
        <w:pStyle w:val="Normal"/>
        <w:rPr/>
      </w:pPr>
      <w:r>
        <w:rPr/>
      </w:r>
    </w:p>
    <w:p>
      <w:pPr>
        <w:pStyle w:val="Normal"/>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rPr/>
      </w:pPr>
      <w:r>
        <w:rPr/>
      </w:r>
    </w:p>
    <w:p>
      <w:pPr>
        <w:pStyle w:val="Heading3"/>
        <w:rPr/>
      </w:pPr>
      <w:r>
        <w:rPr/>
        <w:t>A.10.2 Onde a cobertura falha</w:t>
      </w:r>
    </w:p>
    <w:p>
      <w:pPr>
        <w:pStyle w:val="Heading3"/>
        <w:rPr/>
      </w:pPr>
      <w:r>
        <w:rPr/>
      </w:r>
    </w:p>
    <w:p>
      <w:pPr>
        <w:pStyle w:val="Heading3"/>
        <w:rPr/>
      </w:pPr>
      <w:r>
        <w:rPr/>
        <w:t>A.10.2.1 Lacunas geográficas</w:t>
      </w:r>
    </w:p>
    <w:p>
      <w:pPr>
        <w:pStyle w:val="Heading3"/>
        <w:rPr/>
      </w:pPr>
      <w:r>
        <w:rPr/>
      </w:r>
    </w:p>
    <w:p>
      <w:pPr>
        <w:pStyle w:val="Normal"/>
        <w:rPr/>
      </w:pPr>
      <w:r>
        <w:rPr/>
        <w:t>As regiões mais populosas do mundo estão sub-representadas ou ausentes:</w:t>
      </w:r>
    </w:p>
    <w:p>
      <w:pPr>
        <w:pStyle w:val="ListBullet"/>
        <w:rPr/>
      </w:pPr>
      <w:r>
        <w:rPr/>
        <w:t xml:space="preserve">- </w:t>
      </w:r>
      <w:r>
        <w:rPr>
          <w:b/>
        </w:rPr>
        <w:t>Ásia Oriental</w:t>
      </w:r>
      <w:r>
        <w:rP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rPr/>
      </w:pPr>
      <w:r>
        <w:rPr/>
        <w:t xml:space="preserve">- </w:t>
      </w:r>
      <w:r>
        <w:rPr>
          <w:b/>
        </w:rPr>
        <w:t>Ásia do Sudeste</w:t>
      </w:r>
      <w:r>
        <w:rP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rPr/>
      </w:pPr>
      <w:r>
        <w:rPr/>
        <w:t xml:space="preserve">- </w:t>
      </w:r>
      <w:r>
        <w:rPr>
          <w:b/>
        </w:rPr>
        <w:t>África Subsaariana</w:t>
      </w:r>
      <w:r>
        <w:rP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rPr/>
      </w:pPr>
      <w:r>
        <w:rPr/>
        <w:t xml:space="preserve">- </w:t>
      </w:r>
      <w:r>
        <w:rPr>
          <w:b/>
        </w:rPr>
        <w:t>América do Sul</w:t>
      </w:r>
      <w:r>
        <w:rPr/>
        <w:t xml:space="preserve"> — Completamente ausente. Brasil, Colômbia e Argentina têm literatura ergonómica publicada mas não foram identificadas fontes acessíveis com dados de mão codificáveis.</w:t>
      </w:r>
    </w:p>
    <w:p>
      <w:pPr>
        <w:pStyle w:val="ListBullet"/>
        <w:rPr/>
      </w:pPr>
      <w:r>
        <w:rPr/>
        <w:t xml:space="preserve">- </w:t>
      </w:r>
      <w:r>
        <w:rPr>
          <w:b/>
        </w:rPr>
        <w:t>Europa Central e de Leste</w:t>
      </w:r>
      <w:r>
        <w:rPr/>
        <w:t xml:space="preserve"> — Ausente. Os Países Baixos e Portugal representam a Europa, mas há variabilidade antropométrica documentada entre populações do norte, sul e leste do continente.</w:t>
      </w:r>
    </w:p>
    <w:p>
      <w:pPr>
        <w:pStyle w:val="Heading3"/>
        <w:rPr/>
      </w:pPr>
      <w:r>
        <w:rPr/>
      </w:r>
    </w:p>
    <w:p>
      <w:pPr>
        <w:pStyle w:val="Heading3"/>
        <w:rPr/>
      </w:pPr>
      <w:r>
        <w:rPr/>
        <w:t>A.10.2.2 Lacunas demográficas</w:t>
      </w:r>
    </w:p>
    <w:p>
      <w:pPr>
        <w:pStyle w:val="Heading3"/>
        <w:rPr/>
      </w:pPr>
      <w:r>
        <w:rPr/>
      </w:r>
    </w:p>
    <w:p>
      <w:pPr>
        <w:pStyle w:val="ListBullet"/>
        <w:rPr/>
      </w:pPr>
      <w:r>
        <w:rPr/>
        <w:t xml:space="preserve">- </w:t>
      </w:r>
      <w:r>
        <w:rPr>
          <w:b/>
        </w:rPr>
        <w:t>Adolescentes (13–17 anos)</w:t>
      </w:r>
      <w:r>
        <w:rPr/>
        <w:t xml:space="preserve"> — a transição da mão infantil para a adulta não está coberta por nenhum estudo dedicado. O kima1993 chega aos 12 anos e o ANSUR começa aos 17.</w:t>
      </w:r>
    </w:p>
    <w:p>
      <w:pPr>
        <w:pStyle w:val="ListBullet"/>
        <w:rPr/>
      </w:pPr>
      <w:r>
        <w:rPr/>
        <w:t xml:space="preserve">- </w:t>
      </w:r>
      <w:r>
        <w:rPr>
          <w:b/>
        </w:rPr>
        <w:t>Amputados</w:t>
      </w:r>
      <w:r>
        <w:rP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rPr/>
      </w:pPr>
      <w:r>
        <w:rPr/>
        <w:t xml:space="preserve">- </w:t>
      </w:r>
      <w:r>
        <w:rPr>
          <w:b/>
        </w:rPr>
        <w:t>Pessoas com deficiência física</w:t>
      </w:r>
      <w:r>
        <w:rPr/>
        <w:t xml:space="preserve"> — apenas o estudo de Mistarihi (2020) cobre esta população (n=40, sexos combinados, Jordânia). A dimensão amostral é insuficiente para ser estatisticamente representativa.</w:t>
      </w:r>
    </w:p>
    <w:p>
      <w:pPr>
        <w:pStyle w:val="ListBullet"/>
        <w:rPr/>
      </w:pPr>
      <w:r>
        <w:rPr/>
        <w:t xml:space="preserve">- </w:t>
      </w:r>
      <w:r>
        <w:rPr>
          <w:b/>
        </w:rPr>
        <w:t>Idosos fora da Europa e China</w:t>
      </w:r>
      <w:r>
        <w:rP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rPr/>
      </w:pPr>
      <w:r>
        <w:rPr/>
      </w:r>
    </w:p>
    <w:p>
      <w:pPr>
        <w:pStyle w:val="Heading3"/>
        <w:rPr/>
      </w:pPr>
      <w:r>
        <w:rPr/>
        <w:t>A.10.2.3 Limitações qualitativas dos dados existentes</w:t>
      </w:r>
    </w:p>
    <w:p>
      <w:pPr>
        <w:pStyle w:val="Normal"/>
        <w:rPr/>
      </w:pPr>
      <w:r>
        <w:rPr/>
      </w:r>
    </w:p>
    <w:p>
      <w:pPr>
        <w:pStyle w:val="Normal"/>
        <w:rPr/>
      </w:pPr>
      <w:r>
        <w:rPr/>
        <w:t>Para além das lacunas por ausência, existem limitações nos dados já presentes:</w:t>
      </w:r>
    </w:p>
    <w:p>
      <w:pPr>
        <w:pStyle w:val="ListBullet"/>
        <w:rPr/>
      </w:pPr>
      <w:r>
        <w:rPr/>
        <w:t xml:space="preserve">- </w:t>
      </w:r>
      <w:r>
        <w:rPr>
          <w:b/>
        </w:rPr>
        <w:t>Heterogeneidade de protocolos</w:t>
      </w:r>
      <w:r>
        <w:rP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rPr/>
      </w:pPr>
      <w:r>
        <w:rPr/>
        <w:t xml:space="preserve">- </w:t>
      </w:r>
      <w:r>
        <w:rPr>
          <w:b/>
        </w:rPr>
        <w:t>Amostras de conveniência</w:t>
      </w:r>
      <w:r>
        <w:rP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rPr/>
      </w:pPr>
      <w:r>
        <w:rPr/>
        <w:t xml:space="preserve">- </w:t>
      </w:r>
      <w:r>
        <w:rPr>
          <w:b/>
        </w:rPr>
        <w:t>Desequilíbrio de dimensões</w:t>
      </w:r>
      <w:r>
        <w:rP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rPr/>
      </w:pPr>
      <w:r>
        <w:rPr/>
        <w:t xml:space="preserve">- </w:t>
      </w:r>
      <w:r>
        <w:rPr>
          <w:b/>
        </w:rPr>
        <w:t>Mão medida</w:t>
      </w:r>
      <w:r>
        <w:rP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rPr/>
      </w:pPr>
      <w:r>
        <w:rPr/>
      </w:r>
    </w:p>
    <w:p>
      <w:pPr>
        <w:pStyle w:val="Heading3"/>
        <w:rPr/>
      </w:pPr>
      <w:r>
        <w:rPr/>
        <w:t>A.10.3 Frentes identificadas para expansão futura</w:t>
      </w:r>
    </w:p>
    <w:p>
      <w:pPr>
        <w:pStyle w:val="Normal"/>
        <w:rPr/>
      </w:pPr>
      <w:r>
        <w:rPr/>
      </w:r>
    </w:p>
    <w:p>
      <w:pPr>
        <w:pStyle w:val="Normal"/>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rPr/>
      </w:pPr>
      <w:r>
        <w:rPr/>
      </w:r>
    </w:p>
    <w:p>
      <w:pPr>
        <w:pStyle w:val="Heading3"/>
        <w:rPr/>
      </w:pPr>
      <w:r>
        <w:rPr/>
        <w:t>A.10.3.1 Prioridade alta</w:t>
      </w:r>
    </w:p>
    <w:p>
      <w:pPr>
        <w:pStyle w:val="ListBullet"/>
        <w:rPr/>
      </w:pPr>
      <w:r>
        <w:rPr/>
        <w:t>- Dados pediátricos e adolescentes da Ásia Oriental, capazes de preencher a lacuna entre os 13 e os 17 anos e de reduzir a dependência de fontes neerlandesas para perfis infantis.</w:t>
      </w:r>
    </w:p>
    <w:p>
      <w:pPr>
        <w:pStyle w:val="ListBullet"/>
        <w:rPr/>
      </w:pPr>
      <w:r>
        <w:rPr/>
        <w:t>- Dados industriais ou ergonómicos do Médio Oriente com maior dimensão amostral e separação por sexo, de modo a complementar a fonte jordana já incluída.</w:t>
      </w:r>
    </w:p>
    <w:p>
      <w:pPr>
        <w:pStyle w:val="ListBullet"/>
        <w:rPr/>
      </w:pPr>
      <w:r>
        <w:rPr/>
        <w:t>- Bases públicas nacionais com dados de mão para populações asiáticas, quando disponibilizarem metadados claros e condições de reutilização compatíveis com investigação académica.</w:t>
      </w:r>
    </w:p>
    <w:p>
      <w:pPr>
        <w:pStyle w:val="Heading3"/>
        <w:rPr/>
      </w:pPr>
      <w:r>
        <w:rPr/>
      </w:r>
    </w:p>
    <w:p>
      <w:pPr>
        <w:pStyle w:val="Heading3"/>
        <w:rPr/>
      </w:pPr>
      <w:r>
        <w:rPr/>
        <w:t>A.10.3.2 Prioridade média</w:t>
      </w:r>
    </w:p>
    <w:p>
      <w:pPr>
        <w:pStyle w:val="ListBullet"/>
        <w:rPr/>
      </w:pPr>
      <w:r>
        <w:rPr/>
        <w:t>- Relatórios técnicos com medições granulares da mão, incluindo comprimentos por falange, profundidades articulares e ângulos de preensão.</w:t>
      </w:r>
    </w:p>
    <w:p>
      <w:pPr>
        <w:pStyle w:val="ListBullet"/>
        <w:rPr/>
      </w:pPr>
      <w:r>
        <w:rPr/>
        <w:t>- Estudos baseados em digitalização 3D com amostras adultas amplas, desde que disponibilizem estatísticas por dimensão e não apenas exemplos individuais.</w:t>
      </w:r>
    </w:p>
    <w:p>
      <w:pPr>
        <w:pStyle w:val="Heading3"/>
        <w:rPr/>
      </w:pPr>
      <w:r>
        <w:rPr/>
      </w:r>
    </w:p>
    <w:p>
      <w:pPr>
        <w:pStyle w:val="Heading3"/>
        <w:rPr/>
      </w:pPr>
      <w:r>
        <w:rPr/>
        <w:t>A.10.3.3 Pertinência direta para o tema da tese</w:t>
      </w:r>
    </w:p>
    <w:p>
      <w:pPr>
        <w:pStyle w:val="Normal"/>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false"/>
        <w:bidi w:val="0"/>
        <w:rPr/>
      </w:pPr>
      <w:r>
        <w:annotationRef/>
      </w:r>
      <w:r>
        <w:rPr>
          <w:lang w:val="pt-PT"/>
        </w:rPr>
        <w:t xml:space="preserve"> material/prosthetics-design/A review of technology, materials and R&amp;D challenges of upper limb prosthesis for improved user suitability.pdf</w:t>
      </w:r>
    </w:p>
    <w:p>
      <w:pPr>
        <w:overflowPunct w:val="false"/>
        <w:bidi w:val="0"/>
        <w:rPr/>
      </w:pPr>
      <w:r>
        <w:rPr>
          <w:lang w:val="pt-PT"/>
        </w:rPr>
      </w:r>
    </w:p>
    <w:p>
      <w:pPr>
        <w:overflowPunct w:val="false"/>
        <w:bidi w:val="0"/>
        <w:rPr/>
      </w:pPr>
      <w:r>
        <w:rPr>
          <w:lang w:val="pt-PT"/>
        </w:rPr>
        <w:t xml:space="preserve">  Ela sustenta a classificação assim: Brack e Amalu classificam a tecnologia de próteses de membro superior em próteses passivas, ativas e híbridas; depois</w:t>
      </w:r>
    </w:p>
    <w:p>
      <w:pPr>
        <w:overflowPunct w:val="false"/>
        <w:bidi w:val="0"/>
        <w:rPr/>
      </w:pPr>
      <w:r>
        <w:rPr>
          <w:lang w:val="pt-PT"/>
        </w:rPr>
        <w:t xml:space="preserve">  subdividem as ativas em acionadas pelo corpo e mioelétricas. Também definem as híbridas como combinação de componentes acionados pelo corpo e mioelétricos.</w:t>
      </w:r>
    </w:p>
    <w:p>
      <w:pPr>
        <w:overflowPunct w:val="false"/>
        <w:bidi w:val="0"/>
        <w:rPr/>
      </w:pPr>
      <w:r>
        <w:rPr>
          <w:lang w:val="pt-PT"/>
        </w:rPr>
      </w:r>
    </w:p>
    <w:p>
      <w:pPr>
        <w:overflowPunct w:val="false"/>
        <w:bidi w:val="0"/>
        <w:rPr/>
      </w:pPr>
      <w:r>
        <w:rPr>
          <w:lang w:val="pt-PT"/>
        </w:rPr>
        <w:t xml:space="preserve">  Posso citar a frase como:</w:t>
      </w:r>
    </w:p>
    <w:p>
      <w:pPr>
        <w:overflowPunct w:val="false"/>
        <w:bidi w:val="0"/>
        <w:rPr/>
      </w:pPr>
      <w:r>
        <w:rPr>
          <w:lang w:val="pt-PT"/>
        </w:rPr>
      </w:r>
    </w:p>
    <w:p>
      <w:pPr>
        <w:overflowPunct w:val="false"/>
        <w:bidi w:val="0"/>
        <w:rPr/>
      </w:pPr>
      <w:r>
        <w:rPr>
          <w:lang w:val="pt-PT"/>
        </w:rPr>
        <w:t xml:space="preserve">  &gt; As próteses de membro superior podem ser classificadas de acordo com a fonte de energia e o mecanismo de controlo, distinguindo-se próteses passivas, acionadas</w:t>
      </w:r>
    </w:p>
    <w:p>
      <w:pPr>
        <w:overflowPunct w:val="false"/>
        <w:bidi w:val="0"/>
        <w:rPr/>
      </w:pPr>
      <w:r>
        <w:rPr>
          <w:lang w:val="pt-PT"/>
        </w:rPr>
        <w:t xml:space="preserve">  &gt; pelo corpo, mioelétricas e híbridas (Brack &amp; Amalu, 2021).</w:t>
      </w:r>
    </w:p>
    <w:p>
      <w:pPr>
        <w:overflowPunct w:val="false"/>
        <w:bidi w:val="0"/>
        <w:rPr/>
      </w:pPr>
      <w:r>
        <w:rPr>
          <w:lang w:val="pt-PT"/>
        </w:rPr>
      </w:r>
    </w:p>
    <w:p>
      <w:pPr>
        <w:overflowPunct w:val="false"/>
        <w:bidi w:val="0"/>
        <w:rPr/>
      </w:pPr>
      <w:r>
        <w:rPr>
          <w:lang w:val="pt-PT"/>
        </w:rPr>
        <w:t xml:space="preserve">  Entrada APA 7:</w:t>
      </w:r>
    </w:p>
    <w:p>
      <w:pPr>
        <w:overflowPunct w:val="false"/>
        <w:bidi w:val="0"/>
        <w:rPr/>
      </w:pPr>
      <w:r>
        <w:rPr>
          <w:lang w:val="pt-PT"/>
        </w:rPr>
      </w:r>
    </w:p>
    <w:p>
      <w:pPr>
        <w:overflowPunct w:val="false"/>
        <w:bidi w:val="0"/>
        <w:rPr/>
      </w:pPr>
      <w:r>
        <w:rPr>
          <w:lang w:val="pt-PT"/>
        </w:rPr>
        <w:t xml:space="preserve">  Brack, R., &amp; Amalu, E. H. (2021). A review of technology, materials and R&amp;D challenges of upper limb prosthesis for improved user suitability. Journal of</w:t>
      </w:r>
    </w:p>
    <w:p>
      <w:pPr>
        <w:overflowPunct w:val="false"/>
        <w:bidi w:val="0"/>
        <w:rPr/>
      </w:pPr>
      <w:r>
        <w:rPr>
          <w:lang w:val="pt-PT"/>
        </w:rPr>
        <w:t xml:space="preserve">  Orthopaedics, 23, 88–96. https://doi.org/10.1016/j.jor.2020.12.009</w:t>
      </w:r>
    </w:p>
    <w:p>
      <w:pPr>
        <w:overflowPunct w:val="false"/>
        <w:bidi w:val="0"/>
        <w:rPr/>
      </w:pPr>
      <w:r>
        <w:rPr>
          <w:lang w:val="pt-PT"/>
        </w:rPr>
      </w:r>
    </w:p>
  </w:comment>
  <w:comment w:id="1" w:author="Unknown Author" w:date="2026-06-30T20:08:54Z" w:initials="">
    <w:p>
      <w:pPr>
        <w:overflowPunct w:val="false"/>
        <w:bidi w:val="0"/>
        <w:rPr/>
      </w:pPr>
      <w:r>
        <w:annotationRef/>
      </w:r>
      <w:r>
        <w:rPr>
          <w:lang w:val="pt-PT"/>
        </w:rPr>
        <w:t>Meter a norma na bibliografia</w:t>
      </w:r>
    </w:p>
  </w:comment>
  <w:comment w:id="2" w:author="Unknown Author" w:date="2026-06-30T20:17:49Z" w:initials="">
    <w:p>
      <w:pPr>
        <w:overflowPunct w:val="false"/>
        <w:bidi w:val="0"/>
        <w:rPr/>
      </w:pPr>
      <w:r>
        <w:annotationRef/>
      </w:r>
      <w:r>
        <w:rPr>
          <w:lang w:val="pt-PT"/>
        </w:rPr>
        <w:t>Quem diz?</w:t>
      </w:r>
    </w:p>
    <w:p>
      <w:pPr>
        <w:overflowPunct w:val="false"/>
        <w:bidi w:val="0"/>
        <w:rPr/>
      </w:pPr>
      <w:r>
        <w:rPr>
          <w:lang w:val="pt-PT"/>
        </w:rPr>
      </w:r>
    </w:p>
    <w:p>
      <w:pPr>
        <w:overflowPunct w:val="false"/>
        <w:bidi w:val="0"/>
        <w:rPr/>
      </w:pPr>
      <w:r>
        <w:rPr>
          <w:lang w:val="pt-PT"/>
        </w:rPr>
        <w:t xml:space="preserve"> Privitera, M. (2017). Designing industrial design in the highly regulated medical device development process: Defining our valuable contribution towards</w:t>
      </w:r>
    </w:p>
    <w:p>
      <w:pPr>
        <w:overflowPunct w:val="false"/>
        <w:bidi w:val="0"/>
        <w:rPr/>
      </w:pPr>
      <w:r>
        <w:rPr>
          <w:lang w:val="pt-PT"/>
        </w:rPr>
        <w:t xml:space="preserve">  usability. The Design Journal, 20(sup1), S2190–S2206. https://doi.org/10.1080/14606925.2017.1352735</w:t>
      </w:r>
    </w:p>
    <w:p>
      <w:pPr>
        <w:overflowPunct w:val="false"/>
        <w:bidi w:val="0"/>
        <w:rPr/>
      </w:pPr>
      <w:r>
        <w:rPr>
          <w:lang w:val="pt-PT"/>
        </w:rPr>
      </w:r>
    </w:p>
    <w:p>
      <w:pPr>
        <w:overflowPunct w:val="false"/>
        <w:bidi w:val="0"/>
        <w:rPr/>
      </w:pPr>
      <w:r>
        <w:rPr>
          <w:lang w:val="pt-PT"/>
        </w:rPr>
        <w:t xml:space="preserve">  Oldfrey, B. M., et al. (2024). A scoping review of digital fabrication techniques applied to prosthetics and orthotics: Part 1 of 2: Prosthetics. Prosthetics and</w:t>
      </w:r>
    </w:p>
    <w:p>
      <w:pPr>
        <w:overflowPunct w:val="false"/>
        <w:bidi w:val="0"/>
        <w:rPr/>
      </w:pPr>
      <w:r>
        <w:rPr>
          <w:lang w:val="pt-PT"/>
        </w:rPr>
        <w:t xml:space="preserve">  Orthotics International, 48, 574–589. https://doi.org/10.1097/PXR.0000000000000351</w:t>
      </w:r>
    </w:p>
    <w:p>
      <w:pPr>
        <w:overflowPunct w:val="false"/>
        <w:bidi w:val="0"/>
        <w:rPr/>
      </w:pPr>
      <w:r>
        <w:rPr>
          <w:lang w:val="pt-PT"/>
        </w:rPr>
      </w:r>
    </w:p>
    <w:p>
      <w:pPr>
        <w:overflowPunct w:val="false"/>
        <w:bidi w:val="0"/>
        <w:rPr/>
      </w:pPr>
      <w:r>
        <w:rPr>
          <w:lang w:val="pt-PT"/>
        </w:rPr>
        <w:t xml:space="preserve">  Mc Guinness, E., Patel, D., Patrick, M., &amp; Austin, V. (2025). Outcomes of assistive technology use by sex and gender: A scoping review. Disability and</w:t>
      </w:r>
    </w:p>
    <w:p>
      <w:pPr>
        <w:overflowPunct w:val="false"/>
        <w:bidi w:val="0"/>
        <w:rPr/>
      </w:pPr>
      <w:r>
        <w:rPr>
          <w:lang w:val="pt-PT"/>
        </w:rPr>
        <w:t xml:space="preserve">  Rehabilitation: Assistive Technology, 20(8), 2666–2690. https://doi.org/10.1080/17483107.2025.2516615</w:t>
      </w:r>
    </w:p>
    <w:p>
      <w:pPr>
        <w:overflowPunct w:val="false"/>
        <w:bidi w:val="0"/>
        <w:rPr/>
      </w:pPr>
      <w:r>
        <w:rPr>
          <w:lang w:val="pt-PT"/>
        </w:rPr>
      </w:r>
    </w:p>
  </w:comment>
  <w:comment w:id="3" w:author="Unknown Author" w:date="2026-07-01T19:07:33Z" w:initials="">
    <w:p>
      <w:pPr>
        <w:overflowPunct w:val="true"/>
        <w:bidi w:val="0"/>
        <w:rPr/>
      </w:pPr>
      <w:r>
        <w:annotationRef/>
      </w:r>
      <w:r>
        <w:rPr>
          <w:lang w:val="pt-PT"/>
        </w:rPr>
        <w:t>Precisas de definir o meta design</w:t>
      </w:r>
    </w:p>
  </w:comment>
  <w:comment w:id="4" w:author="Unknown Author" w:date="2026-07-01T19:08:06Z" w:initials="">
    <w:p>
      <w:pPr>
        <w:overflowPunct w:val="true"/>
        <w:bidi w:val="0"/>
        <w:rPr/>
      </w:pPr>
      <w:r>
        <w:annotationRef/>
      </w:r>
      <w:r>
        <w:rPr>
          <w:lang w:val="pt-PT"/>
        </w:rPr>
        <w:t>Tens que desenvolver isto pare perceber seisto faz sentido de estar aqui ou se cortamos</w:t>
      </w:r>
    </w:p>
  </w:comment>
  <w:comment w:id="5" w:author="Unknown Author" w:date="2026-07-01T20:43:47Z" w:initials="">
    <w:p>
      <w:pPr>
        <w:overflowPunct w:val="true"/>
        <w:bidi w:val="0"/>
        <w:rPr/>
      </w:pPr>
      <w:r>
        <w:annotationRef/>
      </w:r>
      <w:r>
        <w:rPr>
          <w:lang w:val="pt-PT"/>
        </w:rPr>
        <w:t>É a primeira vez que estás a falar sobre isto. É preciso referir e explicar algures antes deste ponto o que é a Vitoria Hand Project e Já agora a E-Nabled</w:t>
      </w:r>
    </w:p>
    <w:p>
      <w:pPr>
        <w:overflowPunct w:val="true"/>
        <w:bidi w:val="0"/>
        <w:rPr/>
      </w:pPr>
      <w:r>
        <w:rPr>
          <w:lang w:val="pt-PT"/>
        </w:rPr>
      </w:r>
    </w:p>
    <w:p>
      <w:pPr>
        <w:overflowPunct w:val="true"/>
        <w:bidi w:val="0"/>
        <w:rPr/>
      </w:pPr>
      <w:r>
        <w:rPr>
          <w:lang w:val="pt-PT"/>
        </w:rPr>
        <w:t>Aqui temos que introduzir um screenshot do sistema do victoria hand no f3s</w:t>
      </w:r>
    </w:p>
  </w:comment>
  <w:comment w:id="6" w:author="Unknown Author" w:date="2026-07-02T17:25:21Z" w:initials="">
    <w:p>
      <w:pPr>
        <w:overflowPunct w:val="true"/>
        <w:bidi w:val="0"/>
        <w:rPr/>
      </w:pPr>
      <w:r>
        <w:annotationRef/>
      </w:r>
      <w:r>
        <w:rPr>
          <w:lang w:val="pt-PT"/>
        </w:rPr>
        <w:t>Podemos adicionar aquele gráfico todo bonito que fizeste antes.</w:t>
      </w:r>
    </w:p>
  </w:comment>
  <w:comment w:id="7" w:author="Unknown Author" w:date="2026-07-02T17:57:37Z" w:initials="">
    <w:p>
      <w:pPr>
        <w:overflowPunct w:val="true"/>
        <w:bidi w:val="0"/>
        <w:rPr/>
      </w:pPr>
      <w:r>
        <w:annotationRef/>
      </w:r>
      <w:r>
        <w:rPr>
          <w:lang w:val="pt-PT"/>
        </w:rPr>
        <w:t>Aqui é que podemos meter o nosso gráfico bonitolas</w:t>
      </w:r>
    </w:p>
  </w:comment>
  <w:comment w:id="8" w:author="Unknown Author" w:date="2026-07-02T18:05:03Z" w:initials="">
    <w:p>
      <w:pPr>
        <w:overflowPunct w:val="true"/>
        <w:bidi w:val="0"/>
        <w:rPr/>
      </w:pPr>
      <w:r>
        <w:annotationRef/>
      </w:r>
      <w:r>
        <w:rPr>
          <w:lang w:val="pt-PT"/>
        </w:rPr>
        <w:t>Falo disto? Acho que não faço em PLA e PETG</w:t>
      </w:r>
    </w:p>
  </w:comment>
  <w:comment w:id="9" w:author="Unknown Author" w:date="2026-07-03T19:16:18Z" w:initials="">
    <w:p>
      <w:pPr>
        <w:overflowPunct w:val="false"/>
        <w:rPr/>
      </w:pPr>
      <w:r>
        <w:annotationRef/>
      </w:r>
      <w:r>
        <w:rPr>
          <w:lang w:val="pt-PT"/>
        </w:rPr>
        <w:t>Isto é a primeira vez que estás a falar do Openscad</w:t>
      </w:r>
    </w:p>
  </w:comment>
  <w:comment w:id="10" w:author="Unknown Author" w:date="2026-07-03T19:16:31Z" w:initials="">
    <w:p>
      <w:pPr>
        <w:overflowPunct w:val="false"/>
        <w:rPr/>
      </w:pPr>
      <w:r>
        <w:annotationRef/>
      </w:r>
      <w:r>
        <w:rPr>
          <w:lang w:val="pt-PT"/>
        </w:rPr>
        <w:t>É preciso dizer o que é STL e 3MF</w:t>
      </w:r>
    </w:p>
  </w:comment>
  <w:comment w:id="11" w:author="Unknown Author" w:date="2026-07-03T13:45:05Z" w:initials="">
    <w:p>
      <w:pPr>
        <w:overflowPunct w:val="true"/>
        <w:bidi w:val="0"/>
        <w:rPr/>
      </w:pPr>
      <w:r>
        <w:annotationRef/>
      </w:r>
      <w:r>
        <w:rPr>
          <w:lang w:val="pt-PT"/>
        </w:rPr>
        <w:t>Estás a entrar em modo repetição outra vez.</w:t>
      </w:r>
    </w:p>
  </w:comment>
  <w:comment w:id="12" w:author="Unknown Author" w:date="2026-07-04T13:26:12Z" w:initials="">
    <w:p>
      <w:pPr>
        <w:overflowPunct w:val="false"/>
        <w:rPr/>
      </w:pPr>
      <w:r>
        <w:annotationRef/>
      </w:r>
      <w:r>
        <w:rPr>
          <w:lang w:val="pt-PT"/>
        </w:rPr>
        <w:t>Começas aqui a falar do modelo gerado mas é a primeira vez que abordas isso. Tens que contextualizar.</w:t>
      </w:r>
    </w:p>
  </w:comment>
  <w:comment w:id="13" w:author="Unknown Author" w:date="2026-07-04T13:27:11Z" w:initials="">
    <w:p>
      <w:pPr>
        <w:overflowPunct w:val="false"/>
        <w:rPr/>
      </w:pPr>
      <w:r>
        <w:annotationRef/>
      </w:r>
      <w:r>
        <w:rPr>
          <w:lang w:val="pt-PT"/>
        </w:rPr>
        <w:t>Meter aqui umas imagens!</w:t>
      </w:r>
    </w:p>
  </w:comment>
  <w:comment w:id="14" w:author="Unknown Author" w:date="2026-07-04T15:20:50Z" w:initials="">
    <w:p>
      <w:pPr>
        <w:overflowPunct w:val="false"/>
        <w:rPr/>
      </w:pPr>
      <w:r>
        <w:annotationRef/>
      </w:r>
      <w:r>
        <w:rPr>
          <w:lang w:val="pt-PT"/>
        </w:rPr>
        <w:t>Vamos meter aqui uma imagem</w:t>
      </w:r>
    </w:p>
  </w:comment>
  <w:comment w:id="15" w:author="Unknown Author" w:date="2026-07-04T18:35:39Z" w:initials="">
    <w:p>
      <w:pPr>
        <w:overflowPunct w:val="false"/>
        <w:rPr/>
      </w:pPr>
      <w:r>
        <w:annotationRef/>
      </w:r>
      <w:r>
        <w:rPr>
          <w:lang w:val="pt-PT"/>
        </w:rPr>
        <w:t>Não te esqueças de adicionar ao indice estas siglas.</w:t>
      </w:r>
    </w:p>
  </w:comment>
  <w:comment w:id="16" w:author="Unknown Author" w:date="2026-07-05T12:17:34Z" w:initials="">
    <w:p>
      <w:pPr>
        <w:overflowPunct w:val="false"/>
        <w:rPr/>
      </w:pPr>
      <w:r>
        <w:annotationRef/>
      </w:r>
      <w:r>
        <w:rPr>
          <w:lang w:val="pt-PT"/>
        </w:rPr>
        <w:t>negação</w:t>
      </w:r>
    </w:p>
  </w:comment>
  <w:comment w:id="17" w:author="Unknown Author" w:date="2026-07-04T18:49:44Z" w:initials="">
    <w:p>
      <w:pPr>
        <w:overflowPunct w:val="false"/>
        <w:bidi w:val="0"/>
        <w:spacing w:before="0" w:after="0"/>
        <w:jc w:val="left"/>
        <w:rPr/>
      </w:pPr>
      <w:r>
        <w:annotationRef/>
      </w:r>
      <w:r>
        <w:rPr>
          <w:rFonts w:eastAsia="Noto Serif CJK SC" w:cs="Calibri" w:ascii="Calibri" w:hAnsi="Calibri"/>
          <w:color w:val="auto"/>
          <w:kern w:val="0"/>
          <w:sz w:val="22"/>
          <w:szCs w:val="22"/>
          <w:lang w:val="pt-PT" w:eastAsia="zh-CN" w:bidi="en-US"/>
        </w:rP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overflowPunct w:val="false"/>
        <w:bidi w:val="0"/>
        <w:spacing w:before="0" w:after="0"/>
        <w:jc w:val="left"/>
        <w:rPr/>
      </w:pPr>
      <w:r>
        <w:rPr>
          <w:lang w:val="pt-PT"/>
        </w:rPr>
      </w:r>
    </w:p>
    <w:p>
      <w:pPr>
        <w:overflowPunct w:val="false"/>
        <w:bidi w:val="0"/>
        <w:spacing w:before="0" w:after="0"/>
        <w:jc w:val="left"/>
        <w:rPr/>
      </w:pPr>
      <w:r>
        <w:rPr>
          <w:rFonts w:eastAsia="Noto Serif CJK SC" w:cs="Calibri" w:ascii="Calibri" w:hAnsi="Calibri"/>
          <w:color w:val="auto"/>
          <w:kern w:val="0"/>
          <w:sz w:val="22"/>
          <w:szCs w:val="22"/>
          <w:lang w:val="pt-PT" w:eastAsia="zh-CN" w:bidi="en-US"/>
        </w:rPr>
        <w:t>Já escrevemos proxy antes.</w:t>
      </w:r>
    </w:p>
  </w:comment>
  <w:comment w:id="18" w:author="Unknown Author" w:date="2026-07-04T18:51:43Z" w:initials="">
    <w:p>
      <w:pPr>
        <w:overflowPunct w:val="false"/>
        <w:rPr/>
      </w:pPr>
      <w:r>
        <w:annotationRef/>
      </w:r>
      <w:r>
        <w:rPr>
          <w:lang w:val="pt-PT"/>
        </w:rPr>
        <w:t>Faz sentido integrar uma parte sobre a E-nable e os modelos deles.</w:t>
      </w:r>
    </w:p>
  </w:comment>
  <w:comment w:id="19" w:author="Unknown Author" w:date="2026-07-04T18:53:29Z" w:initials="">
    <w:p>
      <w:pPr>
        <w:overflowPunct w:val="false"/>
        <w:rPr/>
      </w:pPr>
      <w:r>
        <w:annotationRef/>
      </w:r>
      <w:r>
        <w:rPr>
          <w:lang w:val="pt-PT"/>
        </w:rPr>
        <w:t>Parametros de hardware</w:t>
      </w:r>
    </w:p>
  </w:comment>
  <w:comment w:id="20" w:author="Unknown Author" w:date="2026-07-04T19:12:30Z" w:initials="">
    <w:p>
      <w:pPr>
        <w:overflowPunct w:val="false"/>
        <w:rPr/>
      </w:pPr>
      <w:r>
        <w:annotationRef/>
      </w:r>
      <w:r>
        <w:rPr>
          <w:lang w:val="pt-PT"/>
        </w:rPr>
        <w:t>Adicionar ao indice</w:t>
      </w:r>
    </w:p>
  </w:comment>
  <w:comment w:id="21" w:author="Unknown Author" w:date="2026-07-04T21:37:44Z" w:initials="">
    <w:p>
      <w:pPr>
        <w:overflowPunct w:val="false"/>
        <w:rPr/>
      </w:pPr>
      <w:r>
        <w:annotationRef/>
      </w:r>
      <w:r>
        <w:rPr>
          <w:lang w:val="pt-PT"/>
        </w:rPr>
        <w:t>Isto está no indice? Vai lá ver</w:t>
      </w:r>
    </w:p>
  </w:comment>
  <w:comment w:id="22" w:author="Unknown Author" w:date="2026-07-05T12:22:53Z" w:initials="">
    <w:p>
      <w:pPr>
        <w:overflowPunct w:val="false"/>
        <w:rPr/>
      </w:pPr>
      <w:r>
        <w:annotationRef/>
      </w:r>
      <w:r>
        <w:rPr>
          <w:lang w:val="pt-PT"/>
        </w:rPr>
        <w:t>Não esquecer de meter no índice</w:t>
      </w:r>
    </w:p>
  </w:comment>
  <w:comment w:id="23" w:author="Unknown Author" w:date="2026-07-05T12:26:47Z" w:initials="">
    <w:p>
      <w:pPr>
        <w:overflowPunct w:val="false"/>
        <w:rPr/>
      </w:pPr>
      <w:r>
        <w:annotationRef/>
      </w:r>
      <w:r>
        <w:rPr>
          <w:lang w:val="pt-PT"/>
        </w:rPr>
        <w:t>Adicionar uma nota a explicar e adicionar no indice a sigla</w:t>
      </w:r>
    </w:p>
  </w:comment>
  <w:comment w:id="24" w:author="Unknown Author" w:date="2026-07-05T14:28:24Z" w:initials="">
    <w:p>
      <w:pPr>
        <w:overflowPunct w:val="true"/>
        <w:rPr/>
      </w:pPr>
      <w:r>
        <w:annotationRef/>
      </w:r>
      <w:r>
        <w:rPr>
          <w:lang w:val="pt-PT"/>
        </w:rPr>
        <w:t>Isto é uma repetição</w:t>
      </w:r>
    </w:p>
  </w:comment>
  <w:comment w:id="25" w:author="Unknown Author" w:date="2026-07-05T14:29:31Z" w:initials="">
    <w:p>
      <w:pPr>
        <w:overflowPunct w:val="true"/>
        <w:rPr/>
      </w:pPr>
      <w:r>
        <w:annotationRef/>
      </w:r>
      <w:r>
        <w:rPr>
          <w:lang w:val="pt-PT"/>
        </w:rPr>
        <w:t>Inserir notas de rodapé</w:t>
      </w:r>
    </w:p>
  </w:comment>
  <w:comment w:id="26" w:author="Unknown Author" w:date="2026-07-05T15:25:09Z" w:initials="">
    <w:p>
      <w:pPr>
        <w:overflowPunct w:val="true"/>
        <w:rPr/>
      </w:pPr>
      <w:r>
        <w:annotationRef/>
      </w:r>
      <w:r>
        <w:rPr>
          <w:lang w:val="pt-PT"/>
        </w:rPr>
        <w:t>Inserir um comentário</w:t>
      </w:r>
    </w:p>
  </w:comment>
  <w:comment w:id="27" w:author="Unknown Author" w:date="2026-07-05T16:14:55Z" w:initials="">
    <w:p>
      <w:pPr>
        <w:overflowPunct w:val="true"/>
        <w:rPr/>
      </w:pPr>
      <w:r>
        <w:annotationRef/>
      </w:r>
      <w:r>
        <w:rPr>
          <w:lang w:val="pt-PT"/>
        </w:rPr>
        <w:t>Se calhar introduzir uma tabela com os prompts</w:t>
      </w:r>
    </w:p>
  </w:comment>
  <w:comment w:id="28" w:author="Unknown Author" w:date="2026-07-05T17:43:41Z" w:initials="">
    <w:p>
      <w:pPr>
        <w:overflowPunct w:val="false"/>
        <w:rPr/>
      </w:pPr>
      <w:r>
        <w:annotationRef/>
      </w:r>
      <w:r>
        <w:rPr>
          <w:lang w:val="pt-PT"/>
        </w:rPr>
        <w:t>Introduzir aqui uma tabela com valores</w:t>
      </w:r>
    </w:p>
  </w:comment>
  <w:comment w:id="29" w:author="Unknown Author" w:date="2026-07-05T19:22:29Z" w:initials="">
    <w:p>
      <w:pPr>
        <w:overflowPunct w:val="false"/>
        <w:rPr/>
      </w:pPr>
      <w:r>
        <w:annotationRef/>
      </w:r>
      <w:r>
        <w:rPr>
          <w:lang w:val="pt-PT"/>
        </w:rPr>
        <w:t>indice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r>
    </w:p>
  </w:footnote>
  <w:footnote w:id="4">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5">
    <w:p>
      <w:pPr>
        <w:pStyle w:val="FootnoteText"/>
        <w:rPr/>
      </w:pPr>
      <w:r>
        <w:rPr>
          <w:rStyle w:val="FootnoteCharacters"/>
        </w:rPr>
        <w:footnoteRef/>
      </w:r>
      <w:r>
        <w:rPr/>
        <w:t xml:space="preserve"> </w:t>
      </w:r>
      <w:r>
        <w:rPr/>
        <w:t xml:space="preserve">Por </w:t>
      </w:r>
      <w:r>
        <w:rPr>
          <w:rStyle w:val="Emphasis"/>
        </w:rPr>
        <w:t>seed design</w:t>
      </w:r>
      <w:r>
        <w:rP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 ou customização.</w:t>
      </w:r>
    </w:p>
  </w:footnote>
  <w:footnote w:id="6">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7">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8">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9">
    <w:p>
      <w:pPr>
        <w:pStyle w:val="FootnoteText"/>
        <w:rPr/>
      </w:pPr>
      <w:r>
        <w:rPr>
          <w:rStyle w:val="FootnoteCharacters"/>
        </w:rPr>
        <w:footnoteRef/>
      </w:r>
      <w:r>
        <w:rPr/>
        <w:t xml:space="preserve"> </w:t>
      </w:r>
      <w:r>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10">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11">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2">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3">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mphasis">
    <w:name w:val="Emphasis"/>
    <w:qFormat/>
    <w:rPr>
      <w:i/>
      <w:iCs/>
    </w:rPr>
  </w:style>
  <w:style w:type="character" w:styleId="EndnoteCharacters">
    <w:name w:val="Endnote Characters"/>
    <w:qFormat/>
    <w:rPr>
      <w:vertAlign w:val="superscript"/>
    </w:rPr>
  </w:style>
  <w:style w:type="character" w:styleId="EndnoteCharactersuser">
    <w:name w:val="Endnote Characters (user)"/>
    <w:qFormat/>
    <w:rPr/>
  </w:style>
  <w:style w:type="character" w:styleId="EndnoteReference">
    <w:name w:val="endnote reference"/>
    <w:rPr>
      <w:vertAlign w:val="superscrip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hyperlink" Target="https://www.mdpi.com/2673-1592/7/2/26/pdf?version=1740996517"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semanticscholar.org/paper/305d55af5fda06b4d1b33e7d29c1f16d1b7ea488" TargetMode="External"/><Relationship Id="rId14" Type="http://schemas.openxmlformats.org/officeDocument/2006/relationships/hyperlink" Target="https://www.semanticscholar.org/paper/305d55af5fda06b4d1b33e7d29c1f16d1b7ea488"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doi.org/10.1109/BioRob60516.2024.10719909" TargetMode="External"/><Relationship Id="rId20" Type="http://schemas.openxmlformats.org/officeDocument/2006/relationships/image" Target="media/image13.png"/><Relationship Id="rId21" Type="http://schemas.openxmlformats.org/officeDocument/2006/relationships/hyperlink" Target="https://doi.org/10.1115/DETC2018-85645" TargetMode="External"/><Relationship Id="rId22" Type="http://schemas.openxmlformats.org/officeDocument/2006/relationships/image" Target="media/image14.png"/><Relationship Id="rId23" Type="http://schemas.openxmlformats.org/officeDocument/2006/relationships/hyperlink" Target="https://doi.org/10.1109/BioRob60516.2024.10719909"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doi.org/10.1088/1742-6596/2198/1/012040" TargetMode="External"/><Relationship Id="rId27" Type="http://schemas.openxmlformats.org/officeDocument/2006/relationships/image" Target="media/image17.png"/><Relationship Id="rId28" Type="http://schemas.openxmlformats.org/officeDocument/2006/relationships/hyperlink" Target="https://doi.org/10.1080/17483107.2025.2483953" TargetMode="External"/><Relationship Id="rId29" Type="http://schemas.openxmlformats.org/officeDocument/2006/relationships/image" Target="media/image18.png"/><Relationship Id="rId30" Type="http://schemas.openxmlformats.org/officeDocument/2006/relationships/hyperlink" Target="https://doi.org/10.1016/j.inffus.2019.12.012" TargetMode="Externa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footnotes" Target="footnotes.xml"/><Relationship Id="rId34" Type="http://schemas.openxmlformats.org/officeDocument/2006/relationships/comments" Target="comments.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4081</TotalTime>
  <Application>LibreOffice/26.2.4.2$Linux_X86_64 LibreOffice_project/3346a99e6b841765b75a9b29714a5b95c6761ce3</Application>
  <AppVersion>15.0000</AppVersion>
  <Pages>132</Pages>
  <Words>46922</Words>
  <Characters>296986</Characters>
  <CharactersWithSpaces>342548</CharactersWithSpaces>
  <Paragraphs>1485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2026-07-07T21:59:20Z</dcterms:modified>
  <cp:revision>88</cp:revision>
  <dc:subject/>
  <dc:title>projecto-completo</dc:title>
</cp:coreProperties>
</file>

<file path=docProps/custom.xml><?xml version="1.0" encoding="utf-8"?>
<Properties xmlns="http://schemas.openxmlformats.org/officeDocument/2006/custom-properties" xmlns:vt="http://schemas.openxmlformats.org/officeDocument/2006/docPropsVTypes"/>
</file>