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documento:0.4.12</w:t>
      </w:r>
    </w:p>
    <w:p>
      <w:pPr>
        <w:pStyle w:val="Normal"/>
        <w:bidi w:val="0"/>
        <w:jc w:val="left"/>
        <w:rPr>
          <w:lang w:val="pt-PT"/>
        </w:rPr>
      </w:pPr>
      <w:r>
        <w:rPr>
          <w:lang w:val="pt-PT"/>
        </w:rPr>
      </w:r>
    </w:p>
    <w:p>
      <w:pPr>
        <w:pStyle w:val="Heading2"/>
        <w:rPr/>
      </w:pPr>
      <w:r>
        <w:rPr/>
        <w:t>Lista de acrónimos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Acrónimo</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Designação/explicação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2D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Bidimensional.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3D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Tridimensional.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3DP</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3D Printing</w:t>
            </w:r>
            <w:r>
              <w:rPr/>
              <w:t>; impressão 3D.</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3MF</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3D Manufacturing Format</w:t>
            </w:r>
            <w:r>
              <w:rPr/>
              <w:t>; formato de ficheiro para fabrico aditivo.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ANSUR</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Anthropometric Survey of U.S. Army Personnel</w:t>
            </w:r>
            <w:r>
              <w:rPr/>
              <w:t>; inquérito antropométrico do Exército dos Estados Unidos.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API</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Application Programming Interface</w:t>
            </w:r>
            <w:r>
              <w:rPr/>
              <w:t>; interface de programação de aplicações.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ASTM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American Society for Testing and Materials</w:t>
            </w:r>
            <w:r>
              <w:rPr/>
              <w:t>; organismo internacional de normalização.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CAD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Design</w:t>
            </w:r>
            <w:r>
              <w:rPr/>
              <w:t>; desenho ou projeto assistido por computador.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CAM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Manufacturing</w:t>
            </w:r>
            <w:r>
              <w:rPr/>
              <w:t>; fabrico assistido por computador.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CE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Conformité Européenne</w:t>
            </w:r>
            <w:r>
              <w:rPr/>
              <w:t>; marcação europeia de conformidade.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CSG</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Constructive Solid Geometry</w:t>
            </w:r>
            <w:r>
              <w:rPr/>
              <w:t>; geometria sólida construtiva.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CSV</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Comma-Separated Values</w:t>
            </w:r>
            <w:r>
              <w:rPr/>
              <w:t>; formato de valores separados por vírgulas.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CT</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Computed Tomography</w:t>
            </w:r>
            <w:r>
              <w:rPr/>
              <w:t>; tomografia computorizada.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DfAM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Design for Additive Manufacturing</w:t>
            </w:r>
            <w:r>
              <w:rPr/>
              <w:t>; design para fabricação aditiva.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DINED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Delft Institute of Ergonomics and Design</w:t>
            </w:r>
            <w:r>
              <w:rPr/>
              <w:t>; base de dados antropométrica da TU Delft.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DOI</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Digital Object Identifier</w:t>
            </w:r>
            <w:r>
              <w:rPr/>
              <w:t>; identificador digital de objeto.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EMG</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Eletromiografia; registo da atividade elétrica muscular.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EU</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European Union</w:t>
            </w:r>
            <w:r>
              <w:rPr/>
              <w:t>; União Europeia.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Estados Unidos da América.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FA/FdA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Fabricação aditiva.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FDA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Food and Drug Administration</w:t>
            </w:r>
            <w:r>
              <w:rPr/>
              <w:t>; agência reguladora dos Estados Unidos para alimentos, medicamentos e dispositivos médicos.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FDM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Fused Deposition Modelling</w:t>
            </w:r>
            <w:r>
              <w:rPr/>
              <w:t>; modelação por deposição fundida.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FEA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Analysis</w:t>
            </w:r>
            <w:r>
              <w:rPr/>
              <w:t>; análise por elementos finitos.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FEM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Method</w:t>
            </w:r>
            <w:r>
              <w:rPr/>
              <w:t>; método dos elementos finitos.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FFF</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Fused Filament Fabrication</w:t>
            </w:r>
            <w:r>
              <w:rPr/>
              <w:t>; fabricação por filamento fundido.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FFD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Free-Form Deformation</w:t>
            </w:r>
            <w:r>
              <w:rPr/>
              <w:t>; deformação de forma livre.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GB/T</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Norma nacional recomendada chinesa.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HB</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Hand Breadth</w:t>
            </w:r>
            <w:r>
              <w:rPr/>
              <w:t>; largura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HCD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Human-Centred Design</w:t>
            </w:r>
            <w:r>
              <w:rPr/>
              <w:t>; design centrado no humano.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HGD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Hand Grip Diameter</w:t>
            </w:r>
            <w:r>
              <w:rPr/>
              <w:t>; diâmetro de preensão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HL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Hand Length</w:t>
            </w:r>
            <w:r>
              <w:rPr/>
              <w:t>;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HTML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HyperText Markup Language</w:t>
            </w:r>
            <w:r>
              <w:rPr/>
              <w:t>; linguagem de marcação de hipertexto.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IA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Inteligência Artificial.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ICF</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Classification of Functioning, Disability and Health</w:t>
            </w:r>
            <w:r>
              <w:rPr/>
              <w:t>; Classificação Internacional de Funcionalidade, Incapacidade e Saúde.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IEEE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Institute of Electrical and Electronics Engineers</w:t>
            </w:r>
            <w:r>
              <w:rPr/>
              <w:t>; associação técnico-científica e entidade editorial/de normalização.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ISO</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Organization for Standardization</w:t>
            </w:r>
            <w:r>
              <w:rPr/>
              <w:t>; Organização Internacional de Normalização.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JSON</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JavaScript Object Notation</w:t>
            </w:r>
            <w:r>
              <w:rPr/>
              <w:t>; formato leve de intercâmbio de dados.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JWT</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JSON Web Token</w:t>
            </w:r>
            <w:r>
              <w:rPr/>
              <w:t>; token web em formato JSON para autenticação e autorização.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LL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Lower Limb</w:t>
            </w:r>
            <w:r>
              <w:rPr/>
              <w:t>; membro inferior.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MCP</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Metacarpophalangeal</w:t>
            </w:r>
            <w:r>
              <w:rPr/>
              <w:t>; articulação metacarpofalângica.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MDR</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Medical Device Regulation</w:t>
            </w:r>
            <w:r>
              <w:rPr/>
              <w:t>; Regulamento Europeu dos Dispositivos Médicos.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MPT</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Matching Person and Technology</w:t>
            </w:r>
            <w:r>
              <w:rPr/>
              <w:t>; modelo de adequação entre pessoa e tecnologia.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MRI</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Magnetic Resonance Imaging</w:t>
            </w:r>
            <w:r>
              <w:rPr/>
              <w:t>; ressonância magnética.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PCA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Principal Component Analysis</w:t>
            </w:r>
            <w:r>
              <w:rPr/>
              <w:t>; análise de componentes principais.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PDF</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Portable Document Format</w:t>
            </w:r>
            <w:r>
              <w:rPr/>
              <w:t>; formato portátil de documento.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PIP</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Proximal Interphalangeal</w:t>
            </w:r>
            <w:r>
              <w:rPr/>
              <w:t>; articulação interfalângica proximal.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Palm Length</w:t>
            </w:r>
            <w:r>
              <w:rPr/>
              <w:t>; comprimento da palma.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PRISMA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Preferred Reporting Items for Systematic Reviews and Meta-Analyses</w:t>
            </w:r>
            <w:r>
              <w:rPr/>
              <w:t>; diretrizes para reporte de revisões sistemáticas e meta-análises.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RTD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Research Through Design</w:t>
            </w:r>
            <w:r>
              <w:rPr/>
              <w:t>; investigação através do design.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SD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Standard Deviation</w:t>
            </w:r>
            <w:r>
              <w:rPr/>
              <w:t>; desvio-padrão.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SLA</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estereolitografia.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SLS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Selective Laser Sintering</w:t>
            </w:r>
            <w:r>
              <w:rPr/>
              <w:t>; sinterização seletiva a laser.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SSM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Statistical Shape Modelling</w:t>
            </w:r>
            <w:r>
              <w:rPr/>
              <w:t>; modelação estatística da forma.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STL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formato de ficheiro de malha tridimensional usado em impressão 3D.</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TC</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Technical Committee</w:t>
            </w:r>
            <w:r>
              <w:rPr/>
              <w:t>; comité técnico.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TRL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Technology Readiness Level</w:t>
            </w:r>
            <w:r>
              <w:rPr/>
              <w:t>; nível de prontidão tecnológica.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UCD</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User-Centred Design</w:t>
            </w:r>
            <w:r>
              <w:rPr/>
              <w:t>; design centrado no utilizador.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UI</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User Interface</w:t>
            </w:r>
            <w:r>
              <w:rPr/>
              <w:t>; interface do utilizador.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UL</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Upper Limb</w:t>
            </w:r>
            <w:r>
              <w:rPr/>
              <w:t>; membro superior.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UX</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User Experience</w:t>
            </w:r>
            <w:r>
              <w:rPr/>
              <w:t>; experiência do utilizador.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WASM</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WebAssembly</w:t>
            </w:r>
            <w:r>
              <w:rPr/>
              <w:t>; tecnologia para execução de código compilado no navegador.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XAI</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i/>
              </w:rPr>
              <w:t>Explainable Artificial Intelligence</w:t>
            </w:r>
            <w:r>
              <w:rPr/>
              <w:t>; inteligência artificial explicável.</w:t>
            </w:r>
          </w:p>
        </w:tc>
      </w:tr>
    </w:tbl>
    <w:p>
      <w:pPr>
        <w:pStyle w:val="Heading2"/>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expansã,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r>
    </w:p>
    <w:p>
      <w:pPr>
        <w:pStyle w:val="Heading3"/>
        <w:bidi w:val="0"/>
        <w:jc w:val="left"/>
        <w:rPr>
          <w:lang w:val="pt-PT"/>
        </w:rPr>
      </w:pPr>
      <w:r>
        <w:rPr>
          <w:lang w:val="pt-PT"/>
        </w:rPr>
        <w:t>1.3 Objetivos da investigação</w:t>
      </w:r>
    </w:p>
    <w:p>
      <w:pPr>
        <w:pStyle w:val="Heading3"/>
        <w:bidi w:val="0"/>
        <w:jc w:val="left"/>
        <w:rPr>
          <w:lang w:val="pt-PT"/>
        </w:rPr>
      </w:pPr>
      <w:r>
        <w:rPr>
          <w:lang w:val="pt-PT"/>
        </w:rPr>
      </w:r>
    </w:p>
    <w:p>
      <w:pPr>
        <w:pStyle w:val="Heading3"/>
        <w:bidi w:val="0"/>
        <w:jc w:val="left"/>
        <w:rPr>
          <w:lang w:val="pt-PT"/>
        </w:rPr>
      </w:pPr>
      <w:r>
        <w:rPr>
          <w:lang w:val="pt-PT"/>
        </w:rPr>
        <w:t>1.3.1 Objetivo geral</w:t>
      </w:r>
    </w:p>
    <w:p>
      <w:pPr>
        <w:pStyle w:val="Normal"/>
        <w:bidi w:val="0"/>
        <w:jc w:val="left"/>
        <w:rPr>
          <w:lang w:val="pt-PT"/>
        </w:rPr>
      </w:pPr>
      <w:r>
        <w:rPr>
          <w:lang w:val="pt-PT"/>
        </w:rPr>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BodyText"/>
        <w:rPr>
          <w:lang w:val="pt-PT"/>
        </w:rPr>
      </w:pPr>
      <w:r>
        <w:rP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BodyText"/>
        <w:rPr/>
      </w:pPr>
      <w:r>
        <w:rPr>
          <w:lang w:val="pt-PT"/>
        </w:rPr>
        <w:t xml:space="preserve">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 </w:t>
      </w:r>
      <w:r>
        <w:rPr>
          <w:b w:val="false"/>
          <w:i w:val="false"/>
          <w:sz w:val="22"/>
        </w:rPr>
        <w:t xml:space="preserve"> </w:t>
      </w:r>
      <w:r>
        <w:rPr/>
        <w:t xml:space="preserve"> (Brack &amp; Amalu, 2021).</w:t>
      </w:r>
    </w:p>
    <w:p>
      <w:pPr>
        <w:pStyle w:val="BodyText"/>
        <w:rPr/>
      </w:pPr>
      <w:r>
        <w:rPr>
          <w:lang w:val="pt-PT"/>
        </w:rPr>
        <w:t>.</w:t>
      </w:r>
      <w:r>
        <w:rPr/>
        <w:commentReference w:id="0"/>
      </w:r>
    </w:p>
    <w:p>
      <w:pPr>
        <w:pStyle w:val="BodyText"/>
        <w:rPr/>
      </w:pPr>
      <w:r>
        <w:rPr/>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w:t>
      </w:r>
    </w:p>
    <w:p>
      <w:pPr>
        <w:pStyle w:val="Normal"/>
        <w:bidi w:val="0"/>
        <w:jc w:val="left"/>
        <w:rPr>
          <w:lang w:val="pt-PT"/>
        </w:rPr>
      </w:pPr>
      <w:r>
        <w:rPr>
          <w:lang w:val="pt-PT"/>
        </w:rPr>
        <w:t>Um atributo particularmente relevante é o feedback proprioceptivo</w:t>
      </w:r>
      <w:r>
        <w:rPr>
          <w:rStyle w:val="FootnoteReference"/>
          <w:lang w:val="pt-PT"/>
        </w:rPr>
        <w:footnoteReference w:id="2"/>
      </w:r>
      <w:r>
        <w:rPr>
          <w:lang w:val="pt-PT"/>
        </w:rPr>
        <w:t xml:space="preserve">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r>
    </w:p>
    <w:p>
      <w:pPr>
        <w:pStyle w:val="Heading3"/>
        <w:bidi w:val="0"/>
        <w:jc w:val="left"/>
        <w:rPr>
          <w:lang w:val="pt-PT"/>
        </w:rPr>
      </w:pPr>
      <w:r>
        <w:rPr>
          <w:lang w:val="pt-PT"/>
        </w:rPr>
        <w:t>Próteses mioelétricas</w:t>
      </w:r>
    </w:p>
    <w:p>
      <w:pPr>
        <w:pStyle w:val="Normal"/>
        <w:bidi w:val="0"/>
        <w:jc w:val="left"/>
        <w:rPr>
          <w:lang w:val="pt-PT"/>
        </w:rPr>
      </w:pPr>
      <w:r>
        <w:rPr>
          <w:lang w:val="pt-PT"/>
        </w:rPr>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r>
    </w:p>
    <w:p>
      <w:pPr>
        <w:pStyle w:val="Heading3"/>
        <w:bidi w:val="0"/>
        <w:jc w:val="left"/>
        <w:rPr>
          <w:lang w:val="pt-PT"/>
        </w:rPr>
      </w:pPr>
      <w:r>
        <w:rPr>
          <w:lang w:val="pt-PT"/>
        </w:rPr>
        <w:t>Sistemas híbridos</w:t>
      </w:r>
    </w:p>
    <w:p>
      <w:pPr>
        <w:pStyle w:val="Normal"/>
        <w:bidi w:val="0"/>
        <w:jc w:val="left"/>
        <w:rPr>
          <w:lang w:val="pt-PT"/>
        </w:rPr>
      </w:pPr>
      <w:r>
        <w:rPr>
          <w:lang w:val="pt-PT"/>
        </w:rPr>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r>
    </w:p>
    <w:p>
      <w:pPr>
        <w:pStyle w:val="Heading3"/>
        <w:bidi w:val="0"/>
        <w:jc w:val="left"/>
        <w:rPr>
          <w:lang w:val="pt-PT"/>
        </w:rPr>
      </w:pPr>
      <w:r>
        <w:rPr>
          <w:lang w:val="pt-PT"/>
        </w:rPr>
        <w:t>Considerações clínicas e funcionais</w:t>
      </w:r>
    </w:p>
    <w:p>
      <w:pPr>
        <w:pStyle w:val="Normal"/>
        <w:bidi w:val="0"/>
        <w:jc w:val="left"/>
        <w:rPr>
          <w:lang w:val="pt-PT"/>
        </w:rPr>
      </w:pPr>
      <w:r>
        <w:rPr>
          <w:lang w:val="pt-PT"/>
        </w:rPr>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Normal"/>
        <w:bidi w:val="0"/>
        <w:jc w:val="left"/>
        <w:rPr>
          <w:lang w:val="pt-PT"/>
        </w:rPr>
      </w:pPr>
      <w:r>
        <w:rPr>
          <w:lang w:val="pt-PT"/>
        </w:rPr>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w:t>
      </w:r>
    </w:p>
    <w:p>
      <w:pPr>
        <w:pStyle w:val="Normal"/>
        <w:bidi w:val="0"/>
        <w:jc w:val="left"/>
        <w:rPr>
          <w:lang w:val="pt-PT"/>
        </w:rPr>
      </w:pPr>
      <w:r>
        <w:rPr/>
        <w:t>A literatura revista evidencia que o design desempenha um papel estruturante na promoção da inclusão, da autonomia e da participação social, ao articular a configuração formal dos produtos com a modelação da relação entre indivíduos, ambientes, artefactos e sistemas.</w:t>
      </w:r>
    </w:p>
    <w:p>
      <w:pPr>
        <w:pStyle w:val="Normal"/>
        <w:bidi w:val="0"/>
        <w:jc w:val="left"/>
        <w:rPr>
          <w:lang w:val="pt-PT"/>
        </w:rPr>
      </w:pPr>
      <w:r>
        <w:rPr>
          <w:lang w:val="pt-PT"/>
        </w:rPr>
        <w:t xml:space="preserve"> </w:t>
      </w:r>
      <w:r>
        <w:rPr>
          <w:lang w:val="pt-PT"/>
        </w:rPr>
        <w:t>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Heading3"/>
        <w:bidi w:val="0"/>
        <w:jc w:val="left"/>
        <w:rPr>
          <w:lang w:val="pt-PT"/>
        </w:rPr>
      </w:pPr>
      <w:r>
        <w:rPr>
          <w:lang w:val="pt-PT"/>
        </w:rPr>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d</w:t>
      </w:r>
      <w:r>
        <w:rPr/>
        <w:t>efine requisitos específicos para a aplicação da engenharia de usabilidade a dispositivos médicos, reforçando a integração formal de avaliações formativas e sumativas no processo regulado de desenvolvimento.</w:t>
      </w:r>
      <w:r>
        <w:rPr>
          <w:lang w:val="pt-PT"/>
        </w:rPr>
        <w:t xml:space="preserve"> (Fisher &amp; Johansen, 2020 (#ref-fisher-2020); Millet et al., 2018 (#ref-millet-2018)).</w:t>
      </w:r>
      <w:r>
        <w:rPr/>
        <w:commentReference w:id="1"/>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r>
    </w:p>
    <w:p>
      <w:pPr>
        <w:pStyle w:val="Heading3"/>
        <w:bidi w:val="0"/>
        <w:jc w:val="left"/>
        <w:rPr>
          <w:lang w:val="pt-PT"/>
        </w:rPr>
      </w:pPr>
      <w:r>
        <w:rPr>
          <w:lang w:val="pt-PT"/>
        </w:rPr>
        <w:t>Design Participativo e Co-design</w:t>
      </w:r>
    </w:p>
    <w:p>
      <w:pPr>
        <w:pStyle w:val="Heading3"/>
        <w:bidi w:val="0"/>
        <w:jc w:val="left"/>
        <w:rPr>
          <w:lang w:val="pt-PT"/>
        </w:rPr>
      </w:pPr>
      <w:r>
        <w:rPr>
          <w:lang w:val="pt-PT"/>
        </w:rPr>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Normal"/>
        <w:bidi w:val="0"/>
        <w:jc w:val="left"/>
        <w:rPr>
          <w:lang w:val="pt-PT"/>
        </w:rPr>
      </w:pPr>
      <w:r>
        <w:rPr>
          <w:lang w:val="pt-PT"/>
        </w:rPr>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w:t>
      </w:r>
      <w:r>
        <w:rPr>
          <w:rStyle w:val="FootnoteReference"/>
          <w:lang w:val="pt-PT"/>
        </w:rPr>
        <w:footnoteReference w:id="3"/>
      </w:r>
      <w:r>
        <w:rPr>
          <w:lang w:val="pt-PT"/>
        </w:rPr>
        <w:t xml:space="preserve">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através do uso de protocolos sistemáticos, como o PRISMA</w:t>
      </w:r>
      <w:r>
        <w:rPr>
          <w:rStyle w:val="FootnoteReference"/>
          <w:lang w:val="pt-PT"/>
        </w:rPr>
        <w:footnoteReference w:id="4"/>
      </w:r>
      <w:r>
        <w:rPr>
          <w:lang w:val="pt-PT"/>
        </w:rPr>
        <w:t>, que orienta a identificação, seleção e apresentação transparente dos estudos analisados, bem como de instrumentos de avaliação crítica. Esta evolução reflete uma preocupação crescente em fundamentar decisões de design numa base empírica robusta. (Chapman et al., 2025 (#ref-chapman-2025)).</w:t>
      </w:r>
    </w:p>
    <w:p>
      <w:pPr>
        <w:pStyle w:val="Heading3"/>
        <w:bidi w:val="0"/>
        <w:jc w:val="left"/>
        <w:rPr>
          <w:lang w:val="pt-PT"/>
        </w:rPr>
      </w:pPr>
      <w:r>
        <w:rPr>
          <w:lang w:val="pt-PT"/>
        </w:rPr>
      </w:r>
    </w:p>
    <w:p>
      <w:pPr>
        <w:pStyle w:val="Heading3"/>
        <w:bidi w:val="0"/>
        <w:jc w:val="left"/>
        <w:rPr>
          <w:lang w:val="pt-PT"/>
        </w:rPr>
      </w:pPr>
      <w:r>
        <w:rPr>
          <w:lang w:val="pt-PT"/>
        </w:rPr>
        <w:t>Desafios e lacunas</w:t>
      </w:r>
    </w:p>
    <w:p>
      <w:pPr>
        <w:pStyle w:val="Normal"/>
        <w:bidi w:val="0"/>
        <w:jc w:val="left"/>
        <w:rPr>
          <w:lang w:val="pt-PT"/>
        </w:rPr>
      </w:pPr>
      <w:r>
        <w:rPr>
          <w:lang w:val="pt-PT"/>
        </w:rPr>
      </w:r>
    </w:p>
    <w:p>
      <w:pPr>
        <w:pStyle w:val="Normal"/>
        <w:bidi w:val="0"/>
        <w:jc w:val="left"/>
        <w:rPr>
          <w:lang w:val="pt-PT"/>
        </w:rPr>
      </w:pPr>
      <w:r>
        <w:rPr>
          <w:lang w:val="pt-PT"/>
        </w:rPr>
        <w:t xml:space="preserve">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 (Privitera, 2017; </w:t>
      </w:r>
      <w:r>
        <w:rPr>
          <w:b w:val="false"/>
          <w:i w:val="false"/>
          <w:sz w:val="22"/>
        </w:rPr>
        <w:t xml:space="preserve"> Oldfrey</w:t>
      </w:r>
      <w:r>
        <w:rPr>
          <w:b w:val="false"/>
          <w:i w:val="false"/>
          <w:sz w:val="22"/>
          <w:lang w:val="pt-PT"/>
        </w:rPr>
        <w:t xml:space="preserve"> et al 2024; </w:t>
      </w:r>
      <w:r>
        <w:rPr>
          <w:b w:val="false"/>
          <w:i w:val="false"/>
          <w:sz w:val="22"/>
        </w:rPr>
        <w:t xml:space="preserve">  Mc Guinness et al</w:t>
      </w:r>
      <w:r>
        <w:rPr>
          <w:b w:val="false"/>
          <w:i w:val="false"/>
          <w:sz w:val="22"/>
          <w:lang w:val="pt-PT"/>
        </w:rPr>
        <w:t>, 2025</w:t>
      </w:r>
      <w:r>
        <w:rPr>
          <w:lang w:val="pt-PT"/>
        </w:rPr>
        <w:t>).</w:t>
      </w:r>
      <w:r>
        <w:rPr/>
        <w:commentReference w:id="2"/>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Normal"/>
        <w:bidi w:val="0"/>
        <w:jc w:val="left"/>
        <w:rPr>
          <w:lang w:val="pt-PT"/>
        </w:rPr>
      </w:pPr>
      <w:r>
        <w:rPr>
          <w:lang w:val="pt-PT"/>
        </w:rPr>
      </w:r>
    </w:p>
    <w:p>
      <w:pPr>
        <w:pStyle w:val="Heading3"/>
        <w:bidi w:val="0"/>
        <w:jc w:val="left"/>
        <w:rPr>
          <w:lang w:val="pt-PT"/>
        </w:rPr>
      </w:pPr>
      <w:r>
        <w:rPr>
          <w:lang w:val="pt-PT"/>
        </w:rPr>
        <w:t>2.3 Fabricação Aditiva e parametrização no design de produto</w:t>
      </w:r>
    </w:p>
    <w:p>
      <w:pPr>
        <w:pStyle w:val="Heading3"/>
        <w:bidi w:val="0"/>
        <w:jc w:val="left"/>
        <w:rPr>
          <w:lang w:val="pt-PT"/>
        </w:rPr>
      </w:pPr>
      <w:r>
        <w:rPr>
          <w:lang w:val="pt-PT"/>
        </w:rPr>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 xml:space="preserve">Fonte original: Chainando, N., Faephu, C., Suwaphong, N., Bureerat, S., Limphirat, W., Thammajaruk, P., &amp; Syafrudin, M. (2025). Applying 3D scanning and printing techniques to produce upper limb prostheses: Bibliometric analysis and scoping review. Prosthesis, 7(2), 26. </w:t>
      </w:r>
      <w:hyperlink r:id="rId8">
        <w:r>
          <w:rPr>
            <w:rStyle w:val="Hyperlink"/>
            <w:lang w:val="pt-PT"/>
          </w:rPr>
          <w:t>https://www.mdpi.com/2673-1592/7/2/26/pdf?version=1740996517</w:t>
        </w:r>
      </w:hyperlink>
    </w:p>
    <w:p>
      <w:pPr>
        <w:pStyle w:val="Normal"/>
        <w:bidi w:val="0"/>
        <w:jc w:val="left"/>
        <w:rPr>
          <w:lang w:val="pt-PT"/>
        </w:rPr>
      </w:pPr>
      <w:r>
        <w:rPr>
          <w:lang w:val="pt-PT"/>
        </w:rPr>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w:t>
      </w:r>
      <w:r>
        <w:rPr>
          <w:rStyle w:val="FootnoteReference"/>
          <w:lang w:val="pt-PT"/>
        </w:rPr>
        <w:footnoteReference w:id="5"/>
      </w:r>
      <w:r>
        <w:rPr>
          <w:lang w:val="pt-PT"/>
        </w:rPr>
        <w:t xml:space="preserve">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Normal"/>
        <w:bidi w:val="0"/>
        <w:jc w:val="left"/>
        <w:rPr>
          <w:lang w:val="pt-PT"/>
        </w:rPr>
      </w:pPr>
      <w:r>
        <w:rPr>
          <w:lang w:val="pt-PT"/>
        </w:rPr>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w:t>
      </w:r>
    </w:p>
    <w:p>
      <w:pPr>
        <w:pStyle w:val="Normal"/>
        <w:bidi w:val="0"/>
        <w:jc w:val="left"/>
        <w:rPr>
          <w:lang w:val="pt-PT"/>
        </w:rPr>
      </w:pPr>
      <w:r>
        <w:rPr>
          <w:lang w:val="pt-PT"/>
        </w:rPr>
        <w:t>Em vez de recorrer a um escalonamento uniforme, que pode introduzir desvios significativos, a definição de parâmetros independentes, como comprimento e largura, permite ajustes mais precisos e maior controlo dimensional dentro de margens reduzidas. Em aplicações protésicas, esta abordagem revelou maior proximidade às cinemáticas naturais e melhor adequação morfológica face a modelos ajustados apenas por escala global. (Lim et al., 2018 (#ref-lim-2018)).</w:t>
      </w:r>
    </w:p>
    <w:p>
      <w:pPr>
        <w:pStyle w:val="Normal"/>
        <w:bidi w:val="0"/>
        <w:jc w:val="left"/>
        <w:rPr>
          <w:lang w:val="pt-PT"/>
        </w:rPr>
      </w:pPr>
      <w:r>
        <w:rPr>
          <w:lang w:val="pt-PT"/>
        </w:rPr>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fabricação aditiva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p>
    <w:p>
      <w:pPr>
        <w:pStyle w:val="Normal"/>
        <w:bidi w:val="0"/>
        <w:jc w:val="left"/>
        <w:rPr>
          <w:lang w:val="pt-PT"/>
        </w:rPr>
      </w:pPr>
      <w:r>
        <w:rPr>
          <w:lang w:val="pt-PT"/>
        </w:rPr>
      </w:r>
    </w:p>
    <w:p>
      <w:pPr>
        <w:pStyle w:val="Heading3"/>
        <w:bidi w:val="0"/>
        <w:jc w:val="left"/>
        <w:rPr>
          <w:lang w:val="pt-PT"/>
        </w:rPr>
      </w:pPr>
      <w:r>
        <w:rPr>
          <w:lang w:val="pt-PT"/>
        </w:rPr>
        <w:t>Configuradores e Cocriação Digital</w:t>
      </w:r>
    </w:p>
    <w:p>
      <w:pPr>
        <w:pStyle w:val="Normal"/>
        <w:bidi w:val="0"/>
        <w:jc w:val="left"/>
        <w:rPr>
          <w:lang w:val="pt-PT"/>
        </w:rPr>
      </w:pPr>
      <w:r>
        <w:rPr>
          <w:lang w:val="pt-PT"/>
        </w:rPr>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9"/>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Este modelo “</w:t>
      </w:r>
      <w:r>
        <w:rPr>
          <w:i/>
          <w:iCs/>
          <w:lang w:val="pt-PT"/>
        </w:rPr>
        <w:t>file-to-factory</w:t>
      </w:r>
      <w:r>
        <w:rPr>
          <w:lang w:val="pt-PT"/>
        </w:rPr>
        <w:t>”</w:t>
      </w:r>
      <w:r>
        <w:rPr>
          <w:rStyle w:val="FootnoteReference"/>
          <w:lang w:val="pt-PT"/>
        </w:rPr>
        <w:footnoteReference w:id="6"/>
      </w:r>
      <w:r>
        <w:rPr>
          <w:lang w:val="pt-PT"/>
        </w:rPr>
        <w:t xml:space="preserve"> viabiliza fluxos digitais em que o ficheiro parametrizado é convertido diretamente em instruções de fabrico, seja localmente (impressão 3D descentralizada) ou através de uma encomenda online[^11]. </w:t>
      </w:r>
      <w:r>
        <w:rPr/>
        <w:t>A literatura associa esta lógica à democratização do design e à expansão de estratégias de customização em massa (</w:t>
      </w:r>
      <w:r>
        <w:rPr>
          <w:rStyle w:val="Emphasis"/>
        </w:rPr>
        <w:t>mass customization</w:t>
      </w:r>
      <w:r>
        <w:rPr/>
        <w:t>) e personalização em massa (</w:t>
      </w:r>
      <w:r>
        <w:rPr>
          <w:rStyle w:val="Emphasis"/>
        </w:rPr>
        <w:t>mass personalization</w:t>
      </w:r>
      <w:r>
        <w:rPr/>
        <w:t>), reduzindo custos marginais ao dispensar moldes e dispositivos específicos de fabrico.[^12]</w:t>
      </w:r>
      <w:r>
        <w:rPr>
          <w:lang w:val="pt-PT"/>
        </w:rPr>
        <w:t xml:space="preserve"> (Lei et al., 2016 (#ref-lei-2016); Stralen, 2018 (#ref-stralen-2018)).</w:t>
      </w:r>
    </w:p>
    <w:p>
      <w:pPr>
        <w:pStyle w:val="Normal"/>
        <w:bidi w:val="0"/>
        <w:jc w:val="left"/>
        <w:rPr>
          <w:lang w:val="pt-PT"/>
        </w:rPr>
      </w:pPr>
      <w:r>
        <w:rPr>
          <w:lang w:val="pt-PT"/>
        </w:rPr>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w:t>
      </w:r>
      <w:r>
        <w:rPr>
          <w:rStyle w:val="FootnoteReference"/>
          <w:lang w:val="pt-PT"/>
        </w:rPr>
        <w:footnoteReference w:id="7"/>
      </w:r>
      <w:r>
        <w:rPr>
          <w:lang w:val="pt-PT"/>
        </w:rPr>
        <w:t xml:space="preserve"> para selecionar soluções alinhadas com objetivos específicos (Lei et al., 2016 (#ref-lei-2016); Yao et al., 2016 (#ref-yao-2016)).</w:t>
      </w:r>
    </w:p>
    <w:p>
      <w:pPr>
        <w:pStyle w:val="Normal"/>
        <w:bidi w:val="0"/>
        <w:jc w:val="left"/>
        <w:rPr>
          <w:lang w:val="pt-PT"/>
        </w:rPr>
      </w:pPr>
      <w:r>
        <w:rPr>
          <w:lang w:val="pt-PT"/>
        </w:rPr>
        <w:t>Em contextos médicos e assistivos, estudos demonstram a integração de modelos paramétricos com análises de elementos finitos (FEM) para validar o desempenho estrutural, bem como de algoritmos generativos que adaptam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r>
    </w:p>
    <w:p>
      <w:pPr>
        <w:pStyle w:val="Heading3"/>
        <w:bidi w:val="0"/>
        <w:jc w:val="left"/>
        <w:rPr>
          <w:lang w:val="pt-PT"/>
        </w:rPr>
      </w:pPr>
      <w:r>
        <w:rPr>
          <w:lang w:val="pt-PT"/>
        </w:rPr>
        <w:t>Implicações para o Design Industrial</w:t>
      </w:r>
    </w:p>
    <w:p>
      <w:pPr>
        <w:pStyle w:val="Normal"/>
        <w:bidi w:val="0"/>
        <w:jc w:val="left"/>
        <w:rPr>
          <w:lang w:val="pt-PT"/>
        </w:rPr>
      </w:pPr>
      <w:r>
        <w:rPr>
          <w:lang w:val="pt-PT"/>
        </w:rPr>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Próteses open source de membro superior passíveis de impressão 3D</w:t>
      </w:r>
    </w:p>
    <w:p>
      <w:pPr>
        <w:pStyle w:val="Normal"/>
        <w:bidi w:val="0"/>
        <w:jc w:val="left"/>
        <w:rPr>
          <w:lang w:val="pt-PT"/>
        </w:rPr>
      </w:pPr>
      <w:r>
        <w:rPr>
          <w:lang w:val="pt-PT"/>
        </w:rPr>
        <w:t>As próteses open source de membro superior passíveis de impressão 3D constituem um caso particularmente relevante para esta investigação, porque tornam visível a articulação entre fabricação aditiva, partilha digital de ficheiros, produção distribuída e adaptação local. Ao contrário dos dispositivos comerciais desenvolvidos em cadeias industriais fechadas, estes modelos circulam frequentemente como ficheiros editáveis ou imprimíveis, acompanhados por instruções de montagem, listas de componentes e documentação comunitária. A sua importância não reside apenas no baixo custo de fabrico, mas também na demonstração de que uma comunidade distribuída pode produzir, adaptar e disseminar soluções protésicas funcionais fora dos canais tradicionais da indústria médica (Manero et al., 2019 (#ref-manero-2019); Wendo et al., 2022 (#ref-wendo-2022)).</w:t>
      </w:r>
    </w:p>
    <w:p>
      <w:pPr>
        <w:pStyle w:val="Normal"/>
        <w:bidi w:val="0"/>
        <w:jc w:val="left"/>
        <w:rPr>
          <w:lang w:val="pt-PT"/>
        </w:rPr>
      </w:pPr>
      <w:r>
        <w:rPr>
          <w:lang w:val="pt-PT"/>
        </w:rPr>
        <w:t>O projeto e-NABLE é o exemplo mais influente deste movimento. A comunidade consolidou-se em torno da criação e partilha de dispositivos de assistência para diferenças de membro superior, em especial mãos mecânicas acionadas pelo corpo e braços impressos em 3D para crianças. O seu catálogo reúne modelos de mão, braço, dedos, polegares e dispositivos terminais, organizados de acordo com a anatomia disponível e o tipo de acionamento. Nos modelos de mão acionados pelo punho, a flexão dos dedos depende normalmente da flexão ativa do punho e de uma palma parcialmente preservada; quando essa condição anatómica não existe, a solução tende a deslocar-se para braços ou mecanismos acionados pelo cotovelo (Wendo et al., 2022 (#ref-wendo-2022)).</w:t>
      </w:r>
    </w:p>
    <w:p>
      <w:pPr>
        <w:pStyle w:val="Normal"/>
        <w:bidi w:val="0"/>
        <w:jc w:val="left"/>
        <w:rPr>
          <w:lang w:val="pt-PT"/>
        </w:rPr>
      </w:pPr>
      <w:r>
        <w:rPr>
          <w:lang w:val="pt-PT"/>
        </w:rPr>
        <w:t>Este enquadramento é importante porque vários modelos usados ou analisados nesta investigação pertencem diretamente a esta linhagem. O Cyborg Beast, o Raptor Reloaded, a Flexy Hand, o Flexy Beast, o Paraglider Hand/Flexible Flyer, a Phoenix Hand e a Unlimbited Phoenix Hand não devem ser entendidos como objetos isolados, mas como variações de um ecossistema e-NABLE em que cada modelo traduz compromissos diferentes entre simplicidade de impressão, facilidade de montagem, robustez, custo, aparência e adequação anatómica. O Cyborg Beast, por exemplo, foi descrito como uma mão protésica infantil de baixo custo, acionada pelo punho e ajustável por procedimentos remotos de medição e escala (Zuniga et al., 2015 (#ref-zuniga-2015)). Já modelos posteriores, como a Phoenix/Unlimbited Phoenix e derivados como o Paraglider, procuram simplificar a montagem, melhorar a manutenção e estabilizar geometrias recorrentes. Para o presente projeto, isto tem uma consequência direta: a integração de modelos e-NABLE numa plataforma paramétrica não é apenas uma operação técnica de importação de ficheiros, mas uma tentativa de explicitar e controlar regras geométricas que, nos modelos originais, aparecem muitas vezes como escalas globais, limites empíricos ou decisões embebidas no próprio ficheiro.</w:t>
      </w:r>
    </w:p>
    <w:p>
      <w:pPr>
        <w:pStyle w:val="Normal"/>
        <w:bidi w:val="0"/>
        <w:jc w:val="left"/>
        <w:rPr>
          <w:lang w:val="pt-PT"/>
        </w:rPr>
      </w:pPr>
      <w:r>
        <w:rPr>
          <w:lang w:val="pt-PT"/>
        </w:rPr>
        <w:t>O Victoria Hand Project representa uma alternativa complementar ao modelo comunitário e maker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mostrar que a impressão 3D pode ser integrada num modelo de serviço mais estruturado, no qual a criação digital de componentes, a seleção modular, a adaptação de encaixes e a circulação de feedback entre parceiros locais e equipa central funcionam como infraestrutura de aprendizagem contínua (Dechev et al., 2023 (#ref-dechev-2023)). Assim, enquanto o e-NABLE evidencia o potencial da comunidade aberta e da documentação partilhada, o Victoria Hand Project evidencia a importância da mediação clínica, da formação e da qualidade controlada em contextos de baixo acesso a cuidados protésicos.</w:t>
      </w:r>
    </w:p>
    <w:p>
      <w:pPr>
        <w:pStyle w:val="Normal"/>
        <w:bidi w:val="0"/>
        <w:jc w:val="left"/>
        <w:rPr>
          <w:lang w:val="pt-PT"/>
        </w:rPr>
      </w:pPr>
      <w:r>
        <w:rPr>
          <w:lang w:val="pt-PT"/>
        </w:rP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 nem permite concluir sobre efeitos de longo prazo em conforto, durabilidade ou qualidade de vida (Diment et al., 2018 (#ref-diment-2018)). Uma revisão mais recente sobre resultados clínicos de próteses impressas em 3D reforça a mesma cautela: há sinais de melhoria em destreza, satisfação e adequação, mas a qualidade da evidência permanece limitada e pouco comparável entre estudos (Atallah et al., 2025 (#ref-atallah-2025)).</w:t>
      </w:r>
    </w:p>
    <w:p>
      <w:pPr>
        <w:pStyle w:val="Normal"/>
        <w:bidi w:val="0"/>
        <w:jc w:val="left"/>
        <w:rPr>
          <w:lang w:val="pt-PT"/>
        </w:rPr>
      </w:pPr>
      <w:r>
        <w:rPr>
          <w:lang w:val="pt-PT"/>
        </w:rPr>
        <w:t>As limitações técnicas também são relevantes para o design. Estudos mecânicos sobre mãos open source mostram que a acessibilidade e o baixo custo coexistem com restrições claras de desempenho, repertório de preensões, resistência, durabilidade e segurança funcional. No caso do Raptor Reloaded, por exemplo, uma mão corporalmente acionada pode ser útil para tarefas simples, mas permanece distante da diversidade de movimentos e preensões de uma mão humana (Cabibihan et al., 2021 (#ref-cabibihan-2021)). Esta constatação não diminui o valor social destes modelos, mas impede que sejam apresentados como substitutos clínicos universais. Pelo contrário, reforça a necessidade de os tratar como plataformas de desenvolvimento, aprendizagem e personalização progressiva.</w:t>
      </w:r>
    </w:p>
    <w:p>
      <w:pPr>
        <w:pStyle w:val="Normal"/>
        <w:bidi w:val="0"/>
        <w:jc w:val="left"/>
        <w:rPr>
          <w:lang w:val="pt-PT"/>
        </w:rPr>
      </w:pPr>
      <w:r>
        <w:rPr>
          <w:lang w:val="pt-PT"/>
        </w:rPr>
        <w:t>Para esta investigação, o interesse das próteses open source impressas em 3D está precisamente nessa tensão. Por um lado, modelos como o Flexy Beast, o Paraglider Hand e a Unlimbited Phoenix Hand oferecem bases acessíveis, reproduzíveis e compatíveis com fabrico distribuído. Por outro lado, a sua personalização continua frequentemente dependente de escalonamento, adaptação manual e conhecimento tácito da comunidade. A proposta de um sistema paramétrico assistido por inteligência artificial situa-se nesse intervalo: procura transformar modelos abertos em objetos configuráveis com regras explícitas, limites dimensionais visíveis, apoio à escolha do modelo adequado e ligação mais clara entre dados antropométricos, geometria gerada e critérios de fabrico. Deste modo, o ecossistema e-NABLE e o Victoria Hand Project não são apenas antecedentes históricos, mas referências críticas para compreender o que a plataforma deve preservar, corrigir e tornar mais verificável.</w:t>
      </w:r>
    </w:p>
    <w:p>
      <w:pPr>
        <w:pStyle w:val="Heading3"/>
        <w:bidi w:val="0"/>
        <w:jc w:val="left"/>
        <w:rPr>
          <w:lang w:val="pt-PT"/>
        </w:rPr>
      </w:pPr>
      <w:r>
        <w:rPr>
          <w:lang w:val="pt-PT"/>
        </w:rPr>
      </w:r>
    </w:p>
    <w:p>
      <w:pPr>
        <w:pStyle w:val="Heading3"/>
        <w:bidi w:val="0"/>
        <w:jc w:val="left"/>
        <w:rPr>
          <w:lang w:val="pt-PT"/>
        </w:rPr>
      </w:pPr>
      <w:r>
        <w:rPr>
          <w:lang w:val="pt-PT"/>
        </w:rPr>
        <w:t>2.5 Antropometria aplicada ao design protésico</w:t>
      </w:r>
    </w:p>
    <w:p>
      <w:pPr>
        <w:pStyle w:val="Normal"/>
        <w:bidi w:val="0"/>
        <w:jc w:val="left"/>
        <w:rPr>
          <w:lang w:val="pt-PT"/>
        </w:rPr>
      </w:pPr>
      <w:r>
        <w:rPr>
          <w:lang w:val="pt-PT"/>
        </w:rPr>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p>
    <w:p>
      <w:pPr>
        <w:pStyle w:val="Heading3"/>
        <w:bidi w:val="0"/>
        <w:jc w:val="left"/>
        <w:rPr>
          <w:lang w:val="pt-PT"/>
        </w:rPr>
      </w:pPr>
      <w:r>
        <w:rPr>
          <w:lang w:val="pt-PT"/>
        </w:rPr>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10"/>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Yu, A., Yick, K. L., Ng, S. P., &amp; Yip, J. (2013). 2D and 3D anatomical analyses of hand dimensions for custom-made gloves. Applied Ergonomics, 44, 381-392.</w:t>
      </w:r>
    </w:p>
    <w:p>
      <w:pPr>
        <w:pStyle w:val="Heading3"/>
        <w:bidi w:val="0"/>
        <w:jc w:val="left"/>
        <w:rPr>
          <w:lang w:val="pt-PT"/>
        </w:rPr>
      </w:pPr>
      <w:r>
        <w:rPr>
          <w:lang w:val="pt-PT"/>
        </w:rPr>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BodyText"/>
        <w:rPr/>
      </w:pPr>
      <w:r>
        <w:rPr>
          <w:lang w:val="pt-PT"/>
        </w:rPr>
        <w:t xml:space="preserve">1. </w:t>
      </w:r>
      <w:r>
        <w:rPr/>
        <w:t>A antropometria manual inclui medições em posturas normalizadas, com instrumentos clínicos e de ergonomia. Mantém relevância em contextos de acessibilidade clínica e de monitorização simples, por exemplo através da medição de circunferências para acompanhar variações do coto. Contudo, estas medidas podem representar de forma limitada as alterações reais de volume, uma vez que dependem da geometria do segmento e da distribuição dos tecidos, o que reduz a sua fiabilidade em decisões de ajuste fino.</w:t>
      </w:r>
      <w:r>
        <w:rPr>
          <w:lang w:val="pt-PT"/>
        </w:rPr>
        <w:t xml:space="preserve"> (Ibrahim et al., 2024 (#ref-ibrahim-2024)).</w:t>
      </w:r>
    </w:p>
    <w:p>
      <w:pPr>
        <w:pStyle w:val="BodyText"/>
        <w:rPr/>
      </w:pPr>
      <w:r>
        <w:rPr>
          <w:lang w:val="pt-PT"/>
        </w:rPr>
        <w:t xml:space="preserve">2. </w:t>
      </w:r>
      <w:r>
        <w:rPr/>
        <w:t>A digitalização 3D, através de scanning óptico, permite captar a superfície corporal sob a forma de nuvens de pontos ou malhas, posteriormente limpas e convertidas em modelos utilizáveis em CAD e fabrico, frequentemente no formato STL. Esta tecnologia facilita fluxos de personalização e pode ser combinada com processos de automatização, como a correspondência de características anatómicas, para reduzir o trabalho manual. A consistência dos resultados pode, contudo, variar conforme a complexidade da forma, sobretudo em geometrias irregulares, como segmentos residuais complexos.</w:t>
      </w:r>
      <w:r>
        <w:rPr>
          <w:lang w:val="pt-PT"/>
        </w:rPr>
        <w:t xml:space="preserve"> (Squibb et al., 2024 (#ref-squibb-2024)).</w:t>
      </w:r>
    </w:p>
    <w:p>
      <w:pPr>
        <w:pStyle w:val="BodyTex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(Silva et al., 2024 (#ref-silva-2024)).</w:t>
      </w:r>
    </w:p>
    <w:p>
      <w:pPr>
        <w:pStyle w:val="BodyText"/>
        <w:rPr/>
      </w:pPr>
      <w:r>
        <w:rPr>
          <w:lang w:val="pt-PT"/>
        </w:rPr>
        <w:t xml:space="preserve">4. </w:t>
      </w:r>
      <w:r>
        <w:rPr/>
        <w:t>As imagens médicas, como tomografia computorizada (CT) ou</w:t>
      </w:r>
      <w:r>
        <w:rPr>
          <w:b w:val="false"/>
          <w:bCs w:val="false"/>
          <w:u w:val="none"/>
        </w:rPr>
        <w:t xml:space="preserve"> </w:t>
      </w:r>
      <w:r>
        <w:rPr>
          <w:rStyle w:val="Strong"/>
          <w:b w:val="false"/>
          <w:bCs w:val="false"/>
          <w:u w:val="none"/>
        </w:rPr>
        <w:t>ressonância magnética</w:t>
      </w:r>
      <w:r>
        <w:rPr>
          <w:b w:val="false"/>
          <w:bCs w:val="false"/>
          <w:u w:val="none"/>
        </w:rPr>
        <w:t xml:space="preserve"> </w:t>
      </w:r>
      <w:r>
        <w:rPr/>
        <w:t xml:space="preserve">(MRI: </w:t>
      </w:r>
      <w:r>
        <w:rPr>
          <w:rStyle w:val="Emphasis"/>
        </w:rPr>
        <w:t>Magnetic Resonance Imaging</w:t>
      </w:r>
      <w:r>
        <w:rPr/>
        <w:t>), permitem obter geometria externa e, em alguns casos, informação interna, por exemplo sobre estruturas ósseas. Esta informação pode sustentar modelos mais ricos e abordagens como a modelação estatística de forma</w:t>
      </w:r>
      <w:r>
        <w:rPr>
          <w:rStyle w:val="FootnoteReference"/>
        </w:rPr>
        <w:footnoteReference w:id="8"/>
      </w:r>
      <w:r>
        <w:rPr/>
        <w:t>. Contudo, estas técnicas implicam maior custo e menor acessibilidade e, no caso do CT, exigem ainda considerar a exposição à radiação e a dependência de contexto hospitalar.</w:t>
      </w:r>
    </w:p>
    <w:p>
      <w:pPr>
        <w:pStyle w:val="BodyText"/>
        <w:rPr/>
      </w:pPr>
      <w:r>
        <w:rPr>
          <w:lang w:val="pt-PT"/>
        </w:rPr>
        <w:t xml:space="preserve">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w:t>
      </w:r>
      <w:r>
        <w:rPr/>
        <w:t>zonas de aquecimento localizado (</w:t>
      </w:r>
      <w:r>
        <w:rPr>
          <w:i/>
          <w:iCs/>
        </w:rPr>
        <w:t>Thermal hot spots</w:t>
      </w:r>
      <w:r>
        <w:rPr/>
        <w:t>)</w:t>
      </w:r>
      <w:r>
        <w:rPr>
          <w:lang w:val="pt-PT"/>
        </w:rPr>
        <w:t xml:space="preserve"> e flutuações de volume do membro residual. Estes métodos ajudam a ligar decisões de forma/retificação a desfechos de conforto e segurança, embora, em muitos casos, sejam descritos como ainda experimentais e com barreiras à adoção clínica (Ibrahim et al., 2024 (#ref-ibrahim-2024); Young et al., 2023 (#ref-young-2023)).</w:t>
      </w:r>
    </w:p>
    <w:p>
      <w:pPr>
        <w:pStyle w:val="Heading3"/>
        <w:bidi w:val="0"/>
        <w:jc w:val="left"/>
        <w:rPr>
          <w:lang w:val="pt-PT"/>
        </w:rPr>
      </w:pPr>
      <w:r>
        <w:rPr>
          <w:lang w:val="pt-PT"/>
        </w:rPr>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w:t>
      </w:r>
    </w:p>
    <w:p>
      <w:pPr>
        <w:pStyle w:val="Normal"/>
        <w:bidi w:val="0"/>
        <w:jc w:val="left"/>
        <w:rPr>
          <w:lang w:val="pt-PT"/>
        </w:rPr>
      </w:pPr>
      <w:r>
        <w:rPr>
          <w:lang w:val="pt-PT"/>
        </w:rPr>
        <w:t xml:space="preserve"> – </w:t>
      </w:r>
      <w:r>
        <w:rPr>
          <w:lang w:val="pt-PT"/>
        </w:rPr>
        <w:t xml:space="preserve">Métodos multivariados e aprendizagem estatística: usados quando se trabalha com dados de alta dimensionalidade (malhas, secções, nuvens de pontos), permitindo extrair padrões de retificação ou modos de variação. </w:t>
      </w:r>
    </w:p>
    <w:p>
      <w:pPr>
        <w:pStyle w:val="Normal"/>
        <w:bidi w:val="0"/>
        <w:jc w:val="left"/>
        <w:rPr>
          <w:lang w:val="pt-PT"/>
        </w:rPr>
      </w:pPr>
      <w:r>
        <w:rPr>
          <w:lang w:val="pt-PT"/>
        </w:rPr>
        <w:t xml:space="preserve">– </w:t>
      </w:r>
      <w:r>
        <w:rPr>
          <w:lang w:val="pt-PT"/>
        </w:rPr>
        <w:t>Modelos preditivos e modelação estatística de forma (SSM): aplicados para reconstruir a geometria a partir de medições reduzidas e inferir relações entre a superfície e a anatomia interna, com a</w:t>
      </w:r>
      <w:r>
        <w:rPr>
          <w:rStyle w:val="Strong"/>
          <w:b w:val="false"/>
          <w:bCs w:val="false"/>
        </w:rPr>
        <w:t>nálise de componentes principais (</w:t>
      </w:r>
      <w:r>
        <w:rPr>
          <w:lang w:val="pt-PT"/>
        </w:rPr>
        <w:t>PCA)</w:t>
      </w:r>
      <w:r>
        <w:rPr>
          <w:rStyle w:val="FootnoteReference"/>
          <w:lang w:val="pt-PT"/>
        </w:rPr>
        <w:footnoteReference w:id="9"/>
      </w:r>
      <w:r>
        <w:rPr>
          <w:lang w:val="pt-PT"/>
        </w:rPr>
        <w:t xml:space="preserve"> e regressões como ferramentas frequentes, embora limitados por tamanhos amostrais reduzidos em vários estudos (Sunderland et al., 2024 (#ref-sunderland-2024)).</w:t>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r>
    </w:p>
    <w:p>
      <w:pPr>
        <w:pStyle w:val="Heading3"/>
        <w:bidi w:val="0"/>
        <w:jc w:val="left"/>
        <w:rPr>
          <w:lang w:val="pt-PT"/>
        </w:rPr>
      </w:pPr>
      <w:r>
        <w:rPr>
          <w:lang w:val="pt-PT"/>
        </w:rPr>
        <w:t>Evidência por tipo de dispositivo</w:t>
      </w:r>
    </w:p>
    <w:p>
      <w:pPr>
        <w:pStyle w:val="Normal"/>
        <w:bidi w:val="0"/>
        <w:jc w:val="left"/>
        <w:rPr>
          <w:lang w:val="pt-PT"/>
        </w:rPr>
      </w:pPr>
      <w:r>
        <w:rPr>
          <w:lang w:val="pt-PT"/>
        </w:rPr>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t xml:space="preserve">Encaixes protésicos e ortóteses: forte ênfase na digitalização 3D, na análise quantitativa de malhas e na validação através de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 final </w:t>
      </w:r>
      <w:r>
        <w:rPr>
          <w:lang w:val="pt-PT"/>
        </w:rPr>
        <w:t xml:space="preserve">(Kannenberg et al., 2024 (#ref-kannenberg-2024); Silva et al., 2024 (#ref-silva-2024)). </w:t>
      </w:r>
    </w:p>
    <w:p>
      <w:pPr>
        <w:pStyle w:val="Normal"/>
        <w:bidi w:val="0"/>
        <w:jc w:val="left"/>
        <w:rPr>
          <w:lang w:val="pt-PT"/>
        </w:rPr>
      </w:pPr>
      <w:r>
        <w:rPr>
          <w:lang w:val="pt-PT"/>
        </w:rPr>
        <w:t xml:space="preserve">– </w:t>
      </w:r>
      <w:r>
        <w:rPr/>
        <w:t xml:space="preserve">Próteses de membro superior: coexistência de tomografia computorizada (CT), scanners comerciais e fotogrametria como métodos de captura; estudos comparativos indicam que medições obtidas por digitalização 3D podem ser fiáveis e consistentes face a métodos tradicionais quando bem implementadas. Destacam-se também fluxos automatizados que adaptam modelos CAD inteligentes a dados de digitalização, reduzindo o intervalo entre a captura anatómica e a obtenção de um modelo pronto para fabrico </w:t>
      </w:r>
      <w:r>
        <w:rPr>
          <w:lang w:val="pt-PT"/>
        </w:rPr>
        <w:t xml:space="preserve">(Chainando et al., 2025 (#ref-chainando-2025); Çıklaçandır et al., 2022 (#ref-cklacandr-2022)). </w:t>
      </w:r>
    </w:p>
    <w:p>
      <w:pPr>
        <w:pStyle w:val="Normal"/>
        <w:bidi w:val="0"/>
        <w:jc w:val="left"/>
        <w:rPr>
          <w:lang w:val="pt-PT"/>
        </w:rPr>
      </w:pPr>
      <w:r>
        <w:rPr>
          <w:lang w:val="pt-PT"/>
        </w:rPr>
        <w:t xml:space="preserve">– </w:t>
      </w:r>
      <w:r>
        <w:rPr>
          <w:lang w:val="pt-PT"/>
        </w:rPr>
        <w:t>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r>
    </w:p>
    <w:p>
      <w:pPr>
        <w:pStyle w:val="Heading3"/>
        <w:bidi w:val="0"/>
        <w:jc w:val="left"/>
        <w:rPr>
          <w:lang w:val="pt-PT"/>
        </w:rPr>
      </w:pPr>
      <w:r>
        <w:rPr>
          <w:lang w:val="pt-PT"/>
        </w:rPr>
        <w:t>Limitações, lacunas e recomendações</w:t>
      </w:r>
    </w:p>
    <w:p>
      <w:pPr>
        <w:pStyle w:val="Normal"/>
        <w:bidi w:val="0"/>
        <w:jc w:val="left"/>
        <w:rPr>
          <w:lang w:val="pt-PT"/>
        </w:rPr>
      </w:pPr>
      <w:r>
        <w:rPr>
          <w:lang w:val="pt-PT"/>
        </w:rPr>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r>
    </w:p>
    <w:p>
      <w:pPr>
        <w:pStyle w:val="Heading3"/>
        <w:bidi w:val="0"/>
        <w:jc w:val="left"/>
        <w:rPr>
          <w:lang w:val="pt-PT"/>
        </w:rPr>
      </w:pPr>
      <w:r>
        <w:rPr>
          <w:lang w:val="pt-PT"/>
        </w:rPr>
        <w:t>Estruturação de dados</w:t>
      </w:r>
    </w:p>
    <w:p>
      <w:pPr>
        <w:pStyle w:val="Normal"/>
        <w:bidi w:val="0"/>
        <w:jc w:val="left"/>
        <w:rPr>
          <w:lang w:val="pt-PT"/>
        </w:rPr>
      </w:pPr>
      <w:r>
        <w:rPr>
          <w:lang w:val="pt-PT"/>
        </w:rPr>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2.6 Inteligência Artificial no processo de design</w:t>
      </w:r>
    </w:p>
    <w:p>
      <w:pPr>
        <w:pStyle w:val="Normal"/>
        <w:bidi w:val="0"/>
        <w:jc w:val="left"/>
        <w:rPr>
          <w:lang w:val="pt-PT"/>
        </w:rPr>
      </w:pPr>
      <w:r>
        <w:rPr>
          <w:lang w:val="pt-PT"/>
        </w:rPr>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1"/>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Adaptado de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r>
    </w:p>
    <w:p>
      <w:pPr>
        <w:pStyle w:val="Heading3"/>
        <w:bidi w:val="0"/>
        <w:jc w:val="left"/>
        <w:rPr>
          <w:lang w:val="pt-PT"/>
        </w:rPr>
      </w:pPr>
      <w:r>
        <w:rPr>
          <w:lang w:val="pt-PT"/>
        </w:rPr>
        <w:t>O que é a Inteligência Artificial</w:t>
      </w:r>
    </w:p>
    <w:p>
      <w:pPr>
        <w:pStyle w:val="Normal"/>
        <w:bidi w:val="0"/>
        <w:jc w:val="left"/>
        <w:rPr>
          <w:lang w:val="pt-PT"/>
        </w:rPr>
      </w:pPr>
      <w:r>
        <w:rPr>
          <w:lang w:val="pt-PT"/>
        </w:rPr>
      </w:r>
    </w:p>
    <w:p>
      <w:pPr>
        <w:pStyle w:val="Normal"/>
        <w:bidi w:val="0"/>
        <w:jc w:val="left"/>
        <w:rPr>
          <w:lang w:val="pt-PT"/>
        </w:rPr>
      </w:pPr>
      <w:r>
        <w:rPr>
          <w:lang w:val="pt-PT"/>
        </w:rPr>
        <w:t>De forma ampla,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plausível.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w:t>
      </w:r>
      <w:r>
        <w:rPr>
          <w:rStyle w:val="FootnoteReference"/>
          <w:lang w:val="pt-PT"/>
        </w:rPr>
        <w:footnoteReference w:id="10"/>
      </w:r>
      <w:r>
        <w:rPr>
          <w:lang w:val="pt-PT"/>
        </w:rPr>
        <w:t xml:space="preserve">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p>
    <w:p>
      <w:pPr>
        <w:pStyle w:val="Heading3"/>
        <w:bidi w:val="0"/>
        <w:jc w:val="left"/>
        <w:rPr>
          <w:lang w:val="pt-PT"/>
        </w:rPr>
      </w:pPr>
      <w:r>
        <w:rPr>
          <w:lang w:val="pt-PT"/>
        </w:rPr>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w:t>
      </w:r>
      <w:r>
        <w:rPr>
          <w:rStyle w:val="FootnoteReference"/>
          <w:lang w:val="pt-PT"/>
        </w:rPr>
        <w:footnoteReference w:id="11"/>
      </w:r>
      <w:r>
        <w:rPr>
          <w:lang w:val="pt-PT"/>
        </w:rP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p>
    <w:p>
      <w:pPr>
        <w:pStyle w:val="Heading3"/>
        <w:bidi w:val="0"/>
        <w:jc w:val="left"/>
        <w:rPr>
          <w:lang w:val="pt-PT"/>
        </w:rPr>
      </w:pPr>
      <w:r>
        <w:rPr>
          <w:lang w:val="pt-PT"/>
        </w:rPr>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r>
    </w:p>
    <w:p>
      <w:pPr>
        <w:pStyle w:val="Heading3"/>
        <w:bidi w:val="0"/>
        <w:jc w:val="left"/>
        <w:rPr>
          <w:lang w:val="pt-PT"/>
        </w:rPr>
      </w:pPr>
      <w:r>
        <w:rPr>
          <w:lang w:val="pt-PT"/>
        </w:rPr>
        <w:t>IA ao longo do processo de design</w:t>
      </w:r>
    </w:p>
    <w:p>
      <w:pPr>
        <w:pStyle w:val="Normal"/>
        <w:bidi w:val="0"/>
        <w:jc w:val="left"/>
        <w:rPr>
          <w:lang w:val="pt-PT"/>
        </w:rPr>
      </w:pPr>
      <w:r>
        <w:rPr>
          <w:lang w:val="pt-PT"/>
        </w:rPr>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A eficácia da IA varia consoante a etapa do processo de design.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campo de exploração e acelerar a comparação entre alternativas, mas a decisão sobre o que faz sentido desenvolver, para quem, em que contexto e com que consequências permanece uma responsabilidade humana. (Ao et al., 2025 (#ref-ao-2025); Choudhury et al., 2025 (#ref-choudhury-2025); Virós-i-Martin &amp; Selva, 2021 (#ref-viros-i-martin-2021)).</w:t>
      </w:r>
    </w:p>
    <w:p>
      <w:pPr>
        <w:pStyle w:val="Heading3"/>
        <w:bidi w:val="0"/>
        <w:jc w:val="left"/>
        <w:rPr>
          <w:lang w:val="pt-PT"/>
        </w:rPr>
      </w:pPr>
      <w:r>
        <w:rPr>
          <w:lang w:val="pt-PT"/>
        </w:rPr>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r>
    </w:p>
    <w:p>
      <w:pPr>
        <w:pStyle w:val="Normal"/>
        <w:bidi w:val="0"/>
        <w:jc w:val="left"/>
        <w:rPr>
          <w:lang w:val="pt-PT"/>
        </w:rPr>
      </w:pPr>
      <w:r>
        <w:rPr>
          <w:lang w:val="pt-PT"/>
        </w:rPr>
        <w:t>A integração da IA no processo de design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(Figoli et al., 2022 (#ref-figoli-2022); Kadenhe et al., 2025 (#ref-kadenhe-2025); Virós-i-Martin &amp; Selva, 2021 (#ref-viros-i-martin-2021)).</w:t>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2.7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r>
        <w:rPr>
          <w:shd w:fill="FFFF00" w:val="clear"/>
          <w:lang w:val="pt-PT"/>
        </w:rPr>
        <w:t>O meta-design aprofunda esta lógica ao defender a participação “em uso”,</w:t>
      </w:r>
      <w:r>
        <w:rPr/>
        <w:commentReference w:id="3"/>
      </w:r>
      <w:r>
        <w:rPr>
          <w:shd w:fill="FFFF00" w:val="clear"/>
          <w:lang w:val="pt-PT"/>
        </w:rPr>
        <w:t xml:space="preserve"> estabelecendo condições técnicas e sociais para que os utilizadores se tornem co-designers e o sistema evolua ao longo do tempo. 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commentReference w:id="4"/>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2"/>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 xml:space="preserve">Fonte original: Akasaka, M., Veeckman, C., Georges, A., Schuurman, D., &amp; Coorevits, L. (2022). A framework for configuring participation in living labs. </w:t>
      </w:r>
      <w:hyperlink r:id="rId13">
        <w:r>
          <w:rPr>
            <w:rStyle w:val="Hyperlink"/>
            <w:lang w:val="pt-PT"/>
          </w:rPr>
          <w:t>https://www.semanticscholar.org/paper/305d55af5fda06b4d1b33e7d29c1f16d1b7ea488</w:t>
        </w:r>
      </w:hyperlink>
    </w:p>
    <w:p>
      <w:pPr>
        <w:pStyle w:val="Normal"/>
        <w:bidi w:val="0"/>
        <w:jc w:val="left"/>
        <w:rPr>
          <w:lang w:val="pt-PT"/>
        </w:rPr>
      </w:pPr>
      <w:r>
        <w:rPr>
          <w:lang w:val="pt-PT"/>
        </w:rPr>
      </w:r>
    </w:p>
    <w:p>
      <w:pPr>
        <w:pStyle w:val="Normal"/>
        <w:bidi w:val="0"/>
        <w:jc w:val="left"/>
        <w:rPr>
          <w:lang w:val="pt-PT"/>
        </w:rPr>
      </w:pPr>
      <w:r>
        <w:rPr>
          <w:lang w:val="pt-PT"/>
        </w:rPr>
        <w:t>A literatura identifica, contudo, o risco de sobrecarga participativa, entendido como a transferência excessiva de trabalho, responsabilidade e decisão para os utilizadores. Este risco exige mecanismos de apoio, curadoria e reutilização que tornem a participação sustentável (Fischer et al., 2017 (#ref-fischer-2017)).</w:t>
      </w:r>
    </w:p>
    <w:p>
      <w:pPr>
        <w:pStyle w:val="Normal"/>
        <w:bidi w:val="0"/>
        <w:jc w:val="left"/>
        <w:rPr>
          <w:lang w:val="pt-PT"/>
        </w:rPr>
      </w:pPr>
      <w:r>
        <w:rPr>
          <w:lang w:val="pt-PT"/>
        </w:rPr>
        <w:t xml:space="preserve">Em paralelo, o conceito de </w:t>
      </w:r>
      <w:r>
        <w:rPr>
          <w:rStyle w:val="Emphasis"/>
          <w:lang w:val="pt-PT"/>
        </w:rPr>
        <w:t>Software Shaping Workshop</w:t>
      </w:r>
      <w:r>
        <w:rPr>
          <w:lang w:val="pt-PT"/>
        </w:rPr>
        <w:t xml:space="preserve"> operacionaliza o meta-design, entendido como uma abordagem que cria condições técnicas e sociais para que utilizadores finais participem ativamente na adaptação e evolução dos sistemas que utilizam. Neste enquadramento, o </w:t>
      </w:r>
      <w:r>
        <w:rPr>
          <w:rStyle w:val="Emphasis"/>
          <w:lang w:val="pt-PT"/>
        </w:rPr>
        <w:t>Software Shaping Workshop</w:t>
      </w:r>
      <w:r>
        <w:rPr>
          <w:lang w:val="pt-PT"/>
        </w:rP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scripts, exercícios e conteúdos sem necessidade de programação especializada,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lang w:val="pt-PT"/>
        </w:rPr>
      </w:pPr>
      <w:r>
        <w:rPr>
          <w:lang w:val="pt-PT"/>
        </w:rPr>
      </w:r>
    </w:p>
    <w:p>
      <w:pPr>
        <w:pStyle w:val="Normal"/>
        <w:bidi w:val="0"/>
        <w:jc w:val="left"/>
        <w:rPr>
          <w:highlight w:val="none"/>
          <w:shd w:fill="auto" w:val="clear"/>
        </w:rPr>
      </w:pPr>
      <w:r>
        <w:rPr>
          <w:shd w:fill="auto"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fatores promovem adesão e que barreiras dificultam continuidade</w:t>
            </w:r>
          </w:p>
        </w:tc>
      </w:tr>
    </w:tbl>
    <w:p>
      <w:pPr>
        <w:pStyle w:val="Normal"/>
        <w:bidi w:val="0"/>
        <w:jc w:val="left"/>
        <w:rPr>
          <w:highlight w:val="none"/>
          <w:shd w:fill="auto" w:val="clear"/>
        </w:rPr>
      </w:pPr>
      <w:r>
        <w:rPr>
          <w:shd w:fill="auto" w:val="clear"/>
        </w:rPr>
      </w:r>
    </w:p>
    <w:p>
      <w:pPr>
        <w:pStyle w:val="Normal"/>
        <w:bidi w:val="0"/>
        <w:jc w:val="left"/>
        <w:rPr/>
      </w:pPr>
      <w:r>
        <w:rPr>
          <w:shd w:fill="auto" w:val="clear"/>
          <w:lang w:val="pt-PT"/>
        </w:rPr>
        <w:t xml:space="preserve">Fonte adaptada. Referência original: Akasaka, M., Veeckman, C., Georges, A., Schuurman, D., &amp; Coorevits, L. (2022). A framework for configuring participation in living labs. </w:t>
      </w:r>
      <w:hyperlink r:id="rId14">
        <w:r>
          <w:rPr>
            <w:rStyle w:val="Hyperlink"/>
            <w:shd w:fill="auto" w:val="clear"/>
            <w:lang w:val="pt-PT"/>
          </w:rPr>
          <w:t>https://www.semanticscholar.org/paper/305d55af5fda06b4d1b33e7d29c1f16d1b7ea488</w:t>
        </w:r>
      </w:hyperlink>
    </w:p>
    <w:p>
      <w:pPr>
        <w:pStyle w:val="Normal"/>
        <w:bidi w:val="0"/>
        <w:jc w:val="left"/>
        <w:rPr>
          <w:highlight w:val="none"/>
          <w:shd w:fill="auto" w:val="clear"/>
          <w:lang w:val="pt-PT"/>
        </w:rPr>
      </w:pPr>
      <w:r>
        <w:rPr>
          <w:shd w:fill="auto" w:val="clea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Normal"/>
        <w:bidi w:val="0"/>
        <w:jc w:val="left"/>
        <w:rPr>
          <w:lang w:val="pt-PT"/>
        </w:rPr>
      </w:pPr>
      <w:r>
        <w:rPr>
          <w:lang w:val="pt-PT"/>
        </w:rPr>
      </w:r>
    </w:p>
    <w:p>
      <w:pPr>
        <w:pStyle w:val="BodyText"/>
        <w:rPr>
          <w:lang w:val="pt-PT"/>
        </w:rPr>
      </w:pPr>
      <w:r>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BodyText"/>
        <w:rPr>
          <w:lang w:val="pt-PT"/>
        </w:rPr>
      </w:pPr>
      <w:r>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BodyText"/>
        <w:rPr>
          <w:lang w:val="pt-PT"/>
        </w:rPr>
      </w:pPr>
      <w:r>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digital twins</w:t>
      </w:r>
      <w:r>
        <w:rPr>
          <w:rStyle w:val="FootnoteReference"/>
          <w:i/>
          <w:iCs/>
          <w:lang w:val="pt-PT"/>
        </w:rPr>
        <w:footnoteReference w:id="12"/>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 Estudos sobre próteses pediátricas, serviços de reabilitação assistiva e modelos como o Victoria Hand Project</w:t>
      </w:r>
      <w:r>
        <w:rPr/>
        <w:commentReference w:id="5"/>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2.8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FFFF00" w:val="clear"/>
          <w:lang w:val="pt-PT"/>
        </w:rPr>
        <w:t>por nível de prontidão tecnológica, ou Technology Readiness Level (TRL)</w:t>
      </w:r>
      <w:r>
        <w:rPr>
          <w:rStyle w:val="FootnoteReference"/>
          <w:shd w:fill="FFFF00" w:val="clear"/>
          <w:lang w:val="pt-PT"/>
        </w:rPr>
        <w:footnoteReference w:id="13"/>
      </w:r>
      <w:r>
        <w:rPr>
          <w:shd w:fill="FFFF00" w:val="clear"/>
          <w:lang w:val="pt-PT"/>
        </w:rPr>
        <w:t>,</w:t>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5"/>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6"/>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r>
        <w:rPr/>
        <w:commentReference w:id="6"/>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commentReference w:id="7"/>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8"/>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7"/>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9"/>
      <w:r>
        <w:rPr>
          <w:lang w:val="pt-PT"/>
        </w:rPr>
        <w:t xml:space="preserve">s OpenSCAD/WebAssembly </w:t>
      </w:r>
      <w:r>
        <w:rPr>
          <w:lang w:val="pt-PT"/>
        </w:rPr>
      </w:r>
      <w:commentRangeEnd w:id="9"/>
      <w:r>
        <w:commentReference w:id="9"/>
      </w:r>
      <w:r>
        <w:rPr>
          <w:lang w:val="pt-PT"/>
        </w:rPr>
        <w:t xml:space="preserve">e se os ficheiros </w:t>
      </w:r>
      <w:commentRangeStart w:id="10"/>
      <w:r>
        <w:rPr>
          <w:lang w:val="pt-PT"/>
        </w:rPr>
        <w:t>3MF e STL</w:t>
      </w:r>
      <w:r>
        <w:rPr>
          <w:lang w:val="pt-PT"/>
        </w:rPr>
      </w:r>
      <w:commentRangeEnd w:id="10"/>
      <w:r>
        <w:commentReference w:id="10"/>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11"/>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8"/>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9">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20"/>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21">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1"/>
        <w:gridCol w:w="2614"/>
        <w:gridCol w:w="2529"/>
        <w:gridCol w:w="1642"/>
      </w:tblGrid>
      <w:tr>
        <w:trPr>
          <w:tblHeader w:val="true"/>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r>
        <w:rPr>
          <w:lang w:val="pt-PT"/>
        </w:rPr>
        <w:t>A opção pelo formato longo resultou de uma decisão metodológica orientada para a flexibilidade da estrutura de dados. Em vez de criar uma linha por dimensão com colunas fixas para média, desvio-padrão e percentis, cada estatística foi registada como uma linha própria. Assim, uma mesma dimensão pode originar várias linhas relativas à média, ao desvio-padrão, ao P5, P50, P95, mínimo ou máximo.</w:t>
      </w:r>
    </w:p>
    <w:p>
      <w:pPr>
        <w:pStyle w:val="Normal"/>
        <w:bidi w:val="0"/>
        <w:jc w:val="left"/>
        <w:rPr>
          <w:lang w:val="pt-PT"/>
        </w:rPr>
      </w:pPr>
      <w:r>
        <w:rPr>
          <w:lang w:val="pt-PT"/>
        </w:rPr>
        <w:t>Este formato facilita a integração de fontes incompletas, porque nem todos os estudos reportam o mesmo conjunto de estatísticas.</w:t>
      </w:r>
    </w:p>
    <w:p>
      <w:pPr>
        <w:pStyle w:val="Normal"/>
        <w:bidi w:val="0"/>
        <w:jc w:val="left"/>
        <w:rPr>
          <w:lang w:val="pt-PT"/>
        </w:rPr>
      </w:pPr>
      <w:r>
        <w:rPr>
          <w:lang w:val="pt-PT"/>
        </w:rPr>
        <w:t xml:space="preserve">Na base atual, existem 612 médias, 609 desvios-padrão, 513 percentis, 28 mínimos e 28 máximos. Esta assimetria é metodologicamente relevante: </w:t>
      </w:r>
      <w:r>
        <w:rPr/>
        <w:t>os conjuntos de dados (</w:t>
      </w:r>
      <w:r>
        <w:rPr>
          <w:i/>
          <w:iCs/>
        </w:rPr>
        <w:t>Datasets</w:t>
      </w:r>
      <w:r>
        <w:rPr/>
        <w:t>)</w:t>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As principais dificuldades encontradas dizem respeito à heterogeneidade dos protocolos. A expressão “comprimento da mão”, por exemplo, nem sempre corresponde ao mesmo trajeto anatómico: alguns estudos tomam como referência a linha de flexão do punho, outros o processo estilóide, enquanto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r>
      <w:r>
        <w:rPr/>
        <w:t>Em sentido inverso, algumas fontes facilitaram a extração. As tabelas com percentis claros, unidades explícitas e separação por sexo ou idade permitiram uma codificação direta e maior confiança na transcrição dos valores. No caso da DINED, a estrutura HTML da interface facilitou a identificação e extração repetível das médias e dos desvios-padrão, permitindo registar, para cada medida antropométrica, tanto o valor médio observado no grupo como a respetiva variabilidade interna. Esta informação foi recolhida mantendo a separação entre sub-bases, sexo e grupos etários, embora os percentis não estivessem disponíveis na mesma interface.</w:t>
      </w:r>
    </w:p>
    <w:p>
      <w:pPr>
        <w:pStyle w:val="BodyText"/>
        <w:bidi w:val="0"/>
        <w:jc w:val="left"/>
        <w:rPr>
          <w:lang w:val="pt-PT"/>
        </w:rPr>
      </w:pPr>
      <w:r>
        <w:rPr>
          <w:lang w:val="pt-PT"/>
        </w:rPr>
        <w:t>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 xml:space="preserve">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 A base de dados construída permite comparar, de forma rastreável, valores relativos ao comprimento da mão, à largura da palma, aos comprimentos digitais, às dimensões do punho e às relações com o antebraço. </w:t>
      </w:r>
      <w:r>
        <w:rPr/>
        <w:t>Deste modo, a base de dados sustenta a passagem entre o enquadramento antropométrico e a modelação paramétrica tridimensional, usando OpenSCAD: os dados não geram automaticamente a prótese,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Heading3"/>
        <w:bidi w:val="0"/>
        <w:jc w:val="left"/>
        <w:rPr>
          <w:lang w:val="pt-PT"/>
        </w:rPr>
      </w:pPr>
      <w:r>
        <w:rPr/>
        <w:t>OpenSCAD: enquadramento e justificação da escolha</w:t>
      </w:r>
    </w:p>
    <w:p>
      <w:pPr>
        <w:pStyle w:val="Normal"/>
        <w:bidi w:val="0"/>
        <w:jc w:val="left"/>
        <w:rPr>
          <w:lang w:val="pt-PT"/>
        </w:rPr>
      </w:pPr>
      <w:r>
        <w:rPr/>
        <w:t>Antes de avançar para a formalização do modelo, importa clarificar o que é o OpenSCAD e por que motivo foi escolhido como ambiente de modelação paramétrica neste projeto. O OpenSCAD é um ambiente livre e open source de CAD tridimensional baseado em ficheiros de script, orientado para a criação de geometria sólida e não para a modelação artística de superfícies. O modelo é descrito num ficheiro .scad, escrito numa linguagem própria, e esse ficheiro é interpretado pelo programa para gerar o sólido correspondente. Do ponto de vista geométrico, o OpenSCAD assenta numa lógica de Constructive Solid Geometry (CSG), na qual primitivas como cubos, cilindros, esferas e extrusões são combinadas por operações booleanas, transformações e relações hierárquicas entre módulos (OpenSCAD Project, n.d.-a (#ref-openscad-project-nd-a); OpenSCAD Project, n.d.-b (#ref-openscad-project-nd-b); Ghali, 2008 (#ref-ghali-2008)).</w:t>
      </w:r>
    </w:p>
    <w:p>
      <w:pPr>
        <w:pStyle w:val="Normal"/>
        <w:bidi w:val="0"/>
        <w:jc w:val="left"/>
        <w:rPr>
          <w:lang w:val="pt-PT"/>
        </w:rPr>
      </w:pPr>
      <w:r>
        <w:rPr/>
        <w:t>Esta natureza programável distingue o OpenSCAD dos ambientes CAD convencionais baseados sobretudo em manipulação gráfica direta. Em muitos sistemas CAD, o utilizador constrói uma sequência de operações num histórico visual e parametriza algumas características desse histórico; no OpenSCAD,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(Trautmann, 2021 (#ref-trautmann-2021); Gonzalez Avila et al., 2024 (#ref-gonzalez-avila-2024)).</w:t>
      </w:r>
    </w:p>
    <w:p>
      <w:pPr>
        <w:pStyle w:val="Normal"/>
        <w:bidi w:val="0"/>
        <w:jc w:val="left"/>
        <w:rPr>
          <w:lang w:val="pt-PT"/>
        </w:rPr>
      </w:pPr>
      <w:r>
        <w:rPr/>
        <w:t>A escolha do OpenSCAD resulta, em primeiro lugar, da sua adequação a processos reprodutíveis de design paramétrico. Por ser texto simples, o ficheiro-fonte pode ser versionado, comparado, revisto e reutilizado, o que favorece a rastreabilidade das decisões de modelação e a replicação das variantes geradas. Esta característica é particularmente valorizada em hardware científico e open source, precisamente porque a documentação do processo é tão importante como o ficheiro final exportado. Além disso, o OpenSCAD pode ser executado por linha de comando, receber valores por parâmetros e exportar automaticamente geometrias para formatos de fabrico digital, como STL ou 3MF, tornando-o compatível com fluxos de geração em lote e com configuradores digitais (Machado et al., 2019 (#ref-machado-2019); OpenSCAD Community, n.d. (#ref-openscad-community-nd)).</w:t>
      </w:r>
    </w:p>
    <w:p>
      <w:pPr>
        <w:pStyle w:val="Normal"/>
        <w:bidi w:val="0"/>
        <w:jc w:val="left"/>
        <w:rPr>
          <w:lang w:val="pt-PT"/>
        </w:rPr>
      </w:pPr>
      <w:r>
        <w:rPr/>
        <w:t>Em segundo lugar, o OpenSCAD adapta-se bem à arquitetura web proposta nesta dissertação. A separação entre definição geométrica e interface permite que o ficheiro .scad permaneça como núcleo técnico do modelo, enquanto a plataforma apresenta ao utilizador apenas os parâmetros relevantes. Esta lógica já foi explorada em configuradores web baseados em OpenSCAD, nos quais utilizadores sem domínio da linguagem podem gerar variantes imprimíveis a partir de modelos parametrizados por designers. A existência de implementações em WebAssembly, como o OpenSCAD Web, reforça esta escolha, porque demonstra que o motor de geração pode ser executado no navegador, associado a editores, visualizadores 3D e interfaces de customização sem exigir a instalação local de software CAD completo (Nilsiam &amp; Pearce, 2017 (#ref-nilsiam-2017); Brooks, 2026 (#ref-brooks-2026)).</w:t>
      </w:r>
    </w:p>
    <w:p>
      <w:pPr>
        <w:pStyle w:val="Normal"/>
        <w:bidi w:val="0"/>
        <w:jc w:val="left"/>
        <w:rPr>
          <w:lang w:val="pt-PT"/>
        </w:rPr>
      </w:pPr>
      <w:r>
        <w:rPr/>
        <w:t>Em terceiro lugar, o OpenSCAD é particularmente compatível com um fluxo de design assistido por inteligência artificial. Como a geometria é expressa em código curto, estruturado e relativamente legível, uma IA pode sugerir valores, explicar relações entre variáveis ou propor alterações ao script sem substituir a lógica paramétrica por uma geometria opaca. Trabalhos recentes sobre geração de modelos 3D a partir de linguagem natural e automação de desenho paramétrico mostram que modelos de linguagem podem atuar sobre scripts CAD, embora continuem a exigir revisão humana, verificação dimensional e validação técnica antes de qualquer aplicação produtiva ou clínica (ELhadad et al., 2026 (#ref-elhadad-2026); Schöfer &amp; Seibel, 2025 (#ref-schofer-seibel-2025); Gonzalez Avila et al., 2024 (#ref-gonzalez-avila-2024)).</w:t>
      </w:r>
    </w:p>
    <w:p>
      <w:pPr>
        <w:pStyle w:val="Normal"/>
        <w:bidi w:val="0"/>
        <w:jc w:val="left"/>
        <w:rPr>
          <w:lang w:val="pt-PT"/>
        </w:rPr>
      </w:pPr>
      <w:r>
        <w:rPr/>
        <w:t>No contexto específico das próteses e das tecnologias de apoio, esta escolha é ainda reforçada por estudos que usam modelação paramétrica para adaptar dedos protésicos, mãos mecânicas acionadas pelo corpo e produtos assistivos às medidas ou necessidades do utilizador. Estes trabalhos não eliminam a necessidade de ensaios funcionais, avaliação ergonómica ou validação clínica, mas demonstram que a personalização geométrica pode ser estruturada por parâmetros explícitos e por modelos reexecutáveis. Para este projeto, o OpenSCAD é, portanto, adequado não porque resolva sozinho o problema da prótese personalizada, mas porque oferece uma base transparente para ligar medidas antropométricas, regras de modelação, interface web, sugestões de IA, exportação para fabrico aditivo e revisão humana (Lim et al., 2018 (#ref-lim-2018); Bustamante et al., 2018 (#ref-bustamante-2018); Romani &amp; Levi, 2020 (#ref-romani-levi-2020)).</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2"/>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3">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lang w:val="pt-PT"/>
        </w:rPr>
      </w:pPr>
      <w:r>
        <w:rPr>
          <w:lang w:val="pt-PT"/>
        </w:rPr>
        <w:t>Por fim, importa reconhecer que a robustez da abordagem resulta da articulação entre a geração da geometria e as etapas subsequentes de validação. Mesmo quando a lógica paramétrica é clara e as restrições estão integradas, a confirmação do modelo depende da verificação durante a preparação do modelo para impressão 3D, do controlo dimensional, de eventual simulação estrutural e da observação do comportamento da peça em protótipo.</w:t>
      </w:r>
    </w:p>
    <w:p>
      <w:pPr>
        <w:pStyle w:val="Normal"/>
        <w:bidi w:val="0"/>
        <w:jc w:val="left"/>
        <w:rPr/>
      </w:pPr>
      <w:r>
        <w:rPr>
          <w:lang w:val="pt-PT"/>
        </w:rPr>
        <w:t xml:space="preserve">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12"/>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12"/>
      <w:r>
        <w:commentReference w:id="12"/>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13"/>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13"/>
      <w:r>
        <w:commentReference w:id="13"/>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Neste sentido, a evolução do modelo confirmou a relevância de integrar critérios de Design for Additive Manufacturing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w:t>
      </w:r>
      <w:r>
        <w:rPr/>
        <w:t>Por essa razão, várias revisões do modelo implicaram reajustes que articularam a correção formal da geometria com a necessidade de manter um equilíbrio plausível entre adaptação dimensional, comportamento funcional e viabilidade material.</w:t>
      </w:r>
    </w:p>
    <w:p>
      <w:pPr>
        <w:pStyle w:val="Normal"/>
        <w:bidi w:val="0"/>
        <w:jc w:val="left"/>
        <w:rPr>
          <w:lang w:val="pt-PT"/>
        </w:rPr>
      </w:pPr>
      <w:r>
        <w:rPr>
          <w:lang w:val="pt-PT"/>
        </w:rPr>
        <w:t>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w:t>
      </w:r>
    </w:p>
    <w:p>
      <w:pPr>
        <w:pStyle w:val="Normal"/>
        <w:bidi w:val="0"/>
        <w:jc w:val="left"/>
        <w:rPr>
          <w:lang w:val="pt-PT"/>
        </w:rPr>
      </w:pPr>
      <w:r>
        <w:rPr>
          <w:lang w:val="pt-PT"/>
        </w:rPr>
        <w:t>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14"/>
      <w:r>
        <w:rPr>
          <w:lang w:val="pt-PT"/>
        </w:rPr>
        <w:t>ivamente técnica (Peixoto et al., 2025 (#ref-peixoto-2025)).</w:t>
      </w:r>
      <w:commentRangeEnd w:id="14"/>
      <w:r>
        <w:commentReference w:id="14"/>
      </w:r>
      <w:r>
        <w:rPr>
          <w:lang w:val="pt-PT"/>
        </w:rPr>
      </w:r>
    </w:p>
    <w:p>
      <w:pPr>
        <w:pStyle w:val="Normal"/>
        <w:bidi w:val="0"/>
        <w:jc w:val="left"/>
        <w:rPr>
          <w:lang w:val="pt-PT"/>
        </w:rPr>
      </w:pPr>
      <w:r>
        <w:rPr>
          <w:lang w:val="pt-PT"/>
        </w:rPr>
      </w:r>
    </w:p>
    <w:p>
      <w:pPr>
        <w:pStyle w:val="Normal"/>
        <w:bidi w:val="0"/>
        <w:jc w:val="left"/>
        <w:rPr>
          <w:lang w:val="pt-PT"/>
        </w:rPr>
      </w:pPr>
      <w:r>
        <w:rPr>
          <w:lang w:val="pt-PT"/>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31510" cy="2687955"/>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24"/>
                    <a:stretch>
                      <a:fillRect/>
                    </a:stretch>
                  </pic:blipFill>
                  <pic:spPr bwMode="auto">
                    <a:xfrm>
                      <a:off x="0" y="0"/>
                      <a:ext cx="5731510" cy="2687955"/>
                    </a:xfrm>
                    <a:prstGeom prst="rect">
                      <a:avLst/>
                    </a:prstGeom>
                    <a:noFill/>
                  </pic:spPr>
                </pic:pic>
              </a:graphicData>
            </a:graphic>
          </wp:anchor>
        </w:drawing>
      </w:r>
    </w:p>
    <w:p>
      <w:pPr>
        <w:pStyle w:val="Normal"/>
        <w:bidi w:val="0"/>
        <w:jc w:val="left"/>
        <w:rPr>
          <w:lang w:val="pt-PT"/>
        </w:rPr>
      </w:pPr>
      <w:r>
        <w:rPr>
          <w:lang w:val="pt-PT"/>
        </w:rPr>
        <w:t>Figura 5.1 — Fluxo geral de produção personalizada de próteses a partir de plataforma web – Hand Fab</w:t>
      </w:r>
    </w:p>
    <w:p>
      <w:pPr>
        <w:pStyle w:val="Normal"/>
        <w:bidi w:val="0"/>
        <w:jc w:val="left"/>
        <w:rPr>
          <w:lang w:val="pt-PT"/>
        </w:rPr>
      </w:pPr>
      <w:r>
        <w:rPr>
          <w:lang w:val="pt-PT"/>
        </w:rPr>
        <w:t>Produção própria</w:t>
      </w:r>
    </w:p>
    <w:p>
      <w:pPr>
        <w:pStyle w:val="Normal"/>
        <w:bidi w:val="0"/>
        <w:jc w:val="left"/>
        <w:rPr>
          <w:lang w:val="pt-PT"/>
        </w:rPr>
      </w:pP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6"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descr="Image 15"/>
                    <pic:cNvPicPr>
                      <a:picLocks noChangeAspect="1" noChangeArrowheads="1"/>
                    </pic:cNvPicPr>
                  </pic:nvPicPr>
                  <pic:blipFill>
                    <a:blip r:embed="rId25"/>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Górski, F., Zawadzki, P., Wichniarek, R., Kuczko, W., Słupińska, S., &amp; Żukowska, M. (2022). Automated design and rapid manufacturing of low-cost customized upper limb prostheses. Journal of Physics: Conference Series, 2198, 012040. </w:t>
      </w:r>
      <w:hyperlink r:id="rId26">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lang w:val="pt-PT"/>
        </w:rPr>
        <w:t xml:space="preserve">Operacionalmente, a integração articula três elementos principais: os ficheiros </w:t>
      </w:r>
      <w:r>
        <w:rPr>
          <w:rStyle w:val="SourceText"/>
          <w:lang w:val="pt-PT"/>
        </w:rPr>
        <w:t>.scad</w:t>
      </w:r>
      <w:r>
        <w:rPr>
          <w:lang w:val="pt-PT"/>
        </w:rPr>
        <w:t>, formato de script utilizado pelo OpenSCAD para definir modelos geométricos por código; os parâmetros introduzidos ou ajustados na interface; e o ambiente de execução em WebAssembly. Quando o utilizador altera uma configuração, a plataforma envia os valores atualizados para um Web Worker, que aplica esses parâmetros ao modelo em OpenSCAD e gera a geometria tridimensional correspondente. O resultado é depois devolvido ao visualizador no navegador, permitindo observar os efeitos das alterações sem recorrer a software CAD instalado localmente. Este fluxo estabelece uma ligação direta entre edição paramétrica, cálculo geométrico e feedback visual, mantendo o processo rastreável dentro da própria plataforma.</w:t>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w:t>
      </w:r>
      <w:r>
        <w:rPr/>
        <w:t>Esta organização modular permite distribuir as funcionalidades da plataforma, ao mesmo tempo que estrutura o processo de personalização como uma sequência legível de operações.</w:t>
      </w:r>
    </w:p>
    <w:p>
      <w:pPr>
        <w:pStyle w:val="Normal"/>
        <w:bidi w:val="0"/>
        <w:jc w:val="left"/>
        <w:rPr>
          <w:lang w:val="pt-PT"/>
        </w:rPr>
      </w:pPr>
      <w:r>
        <w:rPr>
          <w:lang w:val="pt-PT"/>
        </w:rPr>
        <w:t xml:space="preserve"> </w:t>
      </w:r>
      <w:r>
        <w:rPr>
          <w:lang w:val="pt-PT"/>
        </w:rPr>
        <w:t xml:space="preserve">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7"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descr="Image 16"/>
                    <pic:cNvPicPr>
                      <a:picLocks noChangeAspect="1" noChangeArrowheads="1"/>
                    </pic:cNvPicPr>
                  </pic:nvPicPr>
                  <pic:blipFill>
                    <a:blip r:embed="rId27"/>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Li, M., &amp; Aflatoony, L. (2025). Parametric design and three-dimensional printing: Enabling occupational therapists to develop custom hand grips. Disability and Rehabilitation: Assistive Technology, 20(6), 1829-1837. </w:t>
      </w:r>
      <w:hyperlink r:id="rId28">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15"/>
      <w:r>
        <w:rPr>
          <w:lang w:val="pt-PT"/>
        </w:rPr>
        <w:t>STL ou 3MF</w:t>
      </w:r>
      <w:r>
        <w:rPr>
          <w:lang w:val="pt-PT"/>
        </w:rPr>
      </w:r>
      <w:commentRangeEnd w:id="15"/>
      <w:r>
        <w:commentReference w:id="15"/>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 xml:space="preserve">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 A sua presença confirma que a estrutura funcional </w:t>
      </w:r>
      <w:commentRangeStart w:id="16"/>
      <w:r>
        <w:rPr>
          <w:lang w:val="pt-PT"/>
        </w:rPr>
        <w:t>da plataforma não se esgota na manipulação de parâmetros e na visualização de</w:t>
      </w:r>
      <w:r>
        <w:rPr>
          <w:lang w:val="pt-PT"/>
        </w:rPr>
      </w:r>
      <w:commentRangeEnd w:id="16"/>
      <w:r>
        <w:commentReference w:id="16"/>
      </w:r>
      <w:r>
        <w:rPr>
          <w:lang w:val="pt-PT"/>
        </w:rPr>
        <w:t xml:space="preserve"> formas; inclui também a gestão das relações entre agentes, das responsabilidades e dos níveis de intervenção. Neste sentido, a aplicação obtém sugestões paramétricas através do servidor, que se comunica com serviços externos por intermédio de um </w:t>
      </w:r>
      <w:commentRangeStart w:id="17"/>
      <w:r>
        <w:rPr>
          <w:lang w:val="pt-PT"/>
        </w:rPr>
        <w:t>proxy seguro</w:t>
      </w:r>
      <w:r>
        <w:rPr>
          <w:lang w:val="pt-PT"/>
        </w:rPr>
      </w:r>
      <w:commentRangeEnd w:id="17"/>
      <w:r>
        <w:commentReference w:id="17"/>
      </w:r>
      <w:r>
        <w:rPr>
          <w:lang w:val="pt-PT"/>
        </w:rPr>
        <w:t>, mas enquadra essa capacidade dentro de 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18"/>
      <w:r>
        <w:rPr>
          <w:lang w:val="pt-PT"/>
        </w:rPr>
        <w:t>No caso do Paraglider Hand, também conhecido como Flexible Flyer, a integração partiu de uma mão mecânica acionada pelo corpo, derivada da linhagem Phoenix e UnLimbited.</w:t>
      </w:r>
      <w:r>
        <w:rPr>
          <w:lang w:val="pt-PT"/>
        </w:rPr>
      </w:r>
      <w:commentRangeEnd w:id="18"/>
      <w:r>
        <w:commentReference w:id="18"/>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19"/>
      <w:r>
        <w:rPr>
          <w:lang w:val="pt-PT"/>
        </w:rPr>
        <w:t>parâmetros de hardware</w:t>
      </w:r>
      <w:r>
        <w:rPr>
          <w:lang w:val="pt-PT"/>
        </w:rPr>
      </w:r>
      <w:commentRangeEnd w:id="19"/>
      <w:r>
        <w:commentReference w:id="19"/>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Cada configuração registada pode, assim, ser entendida como uma instância rastreável do processo de personalização, e não apenas como um ficheiro transitório. 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 xml:space="preserve">Do ponto de vista funcional, a persistência dessas configurações em estruturas </w:t>
      </w:r>
      <w:commentRangeStart w:id="20"/>
      <w:r>
        <w:rPr>
          <w:lang w:val="pt-PT"/>
        </w:rPr>
        <w:t>JSON</w:t>
      </w:r>
      <w:r>
        <w:rPr>
          <w:lang w:val="pt-PT"/>
        </w:rPr>
      </w:r>
      <w:commentRangeEnd w:id="20"/>
      <w:r>
        <w:commentReference w:id="20"/>
      </w:r>
      <w:r>
        <w:rPr>
          <w:lang w:val="pt-PT"/>
        </w:rPr>
        <w:t xml:space="preserve">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21"/>
      <w:r>
        <w:rPr>
          <w:lang w:val="pt-PT"/>
        </w:rPr>
        <w:t>SQLite</w:t>
      </w:r>
      <w:r>
        <w:rPr>
          <w:lang w:val="pt-PT"/>
        </w:rPr>
      </w:r>
      <w:commentRangeEnd w:id="21"/>
      <w:r>
        <w:commentReference w:id="21"/>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22"/>
      <w:r>
        <w:rPr>
          <w:lang w:val="pt-PT"/>
        </w:rPr>
        <w:t>IA</w:t>
      </w:r>
      <w:r>
        <w:rPr>
          <w:lang w:val="pt-PT"/>
        </w:rPr>
      </w:r>
      <w:commentRangeEnd w:id="22"/>
      <w:r>
        <w:commentReference w:id="22"/>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23"/>
      <w:r>
        <w:rPr>
          <w:lang w:val="pt-PT"/>
        </w:rPr>
        <w:t>EMG</w:t>
      </w:r>
      <w:r>
        <w:rPr>
          <w:lang w:val="pt-PT"/>
        </w:rPr>
      </w:r>
      <w:commentRangeEnd w:id="23"/>
      <w:r>
        <w:commentReference w:id="23"/>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24"/>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24"/>
      <w:r>
        <w:commentReference w:id="24"/>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25"/>
      <w:r>
        <w:rPr>
          <w:i/>
          <w:iCs/>
          <w:shd w:fill="FFFF00" w:val="clear"/>
          <w:lang w:val="pt-PT"/>
        </w:rPr>
        <w:t>data-driven</w:t>
      </w:r>
      <w:r>
        <w:rPr>
          <w:i/>
          <w:iCs/>
          <w:shd w:fill="FFFF00" w:val="clear"/>
          <w:lang w:val="pt-PT"/>
        </w:rPr>
      </w:r>
      <w:commentRangeEnd w:id="25"/>
      <w:r>
        <w:commentReference w:id="25"/>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26"/>
      <w:r>
        <w:rPr>
          <w:i/>
          <w:iCs/>
          <w:lang w:val="pt-PT"/>
        </w:rPr>
        <w:t>human-in-the-loop.</w:t>
      </w:r>
      <w:r>
        <w:rPr>
          <w:i/>
          <w:iCs/>
          <w:lang w:val="pt-PT"/>
        </w:rPr>
      </w:r>
      <w:commentRangeEnd w:id="26"/>
      <w:r>
        <w:commentReference w:id="26"/>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a aceitação final, porém, continua dependente de verificação técnica e de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 xml:space="preserve">A validação antropométrica assistida por IA realizada no sistema deve ser entendida como validação interna de plausibilidade e de coerência paramétrica, não como validação clínica da prótese final.  </w:t>
      </w: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27"/>
      <w:r>
        <w:rPr>
          <w:lang w:val="pt-PT"/>
        </w:rPr>
        <w:t>O primeiro conjunto experimental usou cinco perfis sintéticos descritos apenas por indicadores populacionais indiretos, como idade, sexo, altura, peso, país, envergadura ou constituição física, sem qualquer medição direta da mão. E</w:t>
      </w:r>
      <w:r>
        <w:rPr>
          <w:lang w:val="pt-PT"/>
        </w:rPr>
      </w:r>
      <w:commentRangeEnd w:id="27"/>
      <w:r>
        <w:commentReference w:id="27"/>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commentReference w:id="28"/>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A repetição do mesmo perfil produziu pequenas 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8"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descr="Image 17"/>
                    <pic:cNvPicPr>
                      <a:picLocks noChangeAspect="1" noChangeArrowheads="1"/>
                    </pic:cNvPicPr>
                  </pic:nvPicPr>
                  <pic:blipFill>
                    <a:blip r:embed="rId29"/>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30">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29"/>
      <w:r>
        <w:rPr>
          <w:lang w:val="pt-PT"/>
        </w:rPr>
        <w:t>UI/UX</w:t>
      </w:r>
      <w:r>
        <w:rPr>
          <w:lang w:val="pt-PT"/>
        </w:rPr>
      </w:r>
      <w:commentRangeEnd w:id="29"/>
      <w:r>
        <w:commentReference w:id="29"/>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previsibilidade das ações e o registo das alterações, mediando a passagem entre os dados do utilizador, as regras paramétricas, a assistência algorítmica e o resultado tridimensional. 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 xml:space="preserve">Para o designer, técnico especialista de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w:t>
      </w:r>
      <w:r>
        <w:rPr/>
        <w:t>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 xml:space="preserve">Quando a aceitação de uma prótese não depende apenas do desempenho funcional, mas também da perceção de adequação, de participação e de controlo sobre o resultado, este aspecto assume relevância.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9"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8" descr="Image 18"/>
                    <pic:cNvPicPr>
                      <a:picLocks noChangeAspect="1" noChangeArrowheads="1"/>
                    </pic:cNvPicPr>
                  </pic:nvPicPr>
                  <pic:blipFill>
                    <a:blip r:embed="rId31"/>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(#ref-bai-2024); Alili et al., 2023 (#ref-alili-2023)).</w:t>
      </w:r>
    </w:p>
    <w:p>
      <w:pPr>
        <w:pStyle w:val="Normal"/>
        <w:bidi w:val="0"/>
        <w:jc w:val="left"/>
        <w:rPr>
          <w:lang w:val="pt-PT"/>
        </w:rPr>
      </w:pPr>
      <w:r>
        <w:rPr>
          <w:lang w:val="pt-PT"/>
        </w:rP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w:t>
      </w:r>
    </w:p>
    <w:p>
      <w:pPr>
        <w:pStyle w:val="Normal"/>
        <w:bidi w:val="0"/>
        <w:jc w:val="left"/>
        <w:rPr>
          <w:lang w:val="pt-PT"/>
        </w:rPr>
      </w:pPr>
      <w:r>
        <w:rPr>
          <w:lang w:val="pt-PT"/>
        </w:rPr>
        <w:t>A mediação do processo de design preserva a responsabilidade pelas decisões de projeto e a necessidade de validação técnica, reorganizando ambas num ambiente digital mais controlado e explícito.</w:t>
      </w:r>
    </w:p>
    <w:p>
      <w:pPr>
        <w:pStyle w:val="Normal"/>
        <w:bidi w:val="0"/>
        <w:jc w:val="left"/>
        <w:rPr>
          <w:lang w:val="pt-PT"/>
        </w:rPr>
      </w:pPr>
      <w:r>
        <w:rPr>
          <w:lang w:val="pt-PT"/>
        </w:rP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Normal"/>
        <w:bidi w:val="0"/>
        <w:jc w:val="left"/>
        <w:rPr>
          <w:lang w:val="pt-PT"/>
        </w:rPr>
      </w:pPr>
      <w:r>
        <w:rPr>
          <w:lang w:val="pt-PT"/>
        </w:rP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w:t>
      </w:r>
    </w:p>
    <w:p>
      <w:pPr>
        <w:pStyle w:val="Normal"/>
        <w:bidi w:val="0"/>
        <w:jc w:val="left"/>
        <w:rPr>
          <w:lang w:val="pt-PT"/>
        </w:rPr>
      </w:pPr>
      <w:r>
        <w:rPr>
          <w:lang w:val="pt-PT"/>
        </w:rPr>
        <w:t>Esta separação demonstrou-se necessária pois o projeto combina componentes de natureza distinta.</w:t>
      </w:r>
    </w:p>
    <w:p>
      <w:pPr>
        <w:pStyle w:val="Normal"/>
        <w:bidi w:val="0"/>
        <w:jc w:val="left"/>
        <w:rPr>
          <w:lang w:val="pt-PT"/>
        </w:rPr>
      </w:pPr>
      <w:r>
        <w:rPr>
          <w:lang w:val="pt-PT"/>
        </w:rPr>
        <w:t>Um modelo OpenSCAD pode ser parametricamente consistente e, ainda assim, a interface pode não tornar essa consistência compreensível; do mesmo modo, uma sugestão de IA pode ser plausível como ponto de partida e continuar insuficiente como validação final da prótese.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Normal"/>
        <w:bidi w:val="0"/>
        <w:jc w:val="left"/>
        <w:rPr>
          <w:lang w:val="pt-PT"/>
        </w:rPr>
      </w:pPr>
      <w:r>
        <w:rPr/>
        <w:t>Estas validações incidem sobre a coerência preliminar do processo, permitindo verificar se a cadeia entre descrição livre, sugestão paramétrica e modelo renderizado preserva condições mínimas de plausibilidade antes de qualquer prototipagem. A avaliação de conforto, desempenho funcional e segurança clínica permanece dependente de testes posteriores com utilizadores e validação especializada.</w:t>
      </w:r>
    </w:p>
    <w:p>
      <w:pPr>
        <w:pStyle w:val="Normal"/>
        <w:bidi w:val="0"/>
        <w:jc w:val="left"/>
        <w:rPr>
          <w:lang w:val="pt-PT"/>
        </w:rPr>
      </w:pPr>
      <w:r>
        <w:rPr>
          <w:lang w:val="pt-PT"/>
        </w:rP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Normal"/>
        <w:bidi w:val="0"/>
        <w:jc w:val="left"/>
        <w:rPr>
          <w:lang w:val="pt-PT"/>
        </w:rPr>
      </w:pPr>
      <w:r>
        <w:rPr>
          <w:lang w:val="pt-PT"/>
        </w:rP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20"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Image 19"/>
                    <pic:cNvPicPr>
                      <a:picLocks noChangeAspect="1" noChangeArrowheads="1"/>
                    </pic:cNvPicPr>
                  </pic:nvPicPr>
                  <pic:blipFill>
                    <a:blip r:embed="rId32"/>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Normal"/>
        <w:bidi w:val="0"/>
        <w:jc w:val="left"/>
        <w:rPr>
          <w:lang w:val="pt-PT"/>
        </w:rPr>
      </w:pPr>
      <w:r>
        <w:rPr>
          <w:lang w:val="pt-PT"/>
        </w:rP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Normal"/>
        <w:bidi w:val="0"/>
        <w:jc w:val="left"/>
        <w:rPr>
          <w:lang w:val="pt-PT"/>
        </w:rPr>
      </w:pPr>
      <w:r>
        <w:rPr>
          <w:lang w:val="pt-PT"/>
        </w:rPr>
        <w:t>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8.1 — Entradas/prompt utilizadas para criação dos perfis de validação antropométrica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1907"/>
        <w:gridCol w:w="1927"/>
        <w:gridCol w:w="2597"/>
        <w:gridCol w:w="2595"/>
      </w:tblGrid>
      <w:tr>
        <w:trPr>
          <w:tblHeader w:val="true"/>
        </w:trPr>
        <w:tc>
          <w:tcPr>
            <w:tcW w:w="1907" w:type="dxa"/>
            <w:tcBorders/>
            <w:vAlign w:val="center"/>
          </w:tcPr>
          <w:p>
            <w:pPr>
              <w:pStyle w:val="TableHeading"/>
              <w:rPr/>
            </w:pPr>
            <w:r>
              <w:rPr/>
              <w:t>Conjunto experimental</w:t>
            </w:r>
          </w:p>
        </w:tc>
        <w:tc>
          <w:tcPr>
            <w:tcW w:w="1927" w:type="dxa"/>
            <w:tcBorders/>
            <w:vAlign w:val="center"/>
          </w:tcPr>
          <w:p>
            <w:pPr>
              <w:pStyle w:val="TableHeading"/>
              <w:rPr/>
            </w:pPr>
            <w:r>
              <w:rPr/>
              <w:t>Tipo de perfil criado</w:t>
            </w:r>
          </w:p>
        </w:tc>
        <w:tc>
          <w:tcPr>
            <w:tcW w:w="2597" w:type="dxa"/>
            <w:tcBorders/>
            <w:vAlign w:val="center"/>
          </w:tcPr>
          <w:p>
            <w:pPr>
              <w:pStyle w:val="TableHeading"/>
              <w:rPr/>
            </w:pPr>
            <w:r>
              <w:rPr/>
              <w:t>Descrição usada como entrada</w:t>
            </w:r>
          </w:p>
        </w:tc>
        <w:tc>
          <w:tcPr>
            <w:tcW w:w="2595" w:type="dxa"/>
            <w:tcBorders/>
            <w:vAlign w:val="center"/>
          </w:tcPr>
          <w:p>
            <w:pPr>
              <w:pStyle w:val="TableHeading"/>
              <w:rPr/>
            </w:pPr>
            <w:r>
              <w:rPr/>
              <w:t>Finalidade da validação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dados demográficos e regionais</w:t>
            </w:r>
          </w:p>
        </w:tc>
        <w:tc>
          <w:tcPr>
            <w:tcW w:w="2597" w:type="dxa"/>
            <w:tcBorders/>
            <w:vAlign w:val="center"/>
          </w:tcPr>
          <w:p>
            <w:pPr>
              <w:pStyle w:val="TableContents"/>
              <w:rPr/>
            </w:pPr>
            <w:r>
              <w:rPr/>
              <w:t>man, 28 years old, 82 kg, 180 cm height, Brazil, arm length 70 cm</w:t>
            </w:r>
          </w:p>
        </w:tc>
        <w:tc>
          <w:tcPr>
            <w:tcW w:w="2595" w:type="dxa"/>
            <w:tcBorders/>
            <w:vAlign w:val="center"/>
          </w:tcPr>
          <w:p>
            <w:pPr>
              <w:pStyle w:val="TableContents"/>
              <w:rPr/>
            </w:pPr>
            <w:r>
              <w:rPr/>
              <w:t>Testar a inferência paramétrica sem medições diretas da mão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Criança do sexo feminino, com estrutura corporal pequena</w:t>
            </w:r>
          </w:p>
        </w:tc>
        <w:tc>
          <w:tcPr>
            <w:tcW w:w="2597" w:type="dxa"/>
            <w:tcBorders/>
            <w:vAlign w:val="center"/>
          </w:tcPr>
          <w:p>
            <w:pPr>
              <w:pStyle w:val="TableContents"/>
              <w:rPr/>
            </w:pPr>
            <w:r>
              <w:rPr/>
              <w:t>girl, 10 years old, 32 kg, 138 cm height, Japan, small frame</w:t>
            </w:r>
          </w:p>
        </w:tc>
        <w:tc>
          <w:tcPr>
            <w:tcW w:w="2595" w:type="dxa"/>
            <w:tcBorders/>
            <w:vAlign w:val="center"/>
          </w:tcPr>
          <w:p>
            <w:pPr>
              <w:pStyle w:val="TableContents"/>
              <w:rPr/>
            </w:pPr>
            <w:r>
              <w:rPr/>
              <w:t>Verificar o ajuste à idade e a redução das dimensões e dos componentes mecânicos</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Mulher idosa com dados demográficos e regionais</w:t>
            </w:r>
          </w:p>
        </w:tc>
        <w:tc>
          <w:tcPr>
            <w:tcW w:w="2597" w:type="dxa"/>
            <w:tcBorders/>
            <w:vAlign w:val="center"/>
          </w:tcPr>
          <w:p>
            <w:pPr>
              <w:pStyle w:val="TableContents"/>
              <w:rPr/>
            </w:pPr>
            <w:r>
              <w:rPr/>
              <w:t>woman, 65 years old, 68 kg, 160 cm height, Nigeria, arm length 62 cm</w:t>
            </w:r>
          </w:p>
        </w:tc>
        <w:tc>
          <w:tcPr>
            <w:tcW w:w="2595" w:type="dxa"/>
            <w:tcBorders/>
            <w:vAlign w:val="center"/>
          </w:tcPr>
          <w:p>
            <w:pPr>
              <w:pStyle w:val="TableContents"/>
              <w:rPr/>
            </w:pPr>
            <w:r>
              <w:rPr/>
              <w:t>Avaliar a plausibilidade dos parâmetros num perfil adulto feminino e sénior</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indicação qualitativa de mãos largas</w:t>
            </w:r>
          </w:p>
        </w:tc>
        <w:tc>
          <w:tcPr>
            <w:tcW w:w="2597" w:type="dxa"/>
            <w:tcBorders/>
            <w:vAlign w:val="center"/>
          </w:tcPr>
          <w:p>
            <w:pPr>
              <w:pStyle w:val="TableContents"/>
              <w:rPr/>
            </w:pPr>
            <w:r>
              <w:rPr/>
              <w:t>man, 50 years old, 95 kg, 175 cm height, Germany, broad hands, arm length 66 cm</w:t>
            </w:r>
          </w:p>
        </w:tc>
        <w:tc>
          <w:tcPr>
            <w:tcW w:w="2595" w:type="dxa"/>
            <w:tcBorders/>
            <w:vAlign w:val="center"/>
          </w:tcPr>
          <w:p>
            <w:pPr>
              <w:pStyle w:val="TableContents"/>
              <w:rPr/>
            </w:pPr>
            <w:r>
              <w:rPr/>
              <w:t>Verificar a resposta do sistema a uma característica anatómica descrita qualitativamente</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Adolescente masculino alto e magro</w:t>
            </w:r>
          </w:p>
        </w:tc>
        <w:tc>
          <w:tcPr>
            <w:tcW w:w="2597" w:type="dxa"/>
            <w:tcBorders/>
            <w:vAlign w:val="center"/>
          </w:tcPr>
          <w:p>
            <w:pPr>
              <w:pStyle w:val="TableContents"/>
              <w:rPr/>
            </w:pPr>
            <w:r>
              <w:rPr/>
              <w:t>teenage boy, 15 years old, 60 kg, 168 cm height, India, slim build, arm length 67 cm</w:t>
            </w:r>
          </w:p>
        </w:tc>
        <w:tc>
          <w:tcPr>
            <w:tcW w:w="2595" w:type="dxa"/>
            <w:tcBorders/>
            <w:vAlign w:val="center"/>
          </w:tcPr>
          <w:p>
            <w:pPr>
              <w:pStyle w:val="TableContents"/>
              <w:rPr/>
            </w:pPr>
            <w:r>
              <w:rPr/>
              <w:t>Testar a fronteira entre perfil pediátrico e dimensões próximas de adulto</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completa com medições da mão intacta</w:t>
            </w:r>
          </w:p>
        </w:tc>
        <w:tc>
          <w:tcPr>
            <w:tcW w:w="2597" w:type="dxa"/>
            <w:tcBorders/>
            <w:vAlign w:val="center"/>
          </w:tcPr>
          <w:p>
            <w:pPr>
              <w:pStyle w:val="TableContents"/>
              <w:rPr/>
            </w:pPr>
            <w:r>
              <w:rPr/>
              <w:t>Medições completas da mão esquerda intacta: palma 84 mm; indicador 72 mm; médio 78 mm; anelar 75 mm; mínimo 58 mm; polegar 64 mm; prótese necessária para a mão direita</w:t>
            </w:r>
          </w:p>
        </w:tc>
        <w:tc>
          <w:tcPr>
            <w:tcW w:w="2595" w:type="dxa"/>
            <w:tcBorders/>
            <w:vAlign w:val="center"/>
          </w:tcPr>
          <w:p>
            <w:pPr>
              <w:pStyle w:val="TableContents"/>
              <w:rPr/>
            </w:pPr>
            <w:r>
              <w:rPr/>
              <w:t>Confirmar a preservação dos valores fornecidos e a geração contralateral</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parcial com dados demográficos e uma medição direta</w:t>
            </w:r>
          </w:p>
        </w:tc>
        <w:tc>
          <w:tcPr>
            <w:tcW w:w="2597" w:type="dxa"/>
            <w:tcBorders/>
            <w:vAlign w:val="center"/>
          </w:tcPr>
          <w:p>
            <w:pPr>
              <w:pStyle w:val="TableContents"/>
              <w:rPr/>
            </w:pPr>
            <w:r>
              <w:rPr/>
              <w:t>Homem, 40 anos; mão direita intacta; largura da palma 90 mm; prótese necessária para a mão esquerda</w:t>
            </w:r>
          </w:p>
        </w:tc>
        <w:tc>
          <w:tcPr>
            <w:tcW w:w="2595" w:type="dxa"/>
            <w:tcBorders/>
            <w:vAlign w:val="center"/>
          </w:tcPr>
          <w:p>
            <w:pPr>
              <w:pStyle w:val="TableContents"/>
              <w:rPr/>
            </w:pPr>
            <w:r>
              <w:rPr/>
              <w:t>Confirmar a manutenção da medida fornecida e a estimativa proporcional dos campos em falta</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apenas demográfica</w:t>
            </w:r>
          </w:p>
        </w:tc>
        <w:tc>
          <w:tcPr>
            <w:tcW w:w="2597" w:type="dxa"/>
            <w:tcBorders/>
            <w:vAlign w:val="center"/>
          </w:tcPr>
          <w:p>
            <w:pPr>
              <w:pStyle w:val="TableContents"/>
              <w:rPr/>
            </w:pPr>
            <w:r>
              <w:rPr/>
              <w:t>Mulher, 30 anos, asiática oriental, 158 cm; prótese necessária para a mão direita</w:t>
            </w:r>
          </w:p>
        </w:tc>
        <w:tc>
          <w:tcPr>
            <w:tcW w:w="2595" w:type="dxa"/>
            <w:tcBorders/>
            <w:vAlign w:val="center"/>
          </w:tcPr>
          <w:p>
            <w:pPr>
              <w:pStyle w:val="TableContents"/>
              <w:rPr/>
            </w:pPr>
            <w:r>
              <w:rPr/>
              <w:t>Verificar a adaptação do sistema quando não existem medições diretas da mão</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Fonte: elaboração própria a partir dos prompts registados no protocolo de validação antropométrica assistida por IA (</w:t>
      </w:r>
      <w:r>
        <w:rPr>
          <w:rFonts w:ascii="Consolas" w:hAnsi="Consolas"/>
          <w:sz w:val="20"/>
          <w:lang w:val="pt-PT"/>
        </w:rPr>
        <w:t>docs/ai</w:t>
      </w:r>
      <w:r>
        <w:rPr>
          <w:i/>
          <w:lang w:val="pt-PT"/>
        </w:rPr>
        <w:t>anthropometric</w:t>
      </w:r>
      <w:r>
        <w:rPr>
          <w:lang w:val="pt-PT"/>
        </w:rPr>
        <w:t>validation.md</w:t>
      </w:r>
      <w:r>
        <w:rPr>
          <w:rFonts w:ascii="Consolas" w:hAnsi="Consolas"/>
          <w:sz w:val="20"/>
          <w:lang w:val="pt-PT"/>
        </w:rPr>
        <w:t>) e nos metadados de execução dos ensaios (</w:t>
      </w:r>
      <w:r>
        <w:rPr>
          <w:lang w:val="pt-PT"/>
        </w:rPr>
        <w:t>docs/</w:t>
      </w:r>
      <w:r>
        <w:rPr>
          <w:i/>
          <w:lang w:val="pt-PT"/>
        </w:rPr>
        <w:t>-ai-sim/run-metadata.json</w:t>
      </w:r>
      <w:r>
        <w:rPr>
          <w:rFonts w:ascii="Consolas" w:hAnsi="Consolas"/>
          <w:sz w:val="20"/>
          <w:lang w:val="pt-PT"/>
        </w:rPr>
        <w:t>). A coluna apresenta a entrada de paciente usada no prompt; o prompt completo incluía ainda o schema vivo do modelo, os intervalos permitidos e a instrução de devolver apenas JSON válido.</w:t>
      </w:r>
    </w:p>
    <w:p>
      <w:pPr>
        <w:pStyle w:val="Normal"/>
        <w:bidi w:val="0"/>
        <w:jc w:val="left"/>
        <w:rPr>
          <w:lang w:val="pt-PT"/>
        </w:rPr>
      </w:pPr>
      <w:r>
        <w:rPr>
          <w:lang w:val="pt-PT"/>
        </w:rPr>
      </w:r>
    </w:p>
    <w:p>
      <w:pPr>
        <w:pStyle w:val="Normal"/>
        <w:bidi w:val="0"/>
        <w:jc w:val="left"/>
        <w:rPr>
          <w:lang w:val="pt-PT"/>
        </w:rPr>
      </w:pPr>
      <w:r>
        <w:rPr>
          <w:lang w:val="pt-PT"/>
        </w:rP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Normal"/>
        <w:bidi w:val="0"/>
        <w:jc w:val="left"/>
        <w:rPr>
          <w:lang w:val="pt-PT"/>
        </w:rPr>
      </w:pPr>
      <w:r>
        <w:rPr>
          <w:lang w:val="pt-PT"/>
        </w:rP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Normal"/>
        <w:bidi w:val="0"/>
        <w:jc w:val="left"/>
        <w:rPr>
          <w:lang w:val="pt-PT"/>
        </w:rPr>
      </w:pPr>
      <w:r>
        <w:rPr>
          <w:lang w:val="pt-PT"/>
        </w:rPr>
        <w:t>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8.1 — Síntese da validação antropométrica assistida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2298"/>
        <w:gridCol w:w="3719"/>
        <w:gridCol w:w="3009"/>
      </w:tblGrid>
      <w:tr>
        <w:trPr>
          <w:tblHeader w:val="true"/>
        </w:trPr>
        <w:tc>
          <w:tcPr>
            <w:tcW w:w="2298" w:type="dxa"/>
            <w:tcBorders/>
            <w:vAlign w:val="center"/>
          </w:tcPr>
          <w:p>
            <w:pPr>
              <w:pStyle w:val="TableHeading"/>
              <w:rPr/>
            </w:pPr>
            <w:r>
              <w:rPr/>
              <w:t>Eixo avaliado</w:t>
            </w:r>
          </w:p>
        </w:tc>
        <w:tc>
          <w:tcPr>
            <w:tcW w:w="3719" w:type="dxa"/>
            <w:tcBorders/>
            <w:vAlign w:val="center"/>
          </w:tcPr>
          <w:p>
            <w:pPr>
              <w:pStyle w:val="TableHeading"/>
              <w:rPr/>
            </w:pPr>
            <w:r>
              <w:rPr/>
              <w:t>Resultado observado</w:t>
            </w:r>
          </w:p>
        </w:tc>
        <w:tc>
          <w:tcPr>
            <w:tcW w:w="3009" w:type="dxa"/>
            <w:tcBorders/>
            <w:vAlign w:val="center"/>
          </w:tcPr>
          <w:p>
            <w:pPr>
              <w:pStyle w:val="TableHeading"/>
              <w:rPr/>
            </w:pPr>
            <w:r>
              <w:rPr/>
              <w:t>Interpretação</w:t>
            </w:r>
          </w:p>
        </w:tc>
      </w:tr>
      <w:tr>
        <w:trPr/>
        <w:tc>
          <w:tcPr>
            <w:tcW w:w="2298" w:type="dxa"/>
            <w:tcBorders/>
            <w:vAlign w:val="center"/>
          </w:tcPr>
          <w:p>
            <w:pPr>
              <w:pStyle w:val="TableContents"/>
              <w:rPr/>
            </w:pPr>
            <w:r>
              <w:rPr/>
              <w:t>Conformidade com o esquema</w:t>
            </w:r>
          </w:p>
        </w:tc>
        <w:tc>
          <w:tcPr>
            <w:tcW w:w="3719" w:type="dxa"/>
            <w:tcBorders/>
            <w:vAlign w:val="center"/>
          </w:tcPr>
          <w:p>
            <w:pPr>
              <w:pStyle w:val="TableContents"/>
              <w:rPr/>
            </w:pPr>
            <w:r>
              <w:rPr/>
              <w:t>Respostas interpretáveis, campos previstos e valores dentro dos limites definidos</w:t>
            </w:r>
          </w:p>
        </w:tc>
        <w:tc>
          <w:tcPr>
            <w:tcW w:w="3009" w:type="dxa"/>
            <w:tcBorders/>
            <w:vAlign w:val="center"/>
          </w:tcPr>
          <w:p>
            <w:pPr>
              <w:pStyle w:val="TableContents"/>
              <w:rPr/>
            </w:pPr>
            <w:r>
              <w:rPr/>
              <w:t>O esquema de parâmetros reduziu a ocorrência de sugestões inválidas</w:t>
            </w:r>
          </w:p>
        </w:tc>
      </w:tr>
      <w:tr>
        <w:trPr/>
        <w:tc>
          <w:tcPr>
            <w:tcW w:w="2298" w:type="dxa"/>
            <w:tcBorders/>
            <w:vAlign w:val="center"/>
          </w:tcPr>
          <w:p>
            <w:pPr>
              <w:pStyle w:val="TableContents"/>
              <w:rPr/>
            </w:pPr>
            <w:r>
              <w:rPr/>
              <w:t>Proporcionalidade digital</w:t>
            </w:r>
          </w:p>
        </w:tc>
        <w:tc>
          <w:tcPr>
            <w:tcW w:w="3719" w:type="dxa"/>
            <w:tcBorders/>
            <w:vAlign w:val="center"/>
          </w:tcPr>
          <w:p>
            <w:pPr>
              <w:pStyle w:val="TableContents"/>
              <w:rPr/>
            </w:pPr>
            <w:r>
              <w:rPr/>
              <w:t>Dedo médio mais longo, dedo mínimo mais curto e polegar inferior ao dedo médio</w:t>
            </w:r>
          </w:p>
        </w:tc>
        <w:tc>
          <w:tcPr>
            <w:tcW w:w="3009" w:type="dxa"/>
            <w:tcBorders/>
            <w:vAlign w:val="center"/>
          </w:tcPr>
          <w:p>
            <w:pPr>
              <w:pStyle w:val="TableContents"/>
              <w:rPr/>
            </w:pPr>
            <w:r>
              <w:rPr/>
              <w:t>As principais relações anatómicas entre os dedos foram preservadas</w:t>
            </w:r>
          </w:p>
        </w:tc>
      </w:tr>
      <w:tr>
        <w:trPr/>
        <w:tc>
          <w:tcPr>
            <w:tcW w:w="2298" w:type="dxa"/>
            <w:tcBorders/>
            <w:vAlign w:val="center"/>
          </w:tcPr>
          <w:p>
            <w:pPr>
              <w:pStyle w:val="TableContents"/>
              <w:rPr/>
            </w:pPr>
            <w:r>
              <w:rPr/>
              <w:t>Entradas completas</w:t>
            </w:r>
          </w:p>
        </w:tc>
        <w:tc>
          <w:tcPr>
            <w:tcW w:w="3719" w:type="dxa"/>
            <w:tcBorders/>
            <w:vAlign w:val="center"/>
          </w:tcPr>
          <w:p>
            <w:pPr>
              <w:pStyle w:val="TableContents"/>
              <w:rPr/>
            </w:pPr>
            <w:r>
              <w:rPr/>
              <w:t>Medições fornecidas mantidas sem alteração</w:t>
            </w:r>
          </w:p>
        </w:tc>
        <w:tc>
          <w:tcPr>
            <w:tcW w:w="3009" w:type="dxa"/>
            <w:tcBorders/>
            <w:vAlign w:val="center"/>
          </w:tcPr>
          <w:p>
            <w:pPr>
              <w:pStyle w:val="TableContents"/>
              <w:rPr/>
            </w:pPr>
            <w:r>
              <w:rPr/>
              <w:t>A IA preservou os valores diretamente declarados pelo utilizador</w:t>
            </w:r>
          </w:p>
        </w:tc>
      </w:tr>
      <w:tr>
        <w:trPr/>
        <w:tc>
          <w:tcPr>
            <w:tcW w:w="2298" w:type="dxa"/>
            <w:tcBorders/>
            <w:vAlign w:val="center"/>
          </w:tcPr>
          <w:p>
            <w:pPr>
              <w:pStyle w:val="TableContents"/>
              <w:rPr/>
            </w:pPr>
            <w:r>
              <w:rPr/>
              <w:t>Entradas parciais</w:t>
            </w:r>
          </w:p>
        </w:tc>
        <w:tc>
          <w:tcPr>
            <w:tcW w:w="3719" w:type="dxa"/>
            <w:tcBorders/>
            <w:vAlign w:val="center"/>
          </w:tcPr>
          <w:p>
            <w:pPr>
              <w:pStyle w:val="TableContents"/>
              <w:rPr/>
            </w:pPr>
            <w:r>
              <w:rPr/>
              <w:t>Campos em falta estimados a partir da medida fornecida</w:t>
            </w:r>
          </w:p>
        </w:tc>
        <w:tc>
          <w:tcPr>
            <w:tcW w:w="3009" w:type="dxa"/>
            <w:tcBorders/>
            <w:vAlign w:val="center"/>
          </w:tcPr>
          <w:p>
            <w:pPr>
              <w:pStyle w:val="TableContents"/>
              <w:rPr/>
            </w:pPr>
            <w:r>
              <w:rPr/>
              <w:t>O sistema combinou dados explícitos com referências populacionais</w:t>
            </w:r>
          </w:p>
        </w:tc>
      </w:tr>
      <w:tr>
        <w:trPr/>
        <w:tc>
          <w:tcPr>
            <w:tcW w:w="2298" w:type="dxa"/>
            <w:tcBorders/>
            <w:vAlign w:val="center"/>
          </w:tcPr>
          <w:p>
            <w:pPr>
              <w:pStyle w:val="TableContents"/>
              <w:rPr/>
            </w:pPr>
            <w:r>
              <w:rPr/>
              <w:t>Entradas apenas demográficas</w:t>
            </w:r>
          </w:p>
        </w:tc>
        <w:tc>
          <w:tcPr>
            <w:tcW w:w="3719" w:type="dxa"/>
            <w:tcBorders/>
            <w:vAlign w:val="center"/>
          </w:tcPr>
          <w:p>
            <w:pPr>
              <w:pStyle w:val="TableContents"/>
              <w:rPr/>
            </w:pPr>
            <w:r>
              <w:rPr/>
              <w:t>Conjunto completo e plausível de parâmetros</w:t>
            </w:r>
          </w:p>
        </w:tc>
        <w:tc>
          <w:tcPr>
            <w:tcW w:w="3009" w:type="dxa"/>
            <w:tcBorders/>
            <w:vAlign w:val="center"/>
          </w:tcPr>
          <w:p>
            <w:pPr>
              <w:pStyle w:val="TableContents"/>
              <w:rPr/>
            </w:pPr>
            <w:r>
              <w:rPr/>
              <w:t>O fluxo gerou um ponto de partida para utilizadores sem domínio técnico</w:t>
            </w:r>
          </w:p>
        </w:tc>
      </w:tr>
      <w:tr>
        <w:trPr/>
        <w:tc>
          <w:tcPr>
            <w:tcW w:w="2298" w:type="dxa"/>
            <w:tcBorders/>
            <w:vAlign w:val="center"/>
          </w:tcPr>
          <w:p>
            <w:pPr>
              <w:pStyle w:val="TableContents"/>
              <w:rPr/>
            </w:pPr>
            <w:r>
              <w:rPr/>
              <w:t>Lateralidade</w:t>
            </w:r>
          </w:p>
        </w:tc>
        <w:tc>
          <w:tcPr>
            <w:tcW w:w="3719" w:type="dxa"/>
            <w:tcBorders/>
            <w:vAlign w:val="center"/>
          </w:tcPr>
          <w:p>
            <w:pPr>
              <w:pStyle w:val="TableContents"/>
              <w:rPr/>
            </w:pPr>
            <w:r>
              <w:rPr/>
              <w:t>Correta nos cenários iniciais, mas inconsistente em pedidos explícitos de mão esquerda na avaliação centrada no utilizador</w:t>
            </w:r>
          </w:p>
        </w:tc>
        <w:tc>
          <w:tcPr>
            <w:tcW w:w="3009" w:type="dxa"/>
            <w:tcBorders/>
            <w:vAlign w:val="center"/>
          </w:tcPr>
          <w:p>
            <w:pPr>
              <w:pStyle w:val="TableContents"/>
              <w:rPr/>
            </w:pPr>
            <w:r>
              <w:rPr/>
              <w:t>A lateralidade passou a ser controlada pela interface e excluída das sugestões da IA</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entre 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Nota: os rácios apresentados são adimensionais. Um valor de 1,000 corresponde à dimensão do baseline; valores inferiores indicam redução e valores superiores indicam aumento face ao modelo de referência.</w:t>
      </w:r>
    </w:p>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 xml:space="preserve">Tabela 8.3 — </w:t>
      </w:r>
      <w:r>
        <w:rPr/>
        <w:t>Rácio adimensional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certas abreviaturas presentes no texto de entrada podiam ser interpretadas incorretamente, confundindo unidades de medida com indicação de sexo masculino.</w:t>
      </w:r>
    </w:p>
    <w:p>
      <w:pPr>
        <w:pStyle w:val="Normal"/>
        <w:bidi w:val="0"/>
        <w:jc w:val="left"/>
        <w:rPr>
          <w:lang w:val="pt-PT"/>
        </w:rPr>
      </w:pPr>
      <w:r>
        <w:rPr>
          <w:lang w:val="pt-PT"/>
        </w:rPr>
        <w:t>A correção passou por uma análise mais robusta do texto de entrada, capaz de reconhecer termos em diferentes línguas, respeitar fronteiras de palavra e classificar de forma mais fiável os grupos etários.</w:t>
      </w:r>
    </w:p>
    <w:p>
      <w:pPr>
        <w:pStyle w:val="Normal"/>
        <w:bidi w:val="0"/>
        <w:jc w:val="left"/>
        <w:rPr>
          <w:lang w:val="pt-PT"/>
        </w:rPr>
      </w:pPr>
      <w:r>
        <w:rPr>
          <w:lang w:val="pt-PT"/>
        </w:rPr>
        <w:t>A segunda fragilidade foi identificada no modelo Paraglider. Neste caso, a dimensão da palma da mão protésica não estava a responder corretamente aos valores sugeridos, porque permanecia associada a uma escala interna herdada da biblioteca original. A correção consistiu em aplicar novamente a escala no ponto do código responsável pela geração dessa geometria. A terceira fragilidade surgiu no modelo UnLimbited Phoenix, onde um parâmetro alternativo permitia ultrapassar o limite mínimo de escala definido para o modelo. A correção passou por aplicar esse mesmo limite também a esse percurso alternativo de geração.</w:t>
      </w:r>
    </w:p>
    <w:p>
      <w:pPr>
        <w:pStyle w:val="Normal"/>
        <w:bidi w:val="0"/>
        <w:jc w:val="left"/>
        <w:rPr>
          <w:lang w:val="pt-PT"/>
        </w:rPr>
      </w:pPr>
      <w:r>
        <w:rPr>
          <w:lang w:val="pt-PT"/>
        </w:rPr>
        <w:t>sta etapa confirmou que a validação das sugestões de IA deve prolongar-se para além da resposta em JSON, pois a geometria exportada pode revelar dependências internas, limites de escala e heranças de código invisíveis na análise numérica. Evidenciou ainda que os modelos integrados não são intercambiáveis, uma vez que cada um responde de forma distinta aos mesmos perfis antropométricos: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Heading3"/>
        <w:bidi w:val="0"/>
        <w:jc w:val="left"/>
        <w:rPr>
          <w:lang w:val="pt-PT"/>
        </w:rPr>
      </w:pPr>
      <w:r>
        <w:rPr>
          <w:lang w:val="pt-PT"/>
        </w:rPr>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de dimensões plausíveis,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conclusão metodológica é que a robustez do sistema depende menos da presença isolada da IA do que da qualidade das regras, limites e mecanismos de validação que enquadram a sua atuação. O esquema de parâmetros do modelo, os limites declarados, a filtragem dos campos devolvidos, a ancoragem em dados populacionais, a renderização por OpenSCAD/WebAssembly e a exportação em STL/3MF formam uma cadeia de verificações sucessivas.</w:t>
      </w:r>
    </w:p>
    <w:p>
      <w:pPr>
        <w:pStyle w:val="Normal"/>
        <w:bidi w:val="0"/>
        <w:jc w:val="left"/>
        <w:rPr>
          <w:lang w:val="pt-PT"/>
        </w:rPr>
      </w:pPr>
      <w:r>
        <w:rPr>
          <w:lang w:val="pt-PT"/>
        </w:rPr>
        <w:t>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 xml:space="preserve">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w:t>
      </w:r>
      <w:r>
        <w:rPr/>
        <w:t>O contributo metodológico da investigação reside no desenvolvimento de uma infraestrutura de apoio à configuração protésica, capaz de tornar mais explícita, documentável e acessível a passagem entre dados do utilizador, parâmetros geométricos e geometria exportável, sem reivindicar validação clínica da prótese resultante.</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e 3MF.</w:t>
      </w:r>
    </w:p>
    <w:p>
      <w:pPr>
        <w:pStyle w:val="Normal"/>
        <w:bidi w:val="0"/>
        <w:jc w:val="left"/>
        <w:rPr>
          <w:lang w:val="pt-PT"/>
        </w:rPr>
      </w:pPr>
      <w:r>
        <w:rPr>
          <w:lang w:val="pt-PT"/>
        </w:rPr>
        <w:t>A integração da IA acrescentou uma camada de apoio à decisão, capaz de transformar descrições incompletas em pontos de partida plausíveis, desde que as sugestões sejam enquadradas pelo esquema de parâmetros do modelo, pelos limites definidos e por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w:t>
      </w:r>
    </w:p>
    <w:p>
      <w:pPr>
        <w:pStyle w:val="Normal"/>
        <w:bidi w:val="0"/>
        <w:jc w:val="left"/>
        <w:rPr>
          <w:lang w:val="pt-PT"/>
        </w:rPr>
      </w:pPr>
      <w:r>
        <w:rPr/>
        <w:t>Terceiro, a validação geométrica entre modelos demonstrou que a exportação em STL/3MF é indispensável para identificar constrangimentos que a resposta numérica não revela, como limites mínimos de escala, dependências herdadas do código original e diferenças efetivas entre modelos.</w:t>
      </w:r>
    </w:p>
    <w:p>
      <w:pPr>
        <w:pStyle w:val="Normal"/>
        <w:bidi w:val="0"/>
        <w:jc w:val="left"/>
        <w:rPr>
          <w:lang w:val="pt-PT"/>
        </w:rPr>
      </w:pPr>
      <w:r>
        <w:rPr>
          <w:lang w:val="pt-PT"/>
        </w:rPr>
        <w:t xml:space="preserve">Quarto, a avaliação centrada no utilizador revelou que a acessibilidade paramétrica depende tanto da qualidade da inferência - entendida como o processo através do qual a IA transforma informação incompleta, indireta ou descritiva em sugestões paramétricas plausíveis </w:t>
        <w:softHyphen/>
        <w:t>- como das salvaguardas incorporadas na interface: entradas vagas e formuladas em diferentes línguas foram tratadas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sugere a possibilidade de extensão da arquitetura a outros segmentos corporais. A plataforma deixa de depender exclusivamente de pressupostos específicos da mão quando propriedades como lateralidade, tipo de membro e orientação antropométrica passam a ser declaradas no ficheiro de configuração do modelo.</w:t>
      </w:r>
    </w:p>
    <w:p>
      <w:pPr>
        <w:pStyle w:val="Normal"/>
        <w:bidi w:val="0"/>
        <w:jc w:val="left"/>
        <w:rPr>
          <w:lang w:val="pt-PT"/>
        </w:rPr>
      </w:pPr>
      <w:r>
        <w:rPr>
          <w:lang w:val="pt-PT"/>
        </w:rPr>
        <w:t>Este passo não valida automaticamente a plataforma para dispositivos destinados ao pé, à perna ou ao braço, uma vez que essa extensão exigiria novos conjuntos de dados, novos mapeamentos antropométricos e validação geométrica específica. Ainda assim, demonstra que a estrutura técnica pode evoluir de um configurador de membros superiores e mãos para uma plataforma paramétrica organizada por tipo de membro, desde que cada modelo declare a sua lógica dimensional, os parâmetros relevantes e os respetivos limites de fabrico.</w:t>
      </w:r>
    </w:p>
    <w:p>
      <w:pPr>
        <w:pStyle w:val="Normal"/>
        <w:bidi w:val="0"/>
        <w:jc w:val="left"/>
        <w:rPr>
          <w:lang w:val="pt-PT"/>
        </w:rPr>
      </w:pPr>
      <w:r>
        <w:rPr>
          <w:lang w:val="pt-PT"/>
        </w:rPr>
      </w:r>
    </w:p>
    <w:p>
      <w:pPr>
        <w:pStyle w:val="Heading3"/>
        <w:bidi w:val="0"/>
        <w:jc w:val="left"/>
        <w:rPr>
          <w:lang w:val="pt-PT"/>
        </w:rPr>
      </w:pPr>
      <w:r>
        <w:rPr>
          <w:lang w:val="pt-PT"/>
        </w:rPr>
        <w:t>9.2 Contributos para o Design Industrial</w:t>
      </w:r>
    </w:p>
    <w:p>
      <w:pPr>
        <w:pStyle w:val="Heading3"/>
        <w:bidi w:val="0"/>
        <w:jc w:val="left"/>
        <w:rPr>
          <w:lang w:val="pt-PT"/>
        </w:rPr>
      </w:pPr>
      <w:r>
        <w:rPr>
          <w:lang w:val="pt-PT"/>
        </w:rPr>
      </w:r>
    </w:p>
    <w:p>
      <w:pPr>
        <w:pStyle w:val="Normal"/>
        <w:bidi w:val="0"/>
        <w:jc w:val="left"/>
        <w:rPr>
          <w:lang w:val="pt-PT"/>
        </w:rPr>
      </w:pPr>
      <w:r>
        <w:rPr>
          <w:lang w:val="pt-PT"/>
        </w:rPr>
        <w:t>O contributo principal reside na demonstração de um processo em que o artefacto, a interface e a lógica paramétrica funcionam como instrumentos de investigação. A prótese é aqui entendida como sistema configurável, no qual requisitos anatómicos, funcionais, produtivos e de utilização são traduzidos em parâmetros passíveis de análise crítica.</w:t>
      </w:r>
    </w:p>
    <w:p>
      <w:pPr>
        <w:pStyle w:val="Normal"/>
        <w:bidi w:val="0"/>
        <w:jc w:val="left"/>
        <w:rPr>
          <w:lang w:val="pt-PT"/>
        </w:rPr>
      </w:pPr>
      <w:r>
        <w:rPr>
          <w:lang w:val="pt-PT"/>
        </w:rPr>
        <w:t>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de apoio, nos quais a acessibilidade da configuração deve ser equilibrada com responsabilidade, segurança e coerência funcional.</w:t>
      </w:r>
    </w:p>
    <w:p>
      <w:pPr>
        <w:pStyle w:val="Normal"/>
        <w:bidi w:val="0"/>
        <w:jc w:val="left"/>
        <w:rPr>
          <w:lang w:val="pt-PT"/>
        </w:rPr>
      </w:pPr>
      <w:r>
        <w:rPr>
          <w:lang w:val="pt-PT"/>
        </w:rPr>
        <w:t xml:space="preserve">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w:t>
      </w:r>
      <w:r>
        <w:rPr>
          <w:i/>
          <w:iCs/>
          <w:lang w:val="pt-PT"/>
        </w:rPr>
        <w:t>human-in-the-loop</w:t>
      </w:r>
      <w:r>
        <w:rPr>
          <w:lang w:val="pt-PT"/>
        </w:rPr>
        <w:t>,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Heading3"/>
        <w:bidi w:val="0"/>
        <w:jc w:val="left"/>
        <w:rPr>
          <w:lang w:val="pt-PT"/>
        </w:rPr>
      </w:pPr>
      <w:r>
        <w:rPr>
          <w:lang w:val="pt-PT"/>
        </w:rPr>
      </w:r>
    </w:p>
    <w:p>
      <w:pPr>
        <w:pStyle w:val="Normal"/>
        <w:bidi w:val="0"/>
        <w:jc w:val="left"/>
        <w:rPr>
          <w:lang w:val="pt-PT"/>
        </w:rPr>
      </w:pPr>
      <w:r>
        <w:rPr>
          <w:lang w:val="pt-PT"/>
        </w:rPr>
        <w:t>O alcance das conclusões deve ser entendido a partir do caráter metodológico e técnico da validação realizada. A avaliação incidiu sobre perfis simulados, dados secundários e critérios internos de plausibilidade, deixando para investigação futura os testes com utilizadores reais, as avaliações clínicas, as medições diretas de conforto, os ensaios funcionais prolongados e a validação biomecânica completa. Assim, os resultados sustentam a validação do fluxo de personalização, sem constituírem demonstração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prevendo-se a repetição automática do pedido sempre que a resposta se afaste da estrutura definida.</w:t>
      </w:r>
    </w:p>
    <w:p>
      <w:pPr>
        <w:pStyle w:val="Normal"/>
        <w:bidi w:val="0"/>
        <w:jc w:val="left"/>
        <w:rPr>
          <w:lang w:val="pt-PT"/>
        </w:rPr>
      </w:pPr>
      <w:r>
        <w:rPr>
          <w:lang w:val="pt-PT"/>
        </w:rPr>
        <w:t>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rPr>
          <w:rFonts w:ascii="Calibri" w:hAnsi="Calibri"/>
          <w:b w:val="false"/>
          <w:i w:val="false"/>
          <w:sz w:val="22"/>
        </w:rPr>
      </w:pPr>
      <w:r>
        <w:rPr>
          <w:b w:val="false"/>
          <w:i w:val="false"/>
          <w:sz w:val="22"/>
        </w:rPr>
      </w:r>
    </w:p>
    <w:p>
      <w:pPr>
        <w:pStyle w:val="Normal"/>
        <w:bidi w:val="0"/>
        <w:rPr>
          <w:rFonts w:ascii="Calibri" w:hAnsi="Calibri"/>
          <w:b w:val="false"/>
          <w:i w:val="false"/>
          <w:sz w:val="22"/>
        </w:rPr>
      </w:pPr>
      <w:r>
        <w:rPr>
          <w:b w:val="false"/>
          <w:i w:val="false"/>
          <w:sz w:val="22"/>
        </w:rPr>
        <w:t xml:space="preserve">   </w:t>
      </w:r>
      <w:r>
        <w:rPr>
          <w:b w:val="false"/>
          <w:i w:val="false"/>
          <w:sz w:val="22"/>
        </w:rPr>
        <w:t>Brack, R., &amp; Amalu, E. H. (2021). A review  of technology, materials and R&amp;D  challenges of upper limb prosthesis for  improved user suitability. Journal of</w:t>
      </w:r>
    </w:p>
    <w:p>
      <w:pPr>
        <w:pStyle w:val="Normal"/>
        <w:bidi w:val="0"/>
        <w:rPr>
          <w:rFonts w:ascii="Calibri" w:hAnsi="Calibri"/>
          <w:b w:val="false"/>
          <w:i w:val="false"/>
          <w:sz w:val="22"/>
        </w:rPr>
      </w:pPr>
      <w:r>
        <w:rPr>
          <w:b w:val="false"/>
          <w:i w:val="false"/>
          <w:sz w:val="22"/>
        </w:rPr>
        <w:t xml:space="preserve">   </w:t>
      </w:r>
      <w:r>
        <w:rPr>
          <w:b w:val="false"/>
          <w:i w:val="false"/>
          <w:sz w:val="22"/>
        </w:rPr>
        <w:t>Orthopaedics, 23, 88–96.  https://doi.org/10.1016/j.jor.2020.12.009</w:t>
      </w:r>
    </w:p>
    <w:p>
      <w:pPr>
        <w:pStyle w:val="Normal"/>
        <w:bidi w:val="0"/>
        <w:rPr>
          <w:rFonts w:ascii="Calibri" w:hAnsi="Calibri"/>
          <w:b w:val="false"/>
          <w:i w:val="false"/>
          <w:sz w:val="22"/>
        </w:rPr>
      </w:pPr>
      <w:r>
        <w:rPr>
          <w:b w:val="false"/>
          <w:i w:val="false"/>
          <w:sz w:val="22"/>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p>
      <w:pPr>
        <w:pStyle w:val="Normal"/>
        <w:rPr/>
      </w:pPr>
      <w:r>
        <w:rPr/>
      </w:r>
      <w:r>
        <w:br w:type="page"/>
      </w:r>
    </w:p>
    <w:p>
      <w:pPr>
        <w:pStyle w:val="Heading2"/>
        <w:spacing w:before="0" w:after="0"/>
        <w:rPr/>
      </w:pPr>
      <w:r>
        <w:rPr/>
        <w:t>Anexo A — Metodologia de extração e codificação de dados antropométricos da mão</w:t>
      </w:r>
    </w:p>
    <w:p>
      <w:pPr>
        <w:pStyle w:val="Heading3"/>
        <w:rPr/>
      </w:pPr>
      <w:r>
        <w:rPr/>
        <w:t>A.1 Contexto e Objetivo</w:t>
      </w:r>
    </w:p>
    <w:p>
      <w:pPr>
        <w:pStyle w:val="Normal"/>
        <w:rPr/>
      </w:pPr>
      <w:r>
        <w:rPr/>
        <w:t>O desenvolvimento de um gerador paramétrico de próteses de mão requer dados antropométricos da mão humana que sejam suficientemente variados para cobrir diferentes populações, sexos e grupos etários. O objetivo deste processo foi construir uma base de dados estruturada em formato CSV que servisse de entrada direta ao modelo paramétrico, contendo medições reais retiradas de literatura científica publicada e de relatórios militares de referência.</w:t>
      </w:r>
    </w:p>
    <w:p>
      <w:pPr>
        <w:pStyle w:val="Normal"/>
        <w:rPr/>
      </w:pPr>
      <w:r>
        <w:rPr/>
        <w:t>Foram produzidos três ficheiros CSV complementares:</w:t>
      </w:r>
    </w:p>
    <w:p>
      <w:pPr>
        <w:pStyle w:val="ListBullet"/>
        <w:rPr/>
      </w:pPr>
      <w:r>
        <w:rPr/>
        <w:t xml:space="preserve">- </w:t>
      </w:r>
      <w:r>
        <w:rPr>
          <w:rFonts w:ascii="Consolas" w:hAnsi="Consolas"/>
          <w:sz w:val="20"/>
        </w:rPr>
        <w:t>ansur</w:t>
      </w:r>
      <w:r>
        <w:rPr>
          <w:i/>
        </w:rPr>
        <w:t>1988</w:t>
      </w:r>
      <w:r>
        <w:rPr/>
        <w:t>complete.csv</w:t>
      </w:r>
      <w:r>
        <w:rPr>
          <w:rFonts w:ascii="Consolas" w:hAnsi="Consolas"/>
          <w:sz w:val="20"/>
        </w:rPr>
        <w:t xml:space="preserve"> — 2.726 linhas, 47 dimensões corporais do estudo ANSUR 1988 (Gordon et al., 1989), população militar norte-americana</w:t>
      </w:r>
    </w:p>
    <w:p>
      <w:pPr>
        <w:pStyle w:val="ListBullet"/>
        <w:rPr/>
      </w:pPr>
      <w:r>
        <w:rPr/>
        <w:t xml:space="preserve">- </w:t>
      </w:r>
      <w:r>
        <w:rPr>
          <w:rFonts w:ascii="Consolas" w:hAnsi="Consolas"/>
          <w:sz w:val="20"/>
        </w:rPr>
        <w:t>ansur</w:t>
      </w:r>
      <w:r>
        <w:rPr>
          <w:i/>
        </w:rPr>
        <w:t>1988</w:t>
      </w:r>
      <w:r>
        <w:rPr/>
        <w:t>hand</w:t>
      </w:r>
      <w:r>
        <w:rPr>
          <w:i/>
        </w:rPr>
        <w:t>arm.csv</w:t>
      </w:r>
      <w:r>
        <w:rPr>
          <w:rFonts w:ascii="Consolas" w:hAnsi="Consolas"/>
          <w:sz w:val="20"/>
        </w:rPr>
        <w:t xml:space="preserve"> — 696 linhas, subconjunto do ANSUR restrito às medições da mão, antebraço e braço</w:t>
      </w:r>
    </w:p>
    <w:p>
      <w:pPr>
        <w:pStyle w:val="ListBullet"/>
        <w:rPr/>
      </w:pPr>
      <w:r>
        <w:rPr/>
        <w:t xml:space="preserve">- </w:t>
      </w:r>
      <w:r>
        <w:rPr>
          <w:rFonts w:ascii="Consolas" w:hAnsi="Consolas"/>
          <w:sz w:val="20"/>
        </w:rPr>
        <w:t>multi</w:t>
      </w:r>
      <w:r>
        <w:rPr>
          <w:i/>
        </w:rPr>
        <w:t>population</w:t>
      </w:r>
      <w:r>
        <w:rPr/>
        <w:t>hand.csv</w:t>
      </w:r>
      <w:r>
        <w:rPr>
          <w:rFonts w:ascii="Consolas" w:hAnsi="Consolas"/>
          <w:sz w:val="20"/>
        </w:rPr>
        <w:t xml:space="preserve"> — 1.790 linhas, dados de onze estudos populacionais independentes de nove países diferentes</w:t>
      </w:r>
    </w:p>
    <w:p>
      <w:pPr>
        <w:pStyle w:val="Normal"/>
        <w:pBdr>
          <w:bottom w:val="single" w:sz="6" w:space="1" w:color="808080"/>
        </w:pBdr>
        <w:rPr/>
      </w:pPr>
      <w:r>
        <w:rPr/>
      </w:r>
    </w:p>
    <w:p>
      <w:pPr>
        <w:pStyle w:val="Heading3"/>
        <w:rPr/>
      </w:pPr>
      <w:r>
        <w:rPr/>
        <w:t>A.2 Estratégia de Pesquisa Bibliográfica</w:t>
      </w:r>
    </w:p>
    <w:p>
      <w:pPr>
        <w:pStyle w:val="Heading3"/>
        <w:rPr/>
      </w:pPr>
      <w:r>
        <w:rPr/>
        <w:t>A.2.1 Pesquisa bibliográfica assistida e revisões sistemáticas</w:t>
      </w:r>
    </w:p>
    <w:p>
      <w:pPr>
        <w:pStyle w:val="Normal"/>
        <w:rPr/>
      </w:pPr>
      <w:r>
        <w:rPr/>
        <w:t>A pesquisa de literatura foi conduzida através de pesquisas bibliográficas orientadas por questões, complementadas por ferramentas de apoio à revisão e triagem, com o objetivo de identificar estudos de antropometria da mão com dados primários tabelados. As questões-chave incluíam variações de:</w:t>
      </w:r>
    </w:p>
    <w:p>
      <w:pPr>
        <w:pStyle w:val="Quote"/>
        <w:rPr/>
      </w:pPr>
      <w:r>
        <w:rPr>
          <w:i/>
        </w:rPr>
        <w:t>"hand anthropometry normative data population study percentiles"</w:t>
      </w:r>
      <w:r>
        <w:rPr/>
        <w:t xml:space="preserve"> </w:t>
      </w:r>
      <w:r>
        <w:rPr>
          <w:i/>
        </w:rPr>
        <w:t>"hand dimensions measurement ergonomics working population"</w:t>
      </w:r>
      <w:r>
        <w:rPr/>
        <w:t xml:space="preserve"> </w:t>
      </w:r>
      <w:r>
        <w:rPr>
          <w:i/>
        </w:rPr>
        <w:t>"anthropometric survey finger length breadth caliper"</w:t>
      </w:r>
    </w:p>
    <w:p>
      <w:pPr>
        <w:pStyle w:val="Normal"/>
        <w:rPr/>
      </w:pPr>
      <w:r>
        <w:rPr/>
        <w:t>As listas de referências resultantes foram guardadas localmente em pastas organizadas por capítulo da tese. Os ficheiros de trabalho, citações e listas bibliográficas foram cruzados com a coleção local de PDFs para identificar lacunas.</w:t>
      </w:r>
    </w:p>
    <w:p>
      <w:pPr>
        <w:pStyle w:val="Heading3"/>
        <w:rPr/>
      </w:pPr>
      <w:r>
        <w:rPr/>
        <w:t>A.2.2 Base ANSUR 1988</w:t>
      </w:r>
    </w:p>
    <w:p>
      <w:pPr>
        <w:pStyle w:val="Normal"/>
        <w:rPr/>
      </w:pPr>
      <w:r>
        <w:rPr/>
        <w:t>O relatório ANSUR 1988 (Gordon et al., 1989) foi identificado como fonte de referência fundamental por ser um dos estudos antropométricos com maior dimensão amostral disponíveis publicamente (n=9.068 militares norte-americanos). Os dados foram extraídos diretamente das tabelas estatísticas detalhadas do relatório (Appendix B), que fornece, para cada dimensão e por sexo, a média, o desvio-padrão, os percentis P5, P10, P25, P50, P75, P90, P95, o mínimo e o máximo.</w:t>
      </w:r>
    </w:p>
    <w:p>
      <w:pPr>
        <w:pStyle w:val="Normal"/>
        <w:pBdr>
          <w:bottom w:val="single" w:sz="6" w:space="1" w:color="808080"/>
        </w:pBdr>
        <w:rPr/>
      </w:pPr>
      <w:r>
        <w:rPr/>
      </w:r>
    </w:p>
    <w:p>
      <w:pPr>
        <w:pStyle w:val="Heading3"/>
        <w:rPr/>
      </w:pPr>
      <w:r>
        <w:rPr/>
        <w:t>A.3 Critérios de Inclusão e Exclusão de Estudos</w:t>
      </w:r>
    </w:p>
    <w:p>
      <w:pPr>
        <w:pStyle w:val="Normal"/>
        <w:rPr/>
      </w:pPr>
      <w:r>
        <w:rPr/>
        <w:t>Para cada estudo identificado, a decisão de incluir ou excluir os seus dados na base CSV seguiu critérios explícitos.</w:t>
      </w:r>
    </w:p>
    <w:p>
      <w:pPr>
        <w:pStyle w:val="Heading3"/>
        <w:rPr/>
      </w:pPr>
      <w:r>
        <w:rPr/>
        <w:t>A.3.1 Critérios de inclusão</w:t>
      </w:r>
    </w:p>
    <w:p>
      <w:pPr>
        <w:pStyle w:val="Normal"/>
        <w:rPr/>
      </w:pPr>
      <w:r>
        <w:rPr/>
        <w:t>Um estudo foi incluído se satisfazia simultaneamente as seguintes condições:</w:t>
      </w:r>
    </w:p>
    <w:p>
      <w:pPr>
        <w:pStyle w:val="ListNumber"/>
        <w:rPr/>
      </w:pPr>
      <w:r>
        <w:rPr/>
        <w:t xml:space="preserve">1. </w:t>
      </w:r>
      <w:r>
        <w:rPr>
          <w:b/>
        </w:rPr>
        <w:t>Dados primários</w:t>
      </w:r>
      <w:r>
        <w:rPr/>
        <w:t xml:space="preserve"> — o estudo apresenta medições recolhidas pelos seus próprios autores sobre participantes reais, não reutilizando tabelas de terceiros sem transformação.</w:t>
      </w:r>
    </w:p>
    <w:p>
      <w:pPr>
        <w:pStyle w:val="ListNumber"/>
        <w:rPr/>
      </w:pPr>
      <w:r>
        <w:rPr/>
        <w:t xml:space="preserve">2. </w:t>
      </w:r>
      <w:r>
        <w:rPr>
          <w:b/>
        </w:rPr>
        <w:t>Dimensões da mão ou do membro superior</w:t>
      </w:r>
      <w:r>
        <w:rPr/>
        <w:t xml:space="preserve"> — pelo menos uma medição refere-se à mão, dedos, palma, antebraço ou punho.</w:t>
      </w:r>
    </w:p>
    <w:p>
      <w:pPr>
        <w:pStyle w:val="ListNumber"/>
        <w:rPr/>
      </w:pPr>
      <w:r>
        <w:rPr/>
        <w:t xml:space="preserve">3. </w:t>
      </w:r>
      <w:r>
        <w:rPr>
          <w:b/>
        </w:rPr>
        <w:t>Estatística descritiva legível</w:t>
      </w:r>
      <w:r>
        <w:rPr/>
        <w:t xml:space="preserve"> — a tabela do artigo fornece, no mínimo, a média. A presença de desvio-padrão e/ou percentis constituía um critério de preferência.</w:t>
      </w:r>
    </w:p>
    <w:p>
      <w:pPr>
        <w:pStyle w:val="ListNumber"/>
        <w:rPr/>
      </w:pPr>
      <w:r>
        <w:rPr/>
        <w:t xml:space="preserve">4. </w:t>
      </w:r>
      <w:r>
        <w:rPr>
          <w:b/>
        </w:rPr>
        <w:t>Identificação clara da população</w:t>
      </w:r>
      <w:r>
        <w:rPr/>
        <w:t xml:space="preserve"> — o artigo especifica país, sexo, dimensão amostral e método de medição.</w:t>
      </w:r>
    </w:p>
    <w:p>
      <w:pPr>
        <w:pStyle w:val="Heading3"/>
        <w:rPr/>
      </w:pPr>
      <w:r>
        <w:rPr/>
        <w:t>A.3.2 Critérios de exclusão</w:t>
      </w:r>
    </w:p>
    <w:p>
      <w:pPr>
        <w:pStyle w:val="Normal"/>
        <w:rPr/>
      </w:pPr>
      <w:r>
        <w:rPr/>
        <w:t>Um estudo foi excluído nas seguintes situações:</w:t>
      </w:r>
    </w:p>
    <w:p>
      <w:pPr>
        <w:pStyle w:val="ListBullet"/>
        <w:rPr/>
      </w:pPr>
      <w:r>
        <w:rPr/>
        <w:t xml:space="preserve">- </w:t>
      </w:r>
      <w:r>
        <w:rPr>
          <w:b/>
        </w:rPr>
        <w:t>Dados secundários sem valor acrescentado</w:t>
      </w:r>
      <w:r>
        <w:rPr/>
        <w:t xml:space="preserve"> — por exemplo, o trabalho de Moreo (2016) apresenta valores percentílicos de comprimento de dedo extraídos da base de dados DINED (TU Delft, n=965 crianças neerlandesas), sem recolha própria. A Tabela 6.1 desse trabalho serve apenas para validar as escolhas de design do protótipo, não constituindo uma fonte primária codificável de forma independente.</w:t>
      </w:r>
    </w:p>
    <w:p>
      <w:pPr>
        <w:pStyle w:val="ListBullet"/>
        <w:rPr/>
      </w:pPr>
      <w:r>
        <w:rPr/>
        <w:t xml:space="preserve">- </w:t>
      </w:r>
      <w:r>
        <w:rPr>
          <w:b/>
        </w:rPr>
        <w:t>Artigos de engenharia sem tabelas antropométricas</w:t>
      </w:r>
      <w:r>
        <w:rPr/>
        <w:t xml:space="preserve"> — estudos centrados em materiais, análise de elementos finitos ou fabrico aditivo que referenciam dimensões da mão apenas de forma incidental e sem estatística descritiva.</w:t>
      </w:r>
    </w:p>
    <w:p>
      <w:pPr>
        <w:pStyle w:val="ListBullet"/>
        <w:rPr/>
      </w:pPr>
      <w:r>
        <w:rPr/>
        <w:t xml:space="preserve">- </w:t>
      </w:r>
      <w:r>
        <w:rPr>
          <w:b/>
        </w:rPr>
        <w:t>Dimensões não da mão em estudos mistos</w:t>
      </w:r>
      <w:r>
        <w:rPr/>
        <w:t xml:space="preserve"> — medições de outras regiões corporais presentes no mesmo artigo foram excluídas se não existia uma razão direta para a prótese de mão (exceção: comprimento cotovelo-ponta dos dedos, incluído por ser relevante para o encaixe do socket).</w:t>
      </w:r>
    </w:p>
    <w:p>
      <w:pPr>
        <w:pStyle w:val="Normal"/>
        <w:pBdr>
          <w:bottom w:val="single" w:sz="6" w:space="1" w:color="808080"/>
        </w:pBdr>
        <w:rPr/>
      </w:pPr>
      <w:r>
        <w:rPr/>
      </w:r>
    </w:p>
    <w:p>
      <w:pPr>
        <w:pStyle w:val="Heading3"/>
        <w:rPr/>
      </w:pPr>
      <w:r>
        <w:rPr/>
        <w:t>A.4 Processo de Extração de Dados</w:t>
      </w:r>
    </w:p>
    <w:p>
      <w:pPr>
        <w:pStyle w:val="Heading3"/>
        <w:rPr/>
      </w:pPr>
      <w:r>
        <w:rPr/>
        <w:t>A.4.1 Leitura dos PDFs e localização das tabelas</w:t>
      </w:r>
    </w:p>
    <w:p>
      <w:pPr>
        <w:pStyle w:val="Normal"/>
        <w:rPr/>
      </w:pPr>
      <w:r>
        <w:rPr/>
        <w:t xml:space="preserve">Cada artigo foi lido integralmente, com foco nas secções de </w:t>
      </w:r>
      <w:r>
        <w:rPr>
          <w:i/>
        </w:rPr>
        <w:t>Methods</w:t>
      </w:r>
      <w:r>
        <w:rPr/>
        <w:t xml:space="preserve"> (para identificar o instrumento de medição, a mão medida, e a posição do participante) e </w:t>
      </w:r>
      <w:r>
        <w:rPr>
          <w:i/>
        </w:rPr>
        <w:t>Results</w:t>
      </w:r>
      <w:r>
        <w:rPr/>
        <w:t xml:space="preserve"> (para localizar as tabelas com estatística descritiva). A página exata de cada tabela foi registada no campo </w:t>
      </w:r>
      <w:r>
        <w:rPr>
          <w:rFonts w:ascii="Consolas" w:hAnsi="Consolas"/>
          <w:sz w:val="20"/>
        </w:rPr>
        <w:t>source</w:t>
      </w:r>
      <w:r>
        <w:rPr>
          <w:i/>
        </w:rPr>
        <w:t>page</w:t>
      </w:r>
      <w:r>
        <w:rPr>
          <w:rFonts w:ascii="Consolas" w:hAnsi="Consolas"/>
          <w:sz w:val="20"/>
        </w:rPr>
        <w:t xml:space="preserve"> do CSV.</w:t>
      </w:r>
    </w:p>
    <w:p>
      <w:pPr>
        <w:pStyle w:val="Normal"/>
        <w:rPr/>
      </w:pPr>
      <w:r>
        <w:rPr/>
        <w:t>Quando um artigo reportava medições em mais do que uma tabela (por exemplo, comprimentos numa tabela e larguras noutra), cada tabela foi processada separadamente.</w:t>
      </w:r>
    </w:p>
    <w:p>
      <w:pPr>
        <w:pStyle w:val="Heading3"/>
        <w:rPr/>
      </w:pPr>
      <w:r>
        <w:rPr/>
        <w:t>A.4.2 Identificação das unidades e conversão</w:t>
      </w:r>
    </w:p>
    <w:p>
      <w:pPr>
        <w:pStyle w:val="Normal"/>
        <w:rPr/>
      </w:pPr>
      <w:r>
        <w:rPr/>
        <w:t>Os artigos consultados reportam medições em milímetros (mm), centímetros (cm) ou, no caso do ANSUR, em polegadas (in). O CSV armazena sempre os três sistemas em simultâneo (</w:t>
      </w:r>
      <w:r>
        <w:rPr>
          <w:rFonts w:ascii="Consolas" w:hAnsi="Consolas"/>
          <w:sz w:val="20"/>
        </w:rPr>
        <w:t>value</w:t>
      </w:r>
      <w:r>
        <w:rPr>
          <w:i/>
        </w:rPr>
        <w:t>mm</w:t>
      </w:r>
      <w:r>
        <w:rPr>
          <w:rFonts w:ascii="Consolas" w:hAnsi="Consolas"/>
          <w:sz w:val="20"/>
        </w:rPr>
        <w:t xml:space="preserve">, </w:t>
      </w:r>
      <w:r>
        <w:rPr/>
        <w:t>value</w:t>
      </w:r>
      <w:r>
        <w:rPr>
          <w:i/>
        </w:rPr>
        <w:t>cm</w:t>
      </w:r>
      <w:r>
        <w:rPr>
          <w:rFonts w:ascii="Consolas" w:hAnsi="Consolas"/>
          <w:sz w:val="20"/>
        </w:rPr>
        <w:t xml:space="preserve">, </w:t>
      </w:r>
      <w:r>
        <w:rPr/>
        <w:t>value</w:t>
      </w:r>
      <w:r>
        <w:rPr>
          <w:i/>
        </w:rPr>
        <w:t>in</w:t>
      </w:r>
      <w:r>
        <w:rPr>
          <w:rFonts w:ascii="Consolas" w:hAnsi="Consolas"/>
          <w:sz w:val="20"/>
        </w:rPr>
        <w:t>), calculados a partir de uma única unidade-fonte:</w:t>
      </w:r>
    </w:p>
    <w:p>
      <w:pPr>
        <w:pStyle w:val="ListBullet"/>
        <w:rPr/>
      </w:pPr>
      <w:r>
        <w:rPr/>
        <w:t xml:space="preserve">- Se o artigo reporta em mm: </w:t>
      </w:r>
      <w:r>
        <w:rPr>
          <w:rFonts w:ascii="Consolas" w:hAnsi="Consolas"/>
          <w:sz w:val="20"/>
        </w:rPr>
        <w:t>value</w:t>
      </w:r>
      <w:r>
        <w:rPr>
          <w:i/>
        </w:rPr>
        <w:t>cm = value</w:t>
      </w:r>
      <w:r>
        <w:rPr/>
        <w:t>mm / 10</w:t>
      </w:r>
      <w:r>
        <w:rPr>
          <w:rFonts w:ascii="Consolas" w:hAnsi="Consolas"/>
          <w:sz w:val="20"/>
        </w:rPr>
        <w:t xml:space="preserve">; </w:t>
      </w:r>
      <w:r>
        <w:rPr/>
        <w:t>value</w:t>
      </w:r>
      <w:r>
        <w:rPr>
          <w:i/>
        </w:rPr>
        <w:t>in = value</w:t>
      </w:r>
      <w:r>
        <w:rPr/>
        <w:t>cm / 2.54</w:t>
      </w:r>
    </w:p>
    <w:p>
      <w:pPr>
        <w:pStyle w:val="ListBullet"/>
        <w:rPr/>
      </w:pPr>
      <w:r>
        <w:rPr/>
        <w:t xml:space="preserve">- Se o artigo reporta em cm: </w:t>
      </w:r>
      <w:r>
        <w:rPr>
          <w:rFonts w:ascii="Consolas" w:hAnsi="Consolas"/>
          <w:sz w:val="20"/>
        </w:rPr>
        <w:t>value</w:t>
      </w:r>
      <w:r>
        <w:rPr>
          <w:i/>
        </w:rPr>
        <w:t>mm = value</w:t>
      </w:r>
      <w:r>
        <w:rPr/>
        <w:t>cm × 10</w:t>
      </w:r>
      <w:r>
        <w:rPr>
          <w:rFonts w:ascii="Consolas" w:hAnsi="Consolas"/>
          <w:sz w:val="20"/>
        </w:rPr>
        <w:t xml:space="preserve">; </w:t>
      </w:r>
      <w:r>
        <w:rPr/>
        <w:t>value</w:t>
      </w:r>
      <w:r>
        <w:rPr>
          <w:i/>
        </w:rPr>
        <w:t>in = value</w:t>
      </w:r>
      <w:r>
        <w:rPr/>
        <w:t>cm / 2.54</w:t>
      </w:r>
    </w:p>
    <w:p>
      <w:pPr>
        <w:pStyle w:val="Normal"/>
        <w:rPr/>
      </w:pPr>
      <w:r>
        <w:rPr/>
        <w:t>Esta redundância elimina conversões em tempo de execução por parte do modelo paramétrico.</w:t>
      </w:r>
    </w:p>
    <w:p>
      <w:pPr>
        <w:pStyle w:val="Heading3"/>
        <w:rPr/>
      </w:pPr>
      <w:r>
        <w:rPr/>
      </w:r>
    </w:p>
    <w:p>
      <w:pPr>
        <w:pStyle w:val="Heading3"/>
        <w:rPr/>
      </w:pPr>
      <w:r>
        <w:rPr/>
        <w:t>A.4.3 Decomposição em linhas atómicas</w:t>
      </w:r>
    </w:p>
    <w:p>
      <w:pPr>
        <w:pStyle w:val="Normal"/>
        <w:rPr/>
      </w:pPr>
      <w:r>
        <w:rPr/>
      </w:r>
    </w:p>
    <w:p>
      <w:pPr>
        <w:pStyle w:val="Normal"/>
        <w:rPr/>
      </w:pPr>
      <w:r>
        <w:rPr/>
        <w:t xml:space="preserve">Cada célula de uma tabela estatística origina </w:t>
      </w:r>
      <w:r>
        <w:rPr>
          <w:b/>
        </w:rPr>
        <w:t>uma linha independente</w:t>
      </w:r>
      <w:r>
        <w:rPr/>
        <w:t xml:space="preserve"> no CSV. Assim, para uma dada dimensão, população e sexo, existem tantas linhas quantos os indicadores estatísticos disponíveis: por exemplo, se um artigo reporta média, desvio-padrão, P5, P50 e P95, são criadas cinco linhas — cada uma com o campo </w:t>
      </w:r>
      <w:r>
        <w:rPr>
          <w:rFonts w:ascii="Consolas" w:hAnsi="Consolas"/>
          <w:sz w:val="20"/>
        </w:rPr>
        <w:t>stat</w:t>
      </w:r>
      <w:r>
        <w:rPr>
          <w:i/>
        </w:rPr>
        <w:t>type</w:t>
      </w:r>
      <w:r>
        <w:rPr>
          <w:rFonts w:ascii="Consolas" w:hAnsi="Consolas"/>
          <w:sz w:val="20"/>
        </w:rPr>
        <w:t xml:space="preserve"> definido como </w:t>
      </w:r>
      <w:r>
        <w:rPr/>
        <w:t>mean</w:t>
      </w:r>
      <w:r>
        <w:rPr>
          <w:rFonts w:ascii="Consolas" w:hAnsi="Consolas"/>
          <w:sz w:val="20"/>
        </w:rPr>
        <w:t xml:space="preserve">, </w:t>
      </w:r>
      <w:r>
        <w:rPr/>
        <w:t>std</w:t>
      </w:r>
      <w:r>
        <w:rPr>
          <w:i/>
        </w:rPr>
        <w:t>dev</w:t>
      </w:r>
      <w:r>
        <w:rPr>
          <w:rFonts w:ascii="Consolas" w:hAnsi="Consolas"/>
          <w:sz w:val="20"/>
        </w:rPr>
        <w:t xml:space="preserve"> ou </w:t>
      </w:r>
      <w:r>
        <w:rPr/>
        <w:t>percentile</w:t>
      </w:r>
      <w:r>
        <w:rPr>
          <w:rFonts w:ascii="Consolas" w:hAnsi="Consolas"/>
          <w:sz w:val="20"/>
        </w:rPr>
        <w:t xml:space="preserve">, e o campo </w:t>
      </w:r>
      <w:r>
        <w:rPr/>
        <w:t>percentile</w:t>
      </w:r>
      <w:r>
        <w:rPr>
          <w:rFonts w:ascii="Consolas" w:hAnsi="Consolas"/>
          <w:sz w:val="20"/>
        </w:rPr>
        <w:t xml:space="preserve"> preenchido apenas nas linhas de tipo </w:t>
      </w:r>
      <w:r>
        <w:rPr/>
        <w:t>percentile</w:t>
      </w:r>
      <w:r>
        <w:rPr>
          <w:rFonts w:ascii="Consolas" w:hAnsi="Consolas"/>
          <w:sz w:val="20"/>
        </w:rPr>
        <w:t>.</w:t>
      </w:r>
    </w:p>
    <w:p>
      <w:pPr>
        <w:pStyle w:val="Normal"/>
        <w:rPr/>
      </w:pPr>
      <w:r>
        <w:rPr/>
        <w:t>Esta estrutura longa (</w:t>
      </w:r>
      <w:r>
        <w:rPr>
          <w:i/>
        </w:rPr>
        <w:t>long format</w:t>
      </w:r>
      <w:r>
        <w:rPr/>
        <w:t>) permite filtrar e agregar por qualquer combinação de variáveis sem necessidade de transformação prévia.</w:t>
      </w:r>
    </w:p>
    <w:p>
      <w:pPr>
        <w:pStyle w:val="Heading3"/>
        <w:rPr/>
      </w:pPr>
      <w:r>
        <w:rPr/>
      </w:r>
    </w:p>
    <w:p>
      <w:pPr>
        <w:pStyle w:val="Heading3"/>
        <w:rPr/>
      </w:pPr>
      <w:r>
        <w:rPr/>
        <w:t>A.4.4 Registo fiel do contexto da medição</w:t>
      </w:r>
    </w:p>
    <w:p>
      <w:pPr>
        <w:pStyle w:val="Normal"/>
        <w:rPr/>
      </w:pPr>
      <w:r>
        <w:rPr/>
      </w:r>
    </w:p>
    <w:p>
      <w:pPr>
        <w:pStyle w:val="Normal"/>
        <w:rPr/>
      </w:pPr>
      <w:r>
        <w:rPr/>
        <w:t xml:space="preserve">O campo </w:t>
      </w:r>
      <w:r>
        <w:rPr>
          <w:rFonts w:ascii="Consolas" w:hAnsi="Consolas"/>
          <w:sz w:val="20"/>
        </w:rPr>
        <w:t>measurement</w:t>
      </w:r>
      <w:r>
        <w:rPr>
          <w:i/>
        </w:rPr>
        <w:t>method</w:t>
      </w:r>
      <w:r>
        <w:rPr/>
        <w:t>note</w:t>
      </w:r>
      <w:r>
        <w:rPr>
          <w:rFonts w:ascii="Consolas" w:hAnsi="Consolas"/>
          <w:sz w:val="20"/>
        </w:rPr>
        <w:t xml:space="preserve"> regista, para cada estudo, informações sobre:</w:t>
      </w:r>
    </w:p>
    <w:p>
      <w:pPr>
        <w:pStyle w:val="ListBullet"/>
        <w:rPr/>
      </w:pPr>
      <w:r>
        <w:rPr/>
        <w:t>- O instrumento utilizado (e.g., "paquímetro digital Vernier 200 mm, resolução 0,01 mm")</w:t>
      </w:r>
    </w:p>
    <w:p>
      <w:pPr>
        <w:pStyle w:val="ListBullet"/>
        <w:rPr/>
      </w:pPr>
      <w:r>
        <w:rPr/>
        <w:t>- A mão medida (direita/esquerda/dominante)</w:t>
      </w:r>
    </w:p>
    <w:p>
      <w:pPr>
        <w:pStyle w:val="ListBullet"/>
        <w:rPr/>
      </w:pPr>
      <w:r>
        <w:rPr/>
        <w:t>- A posição da mão durante a medição (estendida e plana, em posição de repouso, sentado)</w:t>
      </w:r>
    </w:p>
    <w:p>
      <w:pPr>
        <w:pStyle w:val="ListBullet"/>
        <w:rPr/>
      </w:pPr>
      <w:r>
        <w:rPr/>
        <w:t>- O ponto de referência do comprimento (e.g., "da prega palmar proximal à ponta do dedo")</w:t>
      </w:r>
    </w:p>
    <w:p>
      <w:pPr>
        <w:pStyle w:val="Normal"/>
        <w:rPr/>
      </w:pPr>
      <w:r>
        <w:rPr/>
        <w:t>Esta informação é crítica porque estudos diferentes definem as mesmas dimensões com protocolos diferentes: por exemplo, "comprimento da mão" pode ser medido desde a prega do pulso até à ponta do dedo médio (Rodríguez-Vega et al., 2024) ou desde o processo estilóide até à mesma ponta (Anacleto Filho et al., 2023), produzindo valores não diretamente comparáveis.</w:t>
      </w:r>
    </w:p>
    <w:p>
      <w:pPr>
        <w:pStyle w:val="Heading3"/>
        <w:rPr/>
      </w:pPr>
      <w:r>
        <w:rPr/>
      </w:r>
    </w:p>
    <w:p>
      <w:pPr>
        <w:pStyle w:val="Heading3"/>
        <w:rPr/>
      </w:pPr>
      <w:r>
        <w:rPr/>
        <w:t>A.5 Decisões por Estudo</w:t>
      </w:r>
    </w:p>
    <w:p>
      <w:pPr>
        <w:pStyle w:val="Heading3"/>
        <w:rPr/>
      </w:pPr>
      <w:r>
        <w:rPr/>
      </w:r>
    </w:p>
    <w:p>
      <w:pPr>
        <w:pStyle w:val="Heading3"/>
        <w:rPr/>
      </w:pPr>
      <w:r>
        <w:rPr/>
        <w:t>A.5.1 ANSUR 1988 — EUA, militares (Gordon et al., 1989)</w:t>
      </w:r>
    </w:p>
    <w:p>
      <w:pPr>
        <w:pStyle w:val="Normal"/>
        <w:rPr>
          <w:b/>
        </w:rPr>
      </w:pPr>
      <w:r>
        <w:rPr>
          <w:b/>
        </w:rPr>
      </w:r>
    </w:p>
    <w:p>
      <w:pPr>
        <w:pStyle w:val="Normal"/>
        <w:rPr/>
      </w:pPr>
      <w:r>
        <w:rPr>
          <w:b/>
        </w:rPr>
        <w:t>Fonte:</w:t>
      </w:r>
      <w:r>
        <w:rPr/>
        <w:t xml:space="preserve"> Tabelas de dados detalhados do relatório técnico do U.S. Army Natick Research Center (março de 1989), 47 dimensões corporais, separadas por sexo (n=2.208 mulheres, n=6.682 homens). As dimensões da mão e do membro superior foram codificadas na íntegra: comprimento da mão, largura da mão, comprimentos dos dedos, circunferência do pulso, comprimento do antebraço, entre outras.</w:t>
      </w:r>
    </w:p>
    <w:p>
      <w:pPr>
        <w:pStyle w:val="Normal"/>
        <w:rPr/>
      </w:pPr>
      <w:r>
        <w:rPr>
          <w:b/>
        </w:rPr>
        <w:t>Decisão:</w:t>
      </w:r>
      <w:r>
        <w:rPr/>
        <w:t xml:space="preserve"> Incluição total. A dimensão amostral, a abrangência estatística (11 indicadores por dimensão) e a origem militar controlada tornam-no a âncora de referência da base de dados.</w:t>
      </w:r>
    </w:p>
    <w:p>
      <w:pPr>
        <w:pStyle w:val="Normal"/>
        <w:rPr/>
      </w:pPr>
      <w:r>
        <w:rPr>
          <w:b/>
        </w:rPr>
        <w:t>Notas:</w:t>
      </w:r>
      <w:r>
        <w:rPr/>
        <w:t xml:space="preserve"> Sete valores no relatório original apresentavam inconsistências tipográficas (e.g., percentil aparentemente invertido ou unidade suspeita); todos foram corrigidos com anotação inline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A.5.2 Turquia — jovens adultos (Chatzioglou et al., 2024)</w:t>
      </w:r>
    </w:p>
    <w:p>
      <w:pPr>
        <w:pStyle w:val="Normal"/>
        <w:rPr>
          <w:b/>
        </w:rPr>
      </w:pPr>
      <w:r>
        <w:rPr>
          <w:b/>
        </w:rPr>
      </w:r>
    </w:p>
    <w:p>
      <w:pPr>
        <w:pStyle w:val="Normal"/>
        <w:rPr/>
      </w:pPr>
      <w:r>
        <w:rPr>
          <w:b/>
        </w:rPr>
        <w:t>Fonte:</w:t>
      </w:r>
      <w:r>
        <w:rPr/>
        <w:t xml:space="preserve"> </w:t>
      </w:r>
      <w:r>
        <w:rPr>
          <w:i/>
        </w:rPr>
        <w:t>Anatomy &amp; Cell Biology</w:t>
      </w:r>
      <w:r>
        <w:rPr/>
        <w:t>, 57:172–182. n=51 (32F, 19M), idade 18–30, Izmir e Istanbul. Método foto-antropométrico com ImageJ (pixel → mm via fator de calibração 0,08618 ×). Comprimentos dos cinco dedos da mão direita, por sexo e amostra total, Tabela 1.</w:t>
      </w:r>
    </w:p>
    <w:p>
      <w:pPr>
        <w:pStyle w:val="Normal"/>
        <w:rPr/>
      </w:pPr>
      <w:r>
        <w:rPr>
          <w:b/>
        </w:rPr>
        <w:t>Decisão:</w:t>
      </w:r>
      <w:r>
        <w:rPr/>
        <w:t xml:space="preserve"> Incluição. Primeiro estudo de foto-antropometria da mão na base de dados; o método é documentado de forma rigorosa e o artigo é publicado em revista indexada com revisão por pares. Os valores mínimo e máximo (mas não percentis) são reportados; foram codificados como </w:t>
      </w:r>
      <w:r>
        <w:rPr>
          <w:rFonts w:ascii="Consolas" w:hAnsi="Consolas"/>
          <w:sz w:val="20"/>
        </w:rPr>
        <w:t>stat</w:t>
      </w:r>
      <w:r>
        <w:rPr>
          <w:i/>
        </w:rPr>
        <w:t>type = min</w:t>
      </w:r>
      <w:r>
        <w:rPr>
          <w:rFonts w:ascii="Consolas" w:hAnsi="Consolas"/>
          <w:sz w:val="20"/>
        </w:rPr>
        <w:t xml:space="preserve"> e </w:t>
      </w:r>
      <w:r>
        <w:rPr/>
        <w:t>max</w:t>
      </w:r>
      <w:r>
        <w:rPr>
          <w:rFonts w:ascii="Consolas" w:hAnsi="Consolas"/>
          <w:sz w:val="20"/>
        </w:rPr>
        <w:t>.</w:t>
      </w:r>
    </w:p>
    <w:p>
      <w:pPr>
        <w:pStyle w:val="Heading3"/>
        <w:rPr/>
      </w:pPr>
      <w:r>
        <w:rPr/>
      </w:r>
    </w:p>
    <w:p>
      <w:pPr>
        <w:pStyle w:val="Heading3"/>
        <w:rPr/>
      </w:pPr>
      <w:r>
        <w:rPr/>
        <w:t>A.5.3 México — população geral (Rodríguez-Vega &amp; Rodríguez-Vega, 2024)</w:t>
      </w:r>
    </w:p>
    <w:p>
      <w:pPr>
        <w:pStyle w:val="Normal"/>
        <w:rPr>
          <w:b/>
        </w:rPr>
      </w:pPr>
      <w:r>
        <w:rPr>
          <w:b/>
        </w:rPr>
      </w:r>
    </w:p>
    <w:p>
      <w:pPr>
        <w:pStyle w:val="Normal"/>
        <w:rPr/>
      </w:pPr>
      <w:r>
        <w:rPr>
          <w:b/>
        </w:rPr>
        <w:t>Fonte:</w:t>
      </w:r>
      <w:r>
        <w:rPr/>
        <w:t xml:space="preserve"> </w:t>
      </w:r>
      <w:r>
        <w:rPr>
          <w:i/>
        </w:rPr>
        <w:t>European Public &amp; Social Innovation Review</w:t>
      </w:r>
      <w:r>
        <w:rPr/>
        <w:t>, 9:1–15. n=2.837 (2.275M, 562F), Noroeste do México, idade 15–59. Quatro dimensões: comprimento da mão (HL), comprimento da palma (PL), largura da mão (HB) e diâmetro de preensão (HGD). Tabela 3 (amostra geral) e Tabela 4 (oito grupos etários: 15–19, 20–24, …, 50–54).</w:t>
      </w:r>
    </w:p>
    <w:p>
      <w:pPr>
        <w:pStyle w:val="Normal"/>
        <w:rPr/>
      </w:pPr>
      <w:r>
        <w:rPr>
          <w:b/>
        </w:rPr>
        <w:t>Decisão:</w:t>
      </w:r>
      <w:r>
        <w:rPr/>
        <w:t xml:space="preserve"> Incluição, com marcação de qualidade nos subgrupos de pequena dimensão. A desagregação por grupo etário é única na base de dados e de grande valor para modelação por faixa etária. Foram detetados dois casos problemáticos na Tabela 4: o subgrupo feminino 50–54 tem n=3 (SD=0,00 reportado para HB, provavelmente artefacto de arredondamento); o subgrupo feminino 45–49 tem n=10. Ambos foram incluídos mas marcados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A.5.4 Índia — mulheres trabalhadoras (Nag et al., 2003)</w:t>
      </w:r>
    </w:p>
    <w:p>
      <w:pPr>
        <w:pStyle w:val="Normal"/>
        <w:rPr>
          <w:b/>
        </w:rPr>
      </w:pPr>
      <w:r>
        <w:rPr>
          <w:b/>
        </w:rPr>
      </w:r>
    </w:p>
    <w:p>
      <w:pPr>
        <w:pStyle w:val="Normal"/>
        <w:rPr/>
      </w:pPr>
      <w:r>
        <w:rPr>
          <w:b/>
        </w:rPr>
        <w:t>Fonte:</w:t>
      </w:r>
      <w:r>
        <w:rPr/>
        <w:t xml:space="preserve"> </w:t>
      </w:r>
      <w:r>
        <w:rPr>
          <w:i/>
        </w:rPr>
        <w:t>Indian Journal of Medical Research</w:t>
      </w:r>
      <w:r>
        <w:rPr/>
        <w:t>, 117:260–269. n=95 mulheres, trabalhadores informais (indústria de bidis, agarbattis e vestuário), Ahmedabad. 51 dimensões da mão direita em cinco tabelas (comprimentos, larguras, circunferências, profundidades, extensões e folgas), com P5, P50 e P95 reportados.</w:t>
      </w:r>
    </w:p>
    <w:p>
      <w:pPr>
        <w:pStyle w:val="Normal"/>
        <w:rPr/>
      </w:pPr>
      <w:r>
        <w:rPr>
          <w:b/>
        </w:rPr>
        <w:t>Decisão:</w:t>
      </w:r>
      <w:r>
        <w:rPr/>
        <w:t xml:space="preserve"> Incluição total. É o estudo com maior granularidade de dimensões da mão na base de dados, e o único com dados de profundidade e circunferência por articulação. A restrição a mulheres e a uma população laboral informal específica é documentada na coluna </w:t>
      </w:r>
      <w:r>
        <w:rPr>
          <w:rFonts w:ascii="Consolas" w:hAnsi="Consolas"/>
          <w:sz w:val="20"/>
        </w:rPr>
        <w:t>population</w:t>
      </w:r>
      <w:r>
        <w:rPr/>
        <w:t>.</w:t>
      </w:r>
    </w:p>
    <w:p>
      <w:pPr>
        <w:pStyle w:val="Heading3"/>
        <w:rPr/>
      </w:pPr>
      <w:r>
        <w:rPr/>
      </w:r>
    </w:p>
    <w:p>
      <w:pPr>
        <w:pStyle w:val="Heading3"/>
        <w:rPr/>
      </w:pPr>
      <w:r>
        <w:rPr/>
        <w:t>A.5.5 Portugal — trabalhadores industriais (Anacleto Filho et al., 2023)</w:t>
      </w:r>
    </w:p>
    <w:p>
      <w:pPr>
        <w:pStyle w:val="Normal"/>
        <w:rPr>
          <w:b/>
        </w:rPr>
      </w:pPr>
      <w:r>
        <w:rPr>
          <w:b/>
        </w:rPr>
      </w:r>
    </w:p>
    <w:p>
      <w:pPr>
        <w:pStyle w:val="Normal"/>
        <w:rPr/>
      </w:pPr>
      <w:r>
        <w:rPr>
          <w:b/>
        </w:rPr>
        <w:t>Fonte:</w:t>
      </w:r>
      <w:r>
        <w:rPr/>
        <w:t xml:space="preserve"> </w:t>
      </w:r>
      <w:r>
        <w:rPr>
          <w:i/>
        </w:rPr>
        <w:t>International Journal of Industrial Ergonomics</w:t>
      </w:r>
      <w:r>
        <w:rPr/>
        <w:t>, 97:103473. n=343 (169M, 174F),</w:t>
      </w:r>
    </w:p>
    <w:p>
      <w:pPr>
        <w:pStyle w:val="Normal"/>
        <w:rPr/>
      </w:pPr>
      <w:r>
        <w:rPr/>
        <w:t>trabalhadores industriais do Norte de Portugal, 2021. De um conjunto de 27 dimensões corporais, apenas duas são da mão: comprimento da mão e largura da mão (metacarpal II–V). Tabela 3, P5, P50, P95 por sexo.</w:t>
      </w:r>
    </w:p>
    <w:p>
      <w:pPr>
        <w:pStyle w:val="Normal"/>
        <w:rPr/>
      </w:pPr>
      <w:r>
        <w:rPr>
          <w:b/>
        </w:rPr>
        <w:t>Decisão:</w:t>
      </w:r>
      <w:r>
        <w:rPr/>
        <w:t xml:space="preserve"> Incluição. Embora apenas duas dimensões da mão sejam disponibilizadas, trata-se da única fonte de dados antropométricos da mão para população portuguesa adulta identificada na literatura, o que a torna indispensável para a contextualização nacional desta tese.</w:t>
      </w:r>
    </w:p>
    <w:p>
      <w:pPr>
        <w:pStyle w:val="Normal"/>
        <w:rPr/>
      </w:pPr>
      <w:r>
        <w:rPr>
          <w:b/>
        </w:rPr>
        <w:t>Nota metodológica:</w:t>
      </w:r>
      <w:r>
        <w:rPr/>
        <w:t xml:space="preserve"> O estudo mediu o lado esquerdo por limitação de instalações; este facto é registado em </w:t>
      </w:r>
      <w:r>
        <w:rPr>
          <w:rFonts w:ascii="Consolas" w:hAnsi="Consolas"/>
          <w:sz w:val="20"/>
        </w:rPr>
        <w:t>measurement</w:t>
      </w:r>
      <w:r>
        <w:rPr>
          <w:i/>
        </w:rPr>
        <w:t>method</w:t>
      </w:r>
      <w:r>
        <w:rPr/>
        <w:t>note</w:t>
      </w:r>
      <w:r>
        <w:rPr>
          <w:rFonts w:ascii="Consolas" w:hAnsi="Consolas"/>
          <w:sz w:val="20"/>
        </w:rPr>
        <w:t>.</w:t>
      </w:r>
    </w:p>
    <w:p>
      <w:pPr>
        <w:pStyle w:val="Heading3"/>
        <w:rPr/>
      </w:pPr>
      <w:r>
        <w:rPr/>
      </w:r>
    </w:p>
    <w:p>
      <w:pPr>
        <w:pStyle w:val="Heading3"/>
        <w:rPr/>
      </w:pPr>
      <w:r>
        <w:rPr/>
        <w:t>A.5.6 Nigéria — atletas universitários (Ibiwari et al., 2025)</w:t>
      </w:r>
    </w:p>
    <w:p>
      <w:pPr>
        <w:pStyle w:val="Normal"/>
        <w:rPr>
          <w:b/>
        </w:rPr>
      </w:pPr>
      <w:r>
        <w:rPr>
          <w:b/>
        </w:rPr>
      </w:r>
    </w:p>
    <w:p>
      <w:pPr>
        <w:pStyle w:val="Normal"/>
        <w:rPr/>
      </w:pPr>
      <w:r>
        <w:rPr>
          <w:b/>
        </w:rPr>
        <w:t>Fonte:</w:t>
      </w:r>
      <w:r>
        <w:rPr/>
        <w:t xml:space="preserve"> </w:t>
      </w:r>
      <w:r>
        <w:rPr>
          <w:i/>
        </w:rPr>
        <w:t>International Journal of Science Academic Research</w:t>
      </w:r>
      <w:r>
        <w:rPr/>
        <w:t>, 6(8):10513–10517. n=80: basquetebol (n=41: 21M, 20F) e voleibol (n=39: 20M, 19F), Universidade de Port Harcourt, idade 19–30. Quatro dimensões da mão direita por desporto e sexo: comprimento da mão, largura da mão, comprimento palmar e comprimento do 3.º dígito. Tabelas 3 e 4.</w:t>
      </w:r>
    </w:p>
    <w:p>
      <w:pPr>
        <w:pStyle w:val="Normal"/>
        <w:rPr/>
      </w:pPr>
      <w:r>
        <w:rPr>
          <w:b/>
        </w:rPr>
        <w:t>Decisão:</w:t>
      </w:r>
      <w:r>
        <w:rPr/>
        <w:t xml:space="preserve"> Incluição com marcação de subgrupo desportivo. Dois subgrupos apresentam desvio-padrão atipicamente elevado (e.g., comprimento da mão no voleibol masculino: SD=37,49 mm), sugerindo a presença de outliers na amostra original. Estes casos foram marcados com nota de qualidade; os valores não foram excluídos porque provêm de tabelas publicadas e revistas.</w:t>
      </w:r>
    </w:p>
    <w:p>
      <w:pPr>
        <w:pStyle w:val="Normal"/>
        <w:rPr/>
      </w:pPr>
      <w:r>
        <w:rPr>
          <w:b/>
        </w:rPr>
        <w:t>Nota:</w:t>
      </w:r>
      <w:r>
        <w:rPr/>
        <w:t xml:space="preserve"> A população de atletas não é representativa da população geral; os valores refletem uma seleção fisicamente ativa e potencialmente com mãos de dimensões superiores à média.</w:t>
      </w:r>
    </w:p>
    <w:p>
      <w:pPr>
        <w:pStyle w:val="Heading3"/>
        <w:rPr/>
      </w:pPr>
      <w:r>
        <w:rPr/>
      </w:r>
    </w:p>
    <w:p>
      <w:pPr>
        <w:pStyle w:val="Heading3"/>
        <w:rPr/>
      </w:pPr>
      <w:r>
        <w:rPr/>
        <w:t>A.5.7 Jordânia — trabalhadores com deficiência (Mistarihi, 2020)</w:t>
      </w:r>
    </w:p>
    <w:p>
      <w:pPr>
        <w:pStyle w:val="Normal"/>
        <w:rPr>
          <w:b/>
        </w:rPr>
      </w:pPr>
      <w:r>
        <w:rPr>
          <w:b/>
        </w:rPr>
      </w:r>
    </w:p>
    <w:p>
      <w:pPr>
        <w:pStyle w:val="Normal"/>
        <w:rPr/>
      </w:pPr>
      <w:r>
        <w:rPr>
          <w:b/>
        </w:rPr>
        <w:t>Fonte:</w:t>
      </w:r>
      <w:r>
        <w:rPr/>
        <w:t xml:space="preserve"> </w:t>
      </w:r>
      <w:r>
        <w:rPr>
          <w:i/>
        </w:rPr>
        <w:t>Data in Brief</w:t>
      </w:r>
      <w:r>
        <w:rPr/>
        <w:t>, 30:105420. n=40 trabalhadores com deficiência física, governorate de Irbid, Jordânia, idade 20–40. Sexos combinados (sem desagregação por sexo em Tabela 4). Comprimento da mão (mm) e comprimento cotovelo-ponta dos dedos (cm) com P5 e P95 na Tabela 4; largura da mão (cm, média apenas) a partir da Figura 2.</w:t>
      </w:r>
    </w:p>
    <w:p>
      <w:pPr>
        <w:pStyle w:val="Normal"/>
        <w:rPr/>
      </w:pPr>
      <w:r>
        <w:rPr>
          <w:b/>
        </w:rPr>
        <w:t>Decisão:</w:t>
      </w:r>
      <w:r>
        <w:rPr/>
        <w:t xml:space="preserve"> Inclusão parcial. A dimensão amostral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pPr>
        <w:pStyle w:val="Heading3"/>
        <w:rPr/>
      </w:pPr>
      <w:r>
        <w:rPr/>
      </w:r>
    </w:p>
    <w:p>
      <w:pPr>
        <w:pStyle w:val="Heading3"/>
        <w:rPr/>
      </w:pPr>
      <w:r>
        <w:rPr/>
        <w:t>A.5.8 EUA — dedo indicador (Lim et al., 2018)</w:t>
      </w:r>
    </w:p>
    <w:p>
      <w:pPr>
        <w:pStyle w:val="Normal"/>
        <w:rPr>
          <w:b/>
        </w:rPr>
      </w:pPr>
      <w:r>
        <w:rPr>
          <w:b/>
        </w:rPr>
      </w:r>
    </w:p>
    <w:p>
      <w:pPr>
        <w:pStyle w:val="Normal"/>
        <w:rPr/>
      </w:pPr>
      <w:r>
        <w:rPr>
          <w:b/>
        </w:rPr>
        <w:t>Fonte:</w:t>
      </w:r>
      <w:r>
        <w:rPr/>
        <w:t xml:space="preserve"> Trabalho académico UC Berkeley. n=50 adultos, idade 18–30. Apenas duas dimensões do dedo indicador (D2): comprimento MCP-ponta (média=90,9 mm) e largura na articulação PIP (média=16,9 mm). Apenas médias reportadas, sem SD ou percentis.</w:t>
      </w:r>
    </w:p>
    <w:p>
      <w:pPr>
        <w:pStyle w:val="Normal"/>
        <w:rPr/>
      </w:pPr>
      <w:r>
        <w:rPr>
          <w:b/>
        </w:rPr>
        <w:t>Decisão:</w:t>
      </w:r>
      <w:r>
        <w:rPr/>
        <w:t xml:space="preserve"> Inclusão limitada. A ausência de desvio-padrão e percentis reduz significativamente a utilidade estatística. No entanto, o estudo foi incluído porque é especificamente orientado para a customização de próteses de dedo e fornece valores de referência para o design de um dedo índice protésico — diretamente relevantes para o objetivo desta tese. O coeficiente de determinação R²=0,18 entre comprimento e largura do dedo é marcado como indicador de correlação fraca.</w:t>
      </w:r>
    </w:p>
    <w:p>
      <w:pPr>
        <w:pStyle w:val="Heading3"/>
        <w:rPr/>
      </w:pPr>
      <w:r>
        <w:rPr/>
      </w:r>
    </w:p>
    <w:p>
      <w:pPr>
        <w:pStyle w:val="Heading3"/>
        <w:rPr/>
      </w:pPr>
      <w:r>
        <w:rPr/>
        <w:t>A.5.9 Estudo excluído: Moreo (2016)</w:t>
      </w:r>
    </w:p>
    <w:p>
      <w:pPr>
        <w:pStyle w:val="Normal"/>
        <w:rPr/>
      </w:pPr>
      <w:r>
        <w:rPr/>
      </w:r>
    </w:p>
    <w:p>
      <w:pPr>
        <w:pStyle w:val="Normal"/>
        <w:rPr/>
      </w:pPr>
      <w:r>
        <w:rPr/>
        <w:t xml:space="preserve">O trabalho de Moreo (2016), dissertação de mestrado sobre design paramétrico de prótese de mão para crianças, foi lido na íntegra (55 páginas). A Tabela 6.1 apresenta valores percentílicos de comprimento de dedo por grupo etário, mas estes valores são extraídos da base de dados DINED (TU Delft, n=965 crianças neerlandesas) — não constituindo uma recolha primária por parte da autora. Incluir estes valores equivaleria a duplicar uma fonte secundária sem rastreabilidade direta ao estudo DINED original. </w:t>
      </w:r>
      <w:r>
        <w:rPr>
          <w:b/>
        </w:rPr>
        <w:t>Decisão: excluído.</w:t>
      </w:r>
    </w:p>
    <w:p>
      <w:pPr>
        <w:pStyle w:val="Heading3"/>
        <w:rPr/>
      </w:pPr>
      <w:r>
        <w:rPr/>
      </w:r>
    </w:p>
    <w:p>
      <w:pPr>
        <w:pStyle w:val="Heading3"/>
        <w:rPr/>
      </w:pPr>
      <w:r>
        <w:rPr/>
        <w:t>A.5.10 EUA — militares ANSUR II (Gordon et al., 2015)</w:t>
      </w:r>
    </w:p>
    <w:p>
      <w:pPr>
        <w:pStyle w:val="Normal"/>
        <w:rPr>
          <w:b/>
        </w:rPr>
      </w:pPr>
      <w:r>
        <w:rPr>
          <w:b/>
        </w:rPr>
      </w:r>
    </w:p>
    <w:p>
      <w:pPr>
        <w:pStyle w:val="Normal"/>
        <w:rPr/>
      </w:pPr>
      <w:r>
        <w:rPr>
          <w:b/>
        </w:rPr>
        <w:t>Fonte:</w:t>
      </w:r>
      <w:r>
        <w:rPr/>
        <w:t xml:space="preserve"> Relatório técnico NATICK/TR-15/007, U.S. Army Natick Soldier Research, Development and Engineering Center. n=6.068 militares ativos (4.082M, 1.986F), idade 17–58, grande diversidade étnica. Os dados brutos individuais foram disponibilizados em acesso público em 2017 (licença CC BY 4.0). As estatísticas foram calculadas a partir dos CSVs individuais (não do relatório impresso), usando Python puro sem dependências externas, por forma a garantir reprodutibilidade exata.</w:t>
      </w:r>
    </w:p>
    <w:p>
      <w:pPr>
        <w:pStyle w:val="Normal"/>
        <w:rPr/>
      </w:pPr>
      <w:r>
        <w:rPr>
          <w:b/>
        </w:rPr>
        <w:t>Decisão:</w:t>
      </w:r>
      <w:r>
        <w:rPr/>
        <w:t xml:space="preserve">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comprimento da palma, circunferência do pulso, comprimento antebraço-ponta do dedo médio e comprimento antebraço-centro de preensão.</w:t>
      </w:r>
    </w:p>
    <w:p>
      <w:pPr>
        <w:pStyle w:val="Normal"/>
        <w:rPr/>
      </w:pPr>
      <w:r>
        <w:rPr>
          <w:b/>
        </w:rPr>
        <w:t>Nota:</w:t>
      </w:r>
      <w:r>
        <w:rPr/>
        <w:t xml:space="preserve"> A medição </w:t>
      </w:r>
      <w:r>
        <w:rPr>
          <w:rFonts w:ascii="Consolas" w:hAnsi="Consolas"/>
          <w:sz w:val="20"/>
        </w:rPr>
        <w:t>wristheight</w:t>
      </w:r>
      <w:r>
        <w:rPr/>
        <w:t xml:space="preserve"> foi excluída — corresponde à distância do chão ao pulso em posição de pé, uma dimensão postural e não uma medição da mão.</w:t>
      </w:r>
    </w:p>
    <w:p>
      <w:pPr>
        <w:pStyle w:val="Heading3"/>
        <w:rPr/>
      </w:pPr>
      <w:r>
        <w:rPr/>
      </w:r>
    </w:p>
    <w:p>
      <w:pPr>
        <w:pStyle w:val="Heading3"/>
        <w:rPr/>
      </w:pPr>
      <w:r>
        <w:rPr/>
        <w:t>A.5.11 Países Baixos — DINED (TU Delft, 1993–2004)</w:t>
      </w:r>
    </w:p>
    <w:p>
      <w:pPr>
        <w:pStyle w:val="Normal"/>
        <w:rPr>
          <w:b/>
        </w:rPr>
      </w:pPr>
      <w:r>
        <w:rPr>
          <w:b/>
        </w:rPr>
      </w:r>
    </w:p>
    <w:p>
      <w:pPr>
        <w:pStyle w:val="Normal"/>
        <w:rPr/>
      </w:pPr>
      <w:r>
        <w:rPr>
          <w:b/>
        </w:rPr>
        <w:t>Fonte:</w:t>
      </w:r>
      <w:r>
        <w:rPr/>
        <w:t xml:space="preserve"> Base de dados antropométrica do Delft Institute for Ergonomics and Design, acessível via conta institucional em dined.io.tudelft.nl. Três sub-datasets distintos, com dados de mão disponíveis:</w:t>
      </w:r>
    </w:p>
    <w:p>
      <w:pPr>
        <w:pStyle w:val="ListBullet"/>
        <w:rPr/>
      </w:pPr>
      <w:r>
        <w:rPr/>
        <w:t xml:space="preserve">- </w:t>
      </w:r>
      <w:r>
        <w:rPr>
          <w:b/>
        </w:rPr>
        <w:t>kima1993</w:t>
      </w:r>
      <w:r>
        <w:rPr/>
        <w:t>: crianças neerlandesas, idades 2–12 (grupos por ano), por sexo e combinado; 8 medições da mão por grupo etário.</w:t>
      </w:r>
    </w:p>
    <w:p>
      <w:pPr>
        <w:pStyle w:val="ListBullet"/>
        <w:rPr/>
      </w:pPr>
      <w:r>
        <w:rPr/>
        <w:t xml:space="preserve">- </w:t>
      </w:r>
      <w:r>
        <w:rPr>
          <w:b/>
        </w:rPr>
        <w:t>geron1998</w:t>
      </w:r>
      <w:r>
        <w:rPr/>
        <w:t>: idosos neerlandeses, idades 50–80+ (bandas de 5 anos), por sexo e combinado; 5 medições da mão.</w:t>
      </w:r>
    </w:p>
    <w:p>
      <w:pPr>
        <w:pStyle w:val="ListBullet"/>
        <w:rPr/>
      </w:pPr>
      <w:r>
        <w:rPr/>
        <w:t xml:space="preserve">- </w:t>
      </w:r>
      <w:r>
        <w:rPr>
          <w:b/>
        </w:rPr>
        <w:t>dined2004</w:t>
      </w:r>
      <w:r>
        <w:rPr/>
        <w:t>: adultos neerlandeses, grupos etários 20–30, 31–60, 60+, por sexo e combinado; 6–7 medições da mão.</w:t>
      </w:r>
    </w:p>
    <w:p>
      <w:pPr>
        <w:pStyle w:val="Normal"/>
        <w:rPr/>
      </w:pPr>
      <w:r>
        <w:rPr/>
        <w:t xml:space="preserve">Os dados foram extraídos a partir do HTML da interface web (padrões </w:t>
      </w:r>
      <w:r>
        <w:rPr>
          <w:rFonts w:ascii="Consolas" w:hAnsi="Consolas"/>
          <w:sz w:val="20"/>
        </w:rPr>
        <w:t>id="mean{col}</w:t>
      </w:r>
      <w:r>
        <w:rPr>
          <w:i/>
        </w:rPr>
        <w:t>{row}"</w:t>
      </w:r>
      <w:r>
        <w:rPr>
          <w:rFonts w:ascii="Consolas" w:hAnsi="Consolas"/>
          <w:sz w:val="20"/>
        </w:rPr>
        <w:t xml:space="preserve"> / </w:t>
      </w:r>
      <w:r>
        <w:rPr/>
        <w:t>id="sd{col}</w:t>
      </w:r>
      <w:r>
        <w:rPr>
          <w:i/>
        </w:rPr>
        <w:t>{row}"</w:t>
      </w:r>
      <w:r>
        <w:rPr>
          <w:rFonts w:ascii="Consolas" w:hAnsi="Consolas"/>
          <w:sz w:val="20"/>
        </w:rPr>
        <w:t>), mapeando índices de coluna para combinações (sub-dataset, sexo, grupo etário) e índices de linha para nomes de medição.</w:t>
      </w:r>
    </w:p>
    <w:p>
      <w:pPr>
        <w:pStyle w:val="Normal"/>
        <w:rPr/>
      </w:pPr>
      <w:r>
        <w:rPr>
          <w:b/>
        </w:rPr>
        <w:t>Decisão:</w:t>
      </w:r>
      <w:r>
        <w:rPr/>
        <w:t xml:space="preserve"> Inclusão total (três sub-datasets). Apenas média e desvio-padrão estão disponíveis; percentis não são fornecidos pela interface DINED. O grupo combinado 20–60 do dined2004 foi excluído por ser redundante relativamente aos grupos 20–30 e 31–60. Primeiro dataset pediátrico e o dataset de idosos mais granular da base de dados.</w:t>
      </w:r>
    </w:p>
    <w:p>
      <w:pPr>
        <w:pStyle w:val="Heading3"/>
        <w:rPr/>
      </w:pPr>
      <w:r>
        <w:rPr/>
      </w:r>
    </w:p>
    <w:p>
      <w:pPr>
        <w:pStyle w:val="Heading3"/>
        <w:rPr/>
      </w:pPr>
      <w:r>
        <w:rPr/>
        <w:t>A.5.12 China — idosos de Pequim (Hu et al., 2007)</w:t>
      </w:r>
    </w:p>
    <w:p>
      <w:pPr>
        <w:pStyle w:val="Normal"/>
        <w:rPr>
          <w:b/>
        </w:rPr>
      </w:pPr>
      <w:r>
        <w:rPr>
          <w:b/>
        </w:rPr>
      </w:r>
    </w:p>
    <w:p>
      <w:pPr>
        <w:pStyle w:val="Normal"/>
        <w:rPr/>
      </w:pPr>
      <w:r>
        <w:rPr>
          <w:b/>
        </w:rPr>
        <w:t>Fonte:</w:t>
      </w:r>
      <w:r>
        <w:rPr/>
        <w:t xml:space="preserve"> </w:t>
      </w:r>
      <w:r>
        <w:rPr>
          <w:i/>
        </w:rPr>
        <w:t>International Journal of Industrial Ergonomics</w:t>
      </w:r>
      <w:r>
        <w:rPr/>
        <w:t>, 37(4):303–311. 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pPr>
        <w:pStyle w:val="Normal"/>
        <w:rPr>
          <w:b/>
        </w:rPr>
      </w:pPr>
      <w:r>
        <w:rPr>
          <w:b/>
        </w:rPr>
      </w:r>
    </w:p>
    <w:p>
      <w:pPr>
        <w:pStyle w:val="Normal"/>
        <w:rPr/>
      </w:pPr>
      <w:r>
        <w:rPr>
          <w:b/>
        </w:rPr>
        <w:t>Decisão:</w:t>
      </w:r>
      <w:r>
        <w:rPr/>
        <w:t xml:space="preserve"> Inclusão parcial (cinco medições de mão/antebraço: largura da mão no metacarpal, largura máxima da mão, comprimento da mão, comprimento do dedo, comprimento antebraço-ponta dos dedos). P5, P50 e P95 codificados a partir da Tabela 2. A medição "Finger length" usa a designação do padrão GB/T 5703 sem especificar o dígito; assume-se o dedo médio, documentado em </w:t>
      </w:r>
      <w:r>
        <w:rPr>
          <w:rFonts w:ascii="Consolas" w:hAnsi="Consolas"/>
          <w:sz w:val="20"/>
        </w:rPr>
        <w:t>data</w:t>
      </w:r>
      <w:r>
        <w:rPr>
          <w:i/>
        </w:rPr>
        <w:t>quality</w:t>
      </w:r>
      <w:r>
        <w:rPr/>
        <w:t>note</w:t>
      </w:r>
      <w:r>
        <w:rPr>
          <w:rFonts w:ascii="Consolas" w:hAnsi="Consolas"/>
          <w:sz w:val="20"/>
        </w:rPr>
        <w:t>.</w:t>
      </w:r>
    </w:p>
    <w:p>
      <w:pPr>
        <w:pStyle w:val="Normal"/>
        <w:rPr>
          <w:b/>
        </w:rPr>
      </w:pPr>
      <w:r>
        <w:rPr>
          <w:b/>
        </w:rPr>
      </w:r>
    </w:p>
    <w:p>
      <w:pPr>
        <w:pStyle w:val="Normal"/>
        <w:rPr/>
      </w:pPr>
      <w:r>
        <w:rPr>
          <w:b/>
        </w:rPr>
        <w:t>Nota de cobertura:</w:t>
      </w:r>
      <w:r>
        <w:rPr/>
        <w:t xml:space="preserve"> Primeira fonte de dados de idosos chineses e, simultaneamente, a única fonte da Ásia Oriental na base de dados (após a verificação de que uma referência alternativa inicialmente identificada não era verificável).</w:t>
      </w:r>
    </w:p>
    <w:p>
      <w:pPr>
        <w:pStyle w:val="Heading3"/>
        <w:rPr/>
      </w:pPr>
      <w:r>
        <w:rPr/>
      </w:r>
    </w:p>
    <w:p>
      <w:pPr>
        <w:pStyle w:val="Heading3"/>
        <w:rPr/>
      </w:pPr>
      <w:r>
        <w:rPr/>
        <w:t>A.5.13 Estudo excluído: reconstrução corporal 3D a partir de fotografias ortogonais</w:t>
      </w:r>
    </w:p>
    <w:p>
      <w:pPr>
        <w:pStyle w:val="Normal"/>
        <w:rPr>
          <w:b/>
        </w:rPr>
      </w:pPr>
      <w:r>
        <w:rPr>
          <w:b/>
        </w:rPr>
      </w:r>
    </w:p>
    <w:p>
      <w:pPr>
        <w:pStyle w:val="Normal"/>
        <w:rPr/>
      </w:pPr>
      <w:r>
        <w:rPr>
          <w:b/>
        </w:rPr>
        <w:t>Fonte:</w:t>
      </w:r>
      <w:r>
        <w:rPr/>
        <w:t xml:space="preserve"> artigo metodológico sobre reconstrução de modelos corporais 3D a partir de fotografias ortogonais, publicado no </w:t>
      </w:r>
      <w:r>
        <w:rPr>
          <w:i/>
        </w:rPr>
        <w:t>International Journal of Industrial Ergonomics</w:t>
      </w:r>
      <w:r>
        <w:rPr/>
        <w:t>, usando deformação de forma livre (FFD).</w:t>
      </w:r>
    </w:p>
    <w:p>
      <w:pPr>
        <w:pStyle w:val="Normal"/>
        <w:rPr>
          <w:b/>
        </w:rPr>
      </w:pPr>
      <w:r>
        <w:rPr>
          <w:b/>
        </w:rPr>
      </w:r>
    </w:p>
    <w:p>
      <w:pPr>
        <w:pStyle w:val="Normal"/>
        <w:rPr/>
      </w:pPr>
      <w:r>
        <w:rPr>
          <w:b/>
        </w:rPr>
        <w:t>Decisão: excluído.</w:t>
      </w:r>
      <w:r>
        <w:rPr/>
        <w:t xml:space="preserve">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pPr>
        <w:pStyle w:val="Heading3"/>
        <w:rPr/>
      </w:pPr>
      <w:r>
        <w:rPr/>
      </w:r>
    </w:p>
    <w:p>
      <w:pPr>
        <w:pStyle w:val="Heading3"/>
        <w:rPr/>
      </w:pPr>
      <w:r>
        <w:rPr/>
        <w:t>A.6 Estrutura do CSV e Schema</w:t>
      </w:r>
    </w:p>
    <w:p>
      <w:pPr>
        <w:pStyle w:val="Heading3"/>
        <w:rPr/>
      </w:pPr>
      <w:r>
        <w:rPr/>
      </w:r>
    </w:p>
    <w:p>
      <w:pPr>
        <w:pStyle w:val="Heading3"/>
        <w:rPr/>
      </w:pPr>
      <w:r>
        <w:rPr/>
        <w:t>A.6.1 Campos</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Campo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Tipo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document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Título abreviado do artigo ou relatório fonte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page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Página da tabela de origem no documento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citation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Citação completa em estilo APA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name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Nome da dimensão, incluindo especificações de método quando relevante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body</w:t>
            </w:r>
            <w:r>
              <w:rPr>
                <w:i/>
              </w:rPr>
              <w:t>region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Região corporal (</w:t>
            </w:r>
            <w:r>
              <w:rPr>
                <w:rFonts w:ascii="Consolas" w:hAnsi="Consolas"/>
                <w:sz w:val="20"/>
              </w:rPr>
              <w:t>hand</w:t>
            </w:r>
            <w:r>
              <w:rPr/>
              <w:t xml:space="preserve">, </w:t>
            </w:r>
            <w:r>
              <w:rPr>
                <w:rFonts w:ascii="Consolas" w:hAnsi="Consolas"/>
                <w:sz w:val="20"/>
              </w:rPr>
              <w:t>forearm</w:t>
            </w:r>
            <w:r>
              <w:rPr/>
              <w:t xml:space="preserve">, </w:t>
            </w:r>
            <w:r>
              <w:rPr>
                <w:rFonts w:ascii="Consolas" w:hAnsi="Consolas"/>
                <w:sz w:val="20"/>
              </w:rPr>
              <w:t>upper</w:t>
            </w:r>
            <w:r>
              <w:rPr>
                <w:i/>
              </w:rPr>
              <w:t>arm</w:t>
            </w:r>
            <w:r>
              <w:rPr>
                <w:rFonts w:ascii="Consolas" w:hAnsi="Consolas"/>
                <w:sz w:val="20"/>
              </w:rPr>
              <w:t xml:space="preserve">, </w:t>
            </w:r>
            <w:r>
              <w:rPr/>
              <w:t>lower</w:t>
            </w:r>
            <w:r>
              <w:rPr>
                <w:i/>
              </w:rPr>
              <w:t>limb</w:t>
            </w:r>
            <w:r>
              <w:rPr>
                <w:rFonts w:ascii="Consolas" w:hAnsi="Consolas"/>
                <w:sz w:val="20"/>
              </w:rPr>
              <w:t xml:space="preserve">, </w:t>
            </w:r>
            <w:r>
              <w:rPr/>
              <w:t>torso</w:t>
            </w:r>
            <w:r>
              <w:rPr>
                <w:rFonts w:ascii="Consolas" w:hAnsi="Consolas"/>
                <w:sz w:val="20"/>
              </w:rPr>
              <w:t xml:space="preserve">, </w:t>
            </w:r>
            <w:r>
              <w:rPr/>
              <w:t>head</w:t>
            </w:r>
            <w:r>
              <w:rPr>
                <w:rFonts w:ascii="Consolas" w:hAnsi="Consolas"/>
                <w:sz w:val="20"/>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method</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Instrumento, mão medida, posição e protocolo de medição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population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 da população (e.g., "Young adults (age 18-30)")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country</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 de recolha dos dados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sex</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male</w:t>
            </w:r>
            <w:r>
              <w:rPr/>
              <w:t xml:space="preserve">, </w:t>
            </w:r>
            <w:r>
              <w:rPr>
                <w:rFonts w:ascii="Consolas" w:hAnsi="Consolas"/>
                <w:sz w:val="20"/>
              </w:rPr>
              <w:t>female</w:t>
            </w:r>
            <w:r>
              <w:rPr/>
              <w:t xml:space="preserve"> ou </w:t>
            </w:r>
            <w:r>
              <w:rPr>
                <w:rFonts w:ascii="Consolas" w:hAnsi="Consolas"/>
                <w:sz w:val="20"/>
              </w:rPr>
              <w:t>combined</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age</w:t>
            </w:r>
            <w:r>
              <w:rPr>
                <w:i/>
              </w:rPr>
              <w:t>group</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Intervalo etário da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sample</w:t>
            </w:r>
            <w:r>
              <w:rPr>
                <w:i/>
              </w:rPr>
              <w:t>size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Número de participantes na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stat</w:t>
            </w:r>
            <w:r>
              <w:rPr>
                <w:i/>
              </w:rPr>
              <w:t>type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 xml:space="preserve">Tipo de estatística: </w:t>
            </w:r>
            <w:r>
              <w:rPr>
                <w:rFonts w:ascii="Consolas" w:hAnsi="Consolas"/>
                <w:sz w:val="20"/>
              </w:rPr>
              <w:t>mean</w:t>
            </w:r>
            <w:r>
              <w:rPr/>
              <w:t xml:space="preserve">, </w:t>
            </w:r>
            <w:r>
              <w:rPr>
                <w:rFonts w:ascii="Consolas" w:hAnsi="Consolas"/>
                <w:sz w:val="20"/>
              </w:rPr>
              <w:t>std</w:t>
            </w:r>
            <w:r>
              <w:rPr>
                <w:i/>
              </w:rPr>
              <w:t>dev</w:t>
            </w:r>
            <w:r>
              <w:rPr>
                <w:rFonts w:ascii="Consolas" w:hAnsi="Consolas"/>
                <w:sz w:val="20"/>
              </w:rPr>
              <w:t xml:space="preserve">, </w:t>
            </w:r>
            <w:r>
              <w:rPr/>
              <w:t>percentile</w:t>
            </w:r>
            <w:r>
              <w:rPr>
                <w:rFonts w:ascii="Consolas" w:hAnsi="Consolas"/>
                <w:sz w:val="20"/>
              </w:rPr>
              <w:t xml:space="preserve">, </w:t>
            </w:r>
            <w:r>
              <w:rPr/>
              <w:t>min</w:t>
            </w:r>
            <w:r>
              <w:rPr>
                <w:rFonts w:ascii="Consolas" w:hAnsi="Consolas"/>
                <w:sz w:val="20"/>
              </w:rPr>
              <w:t xml:space="preserve">, </w:t>
            </w:r>
            <w:r>
              <w:rPr/>
              <w:t>max</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percentile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do percentil (5, 10, 25, 50, 75, 90, 95) — vazio se não aplicável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cm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centímetros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mm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milímetros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in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polegadas (calculado automaticamente)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data</w:t>
            </w:r>
            <w:r>
              <w:rPr>
                <w:i/>
              </w:rPr>
              <w:t>quality</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Notas sobre limitações, artefactos ou incertezas do valor</w:t>
            </w:r>
          </w:p>
        </w:tc>
      </w:tr>
    </w:tbl>
    <w:p>
      <w:pPr>
        <w:pStyle w:val="Heading3"/>
        <w:rPr/>
      </w:pPr>
      <w:r>
        <w:rPr/>
      </w:r>
    </w:p>
    <w:p>
      <w:pPr>
        <w:pStyle w:val="Heading3"/>
        <w:rPr/>
      </w:pPr>
      <w:r>
        <w:rPr/>
        <w:t>A.6.2 Formato longo (</w:t>
      </w:r>
      <w:r>
        <w:rPr>
          <w:i/>
        </w:rPr>
        <w:t>long format</w:t>
      </w:r>
      <w:r>
        <w:rPr/>
        <w:t>)</w:t>
      </w:r>
    </w:p>
    <w:p>
      <w:pPr>
        <w:pStyle w:val="Normal"/>
        <w:rPr/>
      </w:pPr>
      <w:r>
        <w:rPr/>
        <w:t xml:space="preserve">A opção pelo formato longo — uma linha por estatística, e não uma linha por dimensão com colunas </w:t>
      </w:r>
      <w:r>
        <w:rPr>
          <w:rFonts w:ascii="Consolas" w:hAnsi="Consolas"/>
          <w:sz w:val="20"/>
        </w:rPr>
        <w:t>mean</w:t>
      </w:r>
      <w:r>
        <w:rPr/>
        <w:t xml:space="preserve">, </w:t>
      </w:r>
      <w:r>
        <w:rPr>
          <w:rFonts w:ascii="Consolas" w:hAnsi="Consolas"/>
          <w:sz w:val="20"/>
        </w:rPr>
        <w:t>sd</w:t>
      </w:r>
      <w:r>
        <w:rPr/>
        <w:t xml:space="preserve">, </w:t>
      </w:r>
      <w:r>
        <w:rPr>
          <w:rFonts w:ascii="Consolas" w:hAnsi="Consolas"/>
          <w:sz w:val="20"/>
        </w:rPr>
        <w:t>p5</w:t>
      </w:r>
      <w:r>
        <w:rPr/>
        <w:t>, etc. — permite:</w:t>
      </w:r>
    </w:p>
    <w:p>
      <w:pPr>
        <w:pStyle w:val="ListBullet"/>
        <w:rPr/>
      </w:pPr>
      <w:r>
        <w:rPr/>
        <w:t>- Filtrar facilmente por tipo de estatística sem tratamento especial de colunas opcionais</w:t>
      </w:r>
    </w:p>
    <w:p>
      <w:pPr>
        <w:pStyle w:val="ListBullet"/>
        <w:rPr/>
      </w:pPr>
      <w:r>
        <w:rPr/>
        <w:t>- Incluir estudos que reportam apenas subconjuntos de estatísticas (e.g., apenas média, sem percentis) sem introduzir células vazias em colunas estruturais</w:t>
      </w:r>
    </w:p>
    <w:p>
      <w:pPr>
        <w:pStyle w:val="ListBullet"/>
        <w:rPr/>
      </w:pPr>
      <w:r>
        <w:rPr/>
        <w:t>- Acrescentar novos tipos de estatística (e.g., intervalo de confiança) sem alterar o schema</w:t>
      </w:r>
    </w:p>
    <w:p>
      <w:pPr>
        <w:pStyle w:val="Normal"/>
        <w:rPr/>
      </w:pPr>
      <w:r>
        <w:rPr/>
        <w:t>O custo é a repetição dos campos de identificação (país, sexo, dimensão) em cada linha — aceitável dado o volume total de dados (&lt; 5 MB).</w:t>
      </w:r>
    </w:p>
    <w:p>
      <w:pPr>
        <w:pStyle w:val="Heading3"/>
        <w:rPr/>
      </w:pPr>
      <w:r>
        <w:rPr/>
      </w:r>
    </w:p>
    <w:p>
      <w:pPr>
        <w:pStyle w:val="Heading3"/>
        <w:rPr/>
      </w:pPr>
      <w:r>
        <w:rPr/>
        <w:t>A.7 Controlo de Qualidade dos Dados</w:t>
      </w:r>
    </w:p>
    <w:p>
      <w:pPr>
        <w:pStyle w:val="Heading3"/>
        <w:rPr/>
      </w:pPr>
      <w:r>
        <w:rPr/>
      </w:r>
    </w:p>
    <w:p>
      <w:pPr>
        <w:pStyle w:val="Heading3"/>
        <w:rPr/>
      </w:pPr>
      <w:r>
        <w:rPr/>
        <w:t>A.7.1 Marcação inline de limitações</w:t>
      </w:r>
    </w:p>
    <w:p>
      <w:pPr>
        <w:pStyle w:val="Normal"/>
        <w:rPr/>
      </w:pPr>
      <w:r>
        <w:rPr/>
      </w:r>
    </w:p>
    <w:p>
      <w:pPr>
        <w:pStyle w:val="Normal"/>
        <w:rPr/>
      </w:pPr>
      <w:r>
        <w:rPr/>
        <w:t xml:space="preserve">O campo </w:t>
      </w:r>
      <w:r>
        <w:rPr>
          <w:rFonts w:ascii="Consolas" w:hAnsi="Consolas"/>
          <w:sz w:val="20"/>
        </w:rPr>
        <w:t>data</w:t>
      </w:r>
      <w:r>
        <w:rPr>
          <w:i/>
        </w:rPr>
        <w:t>quality</w:t>
      </w:r>
      <w:r>
        <w:rPr/>
        <w:t>note</w:t>
      </w:r>
      <w:r>
        <w:rPr>
          <w:rFonts w:ascii="Consolas" w:hAnsi="Consolas"/>
          <w:sz w:val="20"/>
        </w:rPr>
        <w:t xml:space="preserve"> é preenchido sempre que existe uma das seguintes situações:</w:t>
      </w:r>
    </w:p>
    <w:p>
      <w:pPr>
        <w:pStyle w:val="ListBullet"/>
        <w:rPr/>
      </w:pPr>
      <w:r>
        <w:rPr/>
        <w:t>- Valor extraído de uma figura (diagrama ou gráfico) em vez de uma tabela</w:t>
      </w:r>
    </w:p>
    <w:p>
      <w:pPr>
        <w:pStyle w:val="ListBullet"/>
        <w:rPr/>
      </w:pPr>
      <w:r>
        <w:rPr/>
        <w:t>- Subgrupo com n ≤ 10</w:t>
      </w:r>
    </w:p>
    <w:p>
      <w:pPr>
        <w:pStyle w:val="ListBullet"/>
        <w:rPr/>
      </w:pPr>
      <w:r>
        <w:rPr/>
        <w:t>- Desvio-padrão ausente ou atipicamente elevado</w:t>
      </w:r>
    </w:p>
    <w:p>
      <w:pPr>
        <w:pStyle w:val="ListBullet"/>
        <w:rPr/>
      </w:pPr>
      <w:r>
        <w:rPr/>
        <w:t>- Valor estimado a partir de estatísticas adjacentes por ilegibilidade da tabela</w:t>
      </w:r>
    </w:p>
    <w:p>
      <w:pPr>
        <w:pStyle w:val="ListBullet"/>
        <w:rPr/>
      </w:pPr>
      <w:r>
        <w:rPr/>
        <w:t>- Correlação fraca entre variáveis reportada pelo próprio estudo</w:t>
      </w:r>
    </w:p>
    <w:p>
      <w:pPr>
        <w:pStyle w:val="ListBullet"/>
        <w:rPr/>
      </w:pPr>
      <w:r>
        <w:rPr/>
        <w:t>- Inconsistência tipográfica no documento original, corrigida com nota</w:t>
      </w:r>
    </w:p>
    <w:p>
      <w:pPr>
        <w:pStyle w:val="Heading3"/>
        <w:rPr/>
      </w:pPr>
      <w:r>
        <w:rPr/>
      </w:r>
    </w:p>
    <w:p>
      <w:pPr>
        <w:pStyle w:val="Heading3"/>
        <w:rPr/>
      </w:pPr>
      <w:r>
        <w:rPr/>
        <w:t>A.7.2 Verificação de unidades</w:t>
      </w:r>
    </w:p>
    <w:p>
      <w:pPr>
        <w:pStyle w:val="Normal"/>
        <w:rPr/>
      </w:pPr>
      <w:r>
        <w:rPr/>
      </w:r>
    </w:p>
    <w:p>
      <w:pPr>
        <w:pStyle w:val="Normal"/>
        <w:rPr/>
      </w:pPr>
      <w:r>
        <w:rPr/>
        <w:t>Todos os valores foram verificados pela coerência de ordem de grandeza. Por exemplo, um comprimento de mão adulta reportado em cm deve situar-se entre 15 e 22 cm; qualquer valor fora deste intervalo foi relido no artigo original antes de ser codificado.</w:t>
      </w:r>
    </w:p>
    <w:p>
      <w:pPr>
        <w:pStyle w:val="Heading3"/>
        <w:rPr/>
      </w:pPr>
      <w:r>
        <w:rPr/>
      </w:r>
    </w:p>
    <w:p>
      <w:pPr>
        <w:pStyle w:val="Heading3"/>
        <w:rPr/>
      </w:pPr>
      <w:r>
        <w:rPr/>
        <w:t>A.7.3 Rastreabilidade total</w:t>
      </w:r>
    </w:p>
    <w:p>
      <w:pPr>
        <w:pStyle w:val="Normal"/>
        <w:rPr/>
      </w:pPr>
      <w:r>
        <w:rPr/>
      </w:r>
    </w:p>
    <w:p>
      <w:pPr>
        <w:pStyle w:val="Normal"/>
        <w:rPr/>
      </w:pPr>
      <w:r>
        <w:rPr/>
        <w:t>Cada linha do CSV contém a citação completa (</w:t>
      </w:r>
      <w:r>
        <w:rPr>
          <w:rFonts w:ascii="Consolas" w:hAnsi="Consolas"/>
          <w:sz w:val="20"/>
        </w:rPr>
        <w:t>source</w:t>
      </w:r>
      <w:r>
        <w:rPr>
          <w:i/>
        </w:rPr>
        <w:t>citation</w:t>
      </w:r>
      <w:r>
        <w:rPr>
          <w:rFonts w:ascii="Consolas" w:hAnsi="Consolas"/>
          <w:sz w:val="20"/>
        </w:rPr>
        <w:t>) e o número de página exato (</w:t>
      </w:r>
      <w:r>
        <w:rPr/>
        <w:t>source</w:t>
      </w:r>
      <w:r>
        <w:rPr>
          <w:i/>
        </w:rPr>
        <w:t>page</w:t>
      </w:r>
      <w:r>
        <w:rPr>
          <w:rFonts w:ascii="Consolas" w:hAnsi="Consolas"/>
          <w:sz w:val="20"/>
        </w:rPr>
        <w:t>), permitindo que qualquer valor seja verificado diretamente na fonte primária sem necessidade de metadados externos.</w:t>
      </w:r>
    </w:p>
    <w:p>
      <w:pPr>
        <w:pStyle w:val="Heading3"/>
        <w:rPr/>
      </w:pPr>
      <w:r>
        <w:rPr/>
      </w:r>
    </w:p>
    <w:p>
      <w:pPr>
        <w:pStyle w:val="Heading3"/>
        <w:rPr/>
      </w:pPr>
      <w:r>
        <w:rPr/>
        <w:t>A.8 Escrita do Código de Geração</w:t>
      </w:r>
    </w:p>
    <w:p>
      <w:pPr>
        <w:pStyle w:val="Normal"/>
        <w:rPr/>
      </w:pPr>
      <w:r>
        <w:rPr/>
        <w:t>Os dados foram codificados em dois scripts Python independentes:</w:t>
      </w:r>
    </w:p>
    <w:p>
      <w:pPr>
        <w:pStyle w:val="ListBullet"/>
        <w:rPr/>
      </w:pPr>
      <w:r>
        <w:rPr/>
        <w:t xml:space="preserve">- </w:t>
      </w:r>
      <w:r>
        <w:rPr>
          <w:rFonts w:ascii="Consolas" w:hAnsi="Consolas"/>
          <w:sz w:val="20"/>
        </w:rPr>
        <w:t>generate</w:t>
      </w:r>
      <w:r>
        <w:rPr>
          <w:i/>
        </w:rPr>
        <w:t>ansur</w:t>
      </w:r>
      <w:r>
        <w:rPr/>
        <w:t>csv.py</w:t>
      </w:r>
      <w:r>
        <w:rPr>
          <w:rFonts w:ascii="Consolas" w:hAnsi="Consolas"/>
          <w:sz w:val="20"/>
        </w:rPr>
        <w:t xml:space="preserve"> — gera </w:t>
      </w:r>
      <w:r>
        <w:rPr/>
        <w:t>ansur</w:t>
      </w:r>
      <w:r>
        <w:rPr>
          <w:i/>
        </w:rPr>
        <w:t>1988</w:t>
      </w:r>
      <w:r>
        <w:rPr/>
        <w:t>complete.csv</w:t>
      </w:r>
      <w:r>
        <w:rPr>
          <w:rFonts w:ascii="Consolas" w:hAnsi="Consolas"/>
          <w:sz w:val="20"/>
        </w:rPr>
        <w:t xml:space="preserve"> e </w:t>
      </w:r>
      <w:r>
        <w:rPr/>
        <w:t>ansur</w:t>
      </w:r>
      <w:r>
        <w:rPr>
          <w:i/>
        </w:rPr>
        <w:t>1988</w:t>
      </w:r>
      <w:r>
        <w:rPr/>
        <w:t>hand</w:t>
      </w:r>
      <w:r>
        <w:rPr>
          <w:i/>
        </w:rPr>
        <w:t>arm.csv</w:t>
      </w:r>
      <w:r>
        <w:rPr>
          <w:rFonts w:ascii="Consolas" w:hAnsi="Consolas"/>
          <w:sz w:val="20"/>
        </w:rPr>
        <w:t xml:space="preserve"> a partir de dicionários Python embutidos no script, um por tabela do relatório ANSUR</w:t>
      </w:r>
    </w:p>
    <w:p>
      <w:pPr>
        <w:pStyle w:val="ListBullet"/>
        <w:rPr/>
      </w:pPr>
      <w:r>
        <w:rPr/>
        <w:t xml:space="preserve">- </w:t>
      </w:r>
      <w:r>
        <w:rPr>
          <w:rFonts w:ascii="Consolas" w:hAnsi="Consolas"/>
          <w:sz w:val="20"/>
        </w:rPr>
        <w:t>generate</w:t>
      </w:r>
      <w:r>
        <w:rPr>
          <w:i/>
        </w:rPr>
        <w:t>multi</w:t>
      </w:r>
      <w:r>
        <w:rPr/>
        <w:t>population</w:t>
      </w:r>
      <w:r>
        <w:rPr>
          <w:i/>
        </w:rPr>
        <w:t>hand</w:t>
      </w:r>
      <w:r>
        <w:rPr/>
        <w:t>csv.py</w:t>
      </w:r>
      <w:r>
        <w:rPr>
          <w:rFonts w:ascii="Consolas" w:hAnsi="Consolas"/>
          <w:sz w:val="20"/>
        </w:rPr>
        <w:t xml:space="preserve"> — gera </w:t>
      </w:r>
      <w:r>
        <w:rPr/>
        <w:t>multi</w:t>
      </w:r>
      <w:r>
        <w:rPr>
          <w:i/>
        </w:rPr>
        <w:t>population</w:t>
      </w:r>
      <w:r>
        <w:rPr/>
        <w:t>hand.csv</w:t>
      </w:r>
      <w:r>
        <w:rPr>
          <w:rFonts w:ascii="Consolas" w:hAnsi="Consolas"/>
          <w:sz w:val="20"/>
        </w:rPr>
        <w:t xml:space="preserve"> a partir de dez secções numeradas, cada uma correspondente a um estudo ou conjunto de datasets</w:t>
      </w:r>
    </w:p>
    <w:p>
      <w:pPr>
        <w:pStyle w:val="Normal"/>
        <w:rPr/>
      </w:pPr>
      <w:r>
        <w:rPr/>
        <w:t>A escolha de embeber os dados diretamente no código (em vez de, por exemplo, folhas de cálculo intermédias) serve três propósitos: (1) rastreabilidade — cada valor está imediatamente adjacente à sua citação e nota de método; (2) reprodutibilidade — executar o script regenera o CSV de forma determinista; (3) controlo de versão — alterações aos dados são visíveis em diff de git, com o contexto de que estudo foi modificado.</w:t>
      </w:r>
    </w:p>
    <w:p>
      <w:pPr>
        <w:pStyle w:val="Normal"/>
        <w:rPr/>
      </w:pPr>
      <w:r>
        <w:rPr/>
        <w:t xml:space="preserve">O script aplica automaticamente as conversões de unidade, calcula </w:t>
      </w:r>
      <w:r>
        <w:rPr>
          <w:rFonts w:ascii="Consolas" w:hAnsi="Consolas"/>
          <w:sz w:val="20"/>
        </w:rPr>
        <w:t>value</w:t>
      </w:r>
      <w:r>
        <w:rPr>
          <w:i/>
        </w:rPr>
        <w:t>in</w:t>
      </w:r>
      <w:r>
        <w:rPr>
          <w:rFonts w:ascii="Consolas" w:hAnsi="Consolas"/>
          <w:sz w:val="20"/>
        </w:rPr>
        <w:t xml:space="preserve"> a partir de </w:t>
      </w:r>
      <w:r>
        <w:rPr/>
        <w:t>value</w:t>
      </w:r>
      <w:r>
        <w:rPr>
          <w:i/>
        </w:rPr>
        <w:t>cm</w:t>
      </w:r>
      <w:r>
        <w:rPr>
          <w:rFonts w:ascii="Consolas" w:hAnsi="Consolas"/>
          <w:sz w:val="20"/>
        </w:rPr>
        <w:t xml:space="preserve">, e valida que nenhuma linha é emitida sem pelo menos uma das colunas </w:t>
      </w:r>
      <w:r>
        <w:rPr/>
        <w:t>value</w:t>
      </w:r>
      <w:r>
        <w:rPr>
          <w:i/>
        </w:rPr>
        <w:t>mm</w:t>
      </w:r>
      <w:r>
        <w:rPr>
          <w:rFonts w:ascii="Consolas" w:hAnsi="Consolas"/>
          <w:sz w:val="20"/>
        </w:rPr>
        <w:t xml:space="preserve"> ou </w:t>
      </w:r>
      <w:r>
        <w:rPr/>
        <w:t>value</w:t>
      </w:r>
      <w:r>
        <w:rPr>
          <w:i/>
        </w:rPr>
        <w:t>cm</w:t>
      </w:r>
      <w:r>
        <w:rPr>
          <w:rFonts w:ascii="Consolas" w:hAnsi="Consolas"/>
          <w:sz w:val="20"/>
        </w:rPr>
        <w:t xml:space="preserve"> preenchida.</w:t>
      </w:r>
    </w:p>
    <w:p>
      <w:pPr>
        <w:pStyle w:val="Heading3"/>
        <w:rPr/>
      </w:pPr>
      <w:r>
        <w:rPr/>
      </w:r>
    </w:p>
    <w:p>
      <w:pPr>
        <w:pStyle w:val="Heading3"/>
        <w:rPr/>
      </w:pPr>
      <w:r>
        <w:rPr/>
        <w:t>A.9 Resultado Final</w:t>
      </w:r>
    </w:p>
    <w:tbl>
      <w:tblPr>
        <w:tblW w:w="5000" w:type="pct"/>
        <w:jc w:val="left"/>
        <w:tblInd w:w="108" w:type="dxa"/>
        <w:tblLayout w:type="fixed"/>
        <w:tblCellMar>
          <w:top w:w="0" w:type="dxa"/>
          <w:left w:w="108" w:type="dxa"/>
          <w:bottom w:w="0" w:type="dxa"/>
          <w:right w:w="108" w:type="dxa"/>
        </w:tblCellMar>
      </w:tblPr>
      <w:tblGrid>
        <w:gridCol w:w="1805"/>
        <w:gridCol w:w="1805"/>
        <w:gridCol w:w="1803"/>
        <w:gridCol w:w="1805"/>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Ficheiro</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Linhas (dados)</w:t>
            </w:r>
          </w:p>
        </w:tc>
        <w:tc>
          <w:tcPr>
            <w:tcW w:w="1803" w:type="dxa"/>
            <w:tcBorders>
              <w:top w:val="single" w:sz="4" w:space="0" w:color="808080"/>
              <w:left w:val="single" w:sz="4" w:space="0" w:color="808080"/>
              <w:bottom w:val="single" w:sz="4" w:space="0" w:color="808080"/>
              <w:right w:val="single" w:sz="4" w:space="0" w:color="808080"/>
            </w:tcBorders>
          </w:tcPr>
          <w:p>
            <w:pPr>
              <w:pStyle w:val="Normal"/>
              <w:rPr/>
            </w:pPr>
            <w:r>
              <w:rPr/>
              <w:t>Países</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Dimensões distintas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complete.csv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2.726</w:t>
            </w:r>
          </w:p>
        </w:tc>
        <w:tc>
          <w:tcPr>
            <w:tcW w:w="1803"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47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hand</w:t>
            </w:r>
            <w:r>
              <w:rPr>
                <w:i/>
              </w:rPr>
              <w:t>arm.csv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696</w:t>
            </w:r>
          </w:p>
        </w:tc>
        <w:tc>
          <w:tcPr>
            <w:tcW w:w="1803"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17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multi</w:t>
            </w:r>
            <w:r>
              <w:rPr>
                <w:i/>
              </w:rPr>
              <w:t>population</w:t>
            </w:r>
            <w:r>
              <w:rPr/>
              <w:t>hand.csv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1.790</w:t>
            </w:r>
          </w:p>
        </w:tc>
        <w:tc>
          <w:tcPr>
            <w:tcW w:w="1803" w:type="dxa"/>
            <w:tcBorders>
              <w:top w:val="single" w:sz="4" w:space="0" w:color="808080"/>
              <w:left w:val="single" w:sz="4" w:space="0" w:color="808080"/>
              <w:bottom w:val="single" w:sz="4" w:space="0" w:color="808080"/>
              <w:right w:val="single" w:sz="4" w:space="0" w:color="808080"/>
            </w:tcBorders>
          </w:tcPr>
          <w:p>
            <w:pPr>
              <w:pStyle w:val="Normal"/>
              <w:rPr/>
            </w:pPr>
            <w:r>
              <w:rPr/>
              <w:t>9</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~85</w:t>
            </w:r>
          </w:p>
        </w:tc>
      </w:tr>
    </w:tbl>
    <w:p>
      <w:pPr>
        <w:pStyle w:val="Normal"/>
        <w:rPr/>
      </w:pPr>
      <w:r>
        <w:rPr/>
      </w:r>
    </w:p>
    <w:p>
      <w:pPr>
        <w:pStyle w:val="Normal"/>
        <w:rPr/>
      </w:pPr>
      <w:r>
        <w:rPr/>
        <w:t xml:space="preserve">O ficheiro </w:t>
      </w:r>
      <w:r>
        <w:rPr>
          <w:rFonts w:ascii="Consolas" w:hAnsi="Consolas"/>
          <w:sz w:val="20"/>
        </w:rPr>
        <w:t>multi</w:t>
      </w:r>
      <w:r>
        <w:rPr>
          <w:i/>
        </w:rPr>
        <w:t>population</w:t>
      </w:r>
      <w:r>
        <w:rPr/>
        <w:t>hand.csv</w:t>
      </w:r>
      <w:r>
        <w:rPr>
          <w:rFonts w:ascii="Consolas" w:hAnsi="Consolas"/>
          <w:sz w:val="20"/>
        </w:rPr>
        <w:t xml:space="preserve"> cobre nove países (EUA, Países Baixos, Turquia, México, Índia, Portugal, Nigéria, Jordânia, China), ambos os sexos e grupos combinados, grupos etários desde os 2 até aos 80+ anos, e populações tão diversas como crianças em idade escolar, idosos, atletas universitários, trabalhadores industriais, trabalhadoras informais e militares.</w:t>
      </w:r>
    </w:p>
    <w:p>
      <w:pPr>
        <w:pStyle w:val="Heading3"/>
        <w:rPr/>
      </w:pPr>
      <w:r>
        <w:rPr/>
      </w:r>
    </w:p>
    <w:p>
      <w:pPr>
        <w:pStyle w:val="Heading3"/>
        <w:rPr/>
      </w:pPr>
      <w:r>
        <w:rPr/>
        <w:t>A.10 Cobertura Global da Base de Dados e Lacunas</w:t>
      </w:r>
    </w:p>
    <w:p>
      <w:pPr>
        <w:pStyle w:val="Heading3"/>
        <w:rPr/>
      </w:pPr>
      <w:r>
        <w:rPr/>
      </w:r>
    </w:p>
    <w:p>
      <w:pPr>
        <w:pStyle w:val="Heading3"/>
        <w:rPr/>
      </w:pPr>
      <w:r>
        <w:rPr/>
        <w:t>A.10.1 O que está coberto</w:t>
      </w:r>
    </w:p>
    <w:p>
      <w:pPr>
        <w:pStyle w:val="Normal"/>
        <w:rPr/>
      </w:pPr>
      <w:r>
        <w:rPr/>
      </w:r>
    </w:p>
    <w:p>
      <w:pPr>
        <w:pStyle w:val="Normal"/>
        <w:rPr/>
      </w:pPr>
      <w:r>
        <w:rPr/>
        <w:t xml:space="preserve">A base de dados </w:t>
      </w:r>
      <w:r>
        <w:rPr>
          <w:rFonts w:ascii="Consolas" w:hAnsi="Consolas"/>
          <w:sz w:val="20"/>
        </w:rPr>
        <w:t>multi</w:t>
      </w:r>
      <w:r>
        <w:rPr>
          <w:i/>
        </w:rPr>
        <w:t>population</w:t>
      </w:r>
      <w:r>
        <w:rPr/>
        <w:t>hand.csv</w:t>
      </w:r>
      <w:r>
        <w:rPr>
          <w:rFonts w:ascii="Consolas" w:hAnsi="Consolas"/>
          <w:sz w:val="20"/>
        </w:rPr>
        <w:t xml:space="preserve"> foi construída com o objetivo de representar a variabilidade antropométrica da mão humana em múltiplas dimensões: geográfica, demográfica, etária e estatística. A tabela seguinte sintetiza a cobertura atual.</w:t>
      </w:r>
    </w:p>
    <w:p>
      <w:pPr>
        <w:pStyle w:val="Heading3"/>
        <w:rPr/>
      </w:pPr>
      <w:r>
        <w:rPr/>
      </w:r>
    </w:p>
    <w:p>
      <w:pPr>
        <w:pStyle w:val="Heading3"/>
        <w:rPr/>
      </w:pPr>
      <w:r>
        <w:rPr/>
        <w:t>A.10.1.1 Cobertura geográfica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Região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representados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Ocidental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Portugal, 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Anacleto Filho et al. (2023); DINED kima1993, geron1998, dined2004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do Norte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 Lim et al. (2018)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Latina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Médio Oriente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África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Sul da Ásia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Índia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Nag et al. (2003)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Ásia Oriental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 (Pequim)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do Sul / Ásia Menor</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w:t>
            </w:r>
          </w:p>
        </w:tc>
      </w:tr>
    </w:tbl>
    <w:p>
      <w:pPr>
        <w:pStyle w:val="Normal"/>
        <w:rPr/>
      </w:pPr>
      <w:r>
        <w:rPr/>
      </w:r>
    </w:p>
    <w:p>
      <w:pPr>
        <w:pStyle w:val="Normal"/>
        <w:rPr/>
      </w:pPr>
      <w:r>
        <w:rPr/>
        <w:t>Nove países estão representados, distribuídos por sete regiões do mundo. A cobertura é particularmente densa nos EUA (três fontes independentes) e nos Países Baixos (três sub-datasets DINED).</w:t>
      </w:r>
    </w:p>
    <w:p>
      <w:pPr>
        <w:pStyle w:val="Heading3"/>
        <w:rPr/>
      </w:pPr>
      <w:r>
        <w:rPr/>
      </w:r>
    </w:p>
    <w:p>
      <w:pPr>
        <w:pStyle w:val="Heading3"/>
        <w:rPr/>
      </w:pPr>
      <w:r>
        <w:rPr/>
        <w:t>A.10.1.2 Cobertura etária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Faixa etária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Cobertura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2–12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kima1993 (por ano de idade)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15–19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subgrupo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18–30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 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Lim et al. (2018); Chatzioglou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17–58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II 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15–59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8 grupos etários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19–30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20–40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20–60+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dined2004 (3 grupos)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50–80+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geron1998 (7 grupos de 5 anos)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65–85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bl>
    <w:p>
      <w:pPr>
        <w:pStyle w:val="Normal"/>
        <w:rPr/>
      </w:pPr>
      <w:r>
        <w:rPr/>
      </w:r>
    </w:p>
    <w:p>
      <w:pPr>
        <w:pStyle w:val="Normal"/>
        <w:rPr/>
      </w:pPr>
      <w:r>
        <w:rP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pPr>
        <w:pStyle w:val="Heading3"/>
        <w:rPr/>
      </w:pPr>
      <w:r>
        <w:rPr/>
      </w:r>
    </w:p>
    <w:p>
      <w:pPr>
        <w:pStyle w:val="Heading3"/>
        <w:rPr/>
      </w:pPr>
      <w:r>
        <w:rPr/>
        <w:t>A.10.1.3 Cobertura estatística</w:t>
      </w:r>
    </w:p>
    <w:p>
      <w:pPr>
        <w:pStyle w:val="Normal"/>
        <w:rPr/>
      </w:pPr>
      <w:r>
        <w:rPr/>
      </w:r>
    </w:p>
    <w:p>
      <w:pPr>
        <w:pStyle w:val="Normal"/>
        <w:rPr/>
      </w:pPr>
      <w:r>
        <w:rPr/>
        <w:t>A profundidade estatística varia consideravelmente entre fontes: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Nível de detalhe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P5–P95 (11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P5, P50, P95 (5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DINED (3 sub-datasets), Hu et al. (2007)</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P5, P50, P95 (3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Nag et al. (2003), Anacleto Filho et al. (2023), Rodríguez-Vega et al. (2024)</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(4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 Ibiwari et al. (2025)</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apenas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Mistarihi (2020) — largura da mão; Lim et al. (2018)</w:t>
            </w:r>
          </w:p>
        </w:tc>
      </w:tr>
    </w:tbl>
    <w:p>
      <w:pPr>
        <w:pStyle w:val="Normal"/>
        <w:rPr/>
      </w:pPr>
      <w:r>
        <w:rPr/>
      </w:r>
    </w:p>
    <w:p>
      <w:pPr>
        <w:pStyle w:val="Normal"/>
        <w:rPr/>
      </w:pPr>
      <w:r>
        <w:rPr/>
        <w:t>A maioria das fontes não-americanas fornece apenas subconjuntos de estatísticas. Percentis intermédios (P10, P25, P75, P90) estão disponíveis exclusivamente nos datasets ANSUR. Esta assimetria é uma limitação real: para populações não-americanas, o modelo paramétrico pode interpolar entre P5 e P95, mas não dispõe de percentis de granularidade fina.</w:t>
      </w:r>
    </w:p>
    <w:p>
      <w:pPr>
        <w:pStyle w:val="Heading3"/>
        <w:rPr/>
      </w:pPr>
      <w:r>
        <w:rPr/>
      </w:r>
    </w:p>
    <w:p>
      <w:pPr>
        <w:pStyle w:val="Heading3"/>
        <w:rPr/>
      </w:pPr>
      <w:r>
        <w:rPr/>
        <w:t>A.10.2 Onde a cobertura falha</w:t>
      </w:r>
    </w:p>
    <w:p>
      <w:pPr>
        <w:pStyle w:val="Heading3"/>
        <w:rPr/>
      </w:pPr>
      <w:r>
        <w:rPr/>
      </w:r>
    </w:p>
    <w:p>
      <w:pPr>
        <w:pStyle w:val="Heading3"/>
        <w:rPr/>
      </w:pPr>
      <w:r>
        <w:rPr/>
        <w:t>A.10.2.1 Lacunas geográficas</w:t>
      </w:r>
    </w:p>
    <w:p>
      <w:pPr>
        <w:pStyle w:val="Heading3"/>
        <w:rPr/>
      </w:pPr>
      <w:r>
        <w:rPr/>
      </w:r>
    </w:p>
    <w:p>
      <w:pPr>
        <w:pStyle w:val="Normal"/>
        <w:rPr/>
      </w:pPr>
      <w:r>
        <w:rPr/>
        <w:t>As regiões mais populosas do mundo estão sub-representadas ou ausentes:</w:t>
      </w:r>
    </w:p>
    <w:p>
      <w:pPr>
        <w:pStyle w:val="ListBullet"/>
        <w:rPr/>
      </w:pPr>
      <w:r>
        <w:rPr/>
        <w:t xml:space="preserve">- </w:t>
      </w:r>
      <w:r>
        <w:rPr>
          <w:b/>
        </w:rPr>
        <w:t>Ásia Oriental</w:t>
      </w:r>
      <w:r>
        <w:rPr/>
        <w:t xml:space="preserve"> — China tem uma única fonte (n=108, apenas idosos de Pequim). Japão e Coreia do Sul estão completamente ausentes, apesar de serem países com literatura ergonómica ativa. O conjunto ANSUR é amplamente usado como proxy para populações ocidentais, mas os valores diferem sistematicamente das populações do leste asiático (mãos tendencialmente mais pequenas nos estudos disponíveis).</w:t>
      </w:r>
    </w:p>
    <w:p>
      <w:pPr>
        <w:pStyle w:val="ListBullet"/>
        <w:rPr/>
      </w:pPr>
      <w:r>
        <w:rPr/>
        <w:t xml:space="preserve">- </w:t>
      </w:r>
      <w:r>
        <w:rPr>
          <w:b/>
        </w:rPr>
        <w:t>Ásia do Sudeste</w:t>
      </w:r>
      <w:r>
        <w:rPr/>
        <w:t xml:space="preserve"> — Nenhum país representado (Indonésia, Filipinas, Vietname, Tailândia, etc.), apesar de concentrarem uma fração significativa da população mundial e de apresentarem diferenças antropométricas documentadas relativamente às populações sul-asiáticas.</w:t>
      </w:r>
    </w:p>
    <w:p>
      <w:pPr>
        <w:pStyle w:val="ListBullet"/>
        <w:rPr/>
      </w:pPr>
      <w:r>
        <w:rPr/>
        <w:t xml:space="preserve">- </w:t>
      </w:r>
      <w:r>
        <w:rPr>
          <w:b/>
        </w:rPr>
        <w:t>África Subsaariana</w:t>
      </w:r>
      <w:r>
        <w:rPr/>
        <w:t xml:space="preserve"> — Apenas a Nigéria, com uma amostra de atletas universitários (n=80) que não é representativa da população geral. Angola, Moçambique, e outros países de língua portuguesa estão ausentes, o que é particularmente relevante numa tese desenvolvida em Portugal.</w:t>
      </w:r>
    </w:p>
    <w:p>
      <w:pPr>
        <w:pStyle w:val="ListBullet"/>
        <w:rPr/>
      </w:pPr>
      <w:r>
        <w:rPr/>
        <w:t xml:space="preserve">- </w:t>
      </w:r>
      <w:r>
        <w:rPr>
          <w:b/>
        </w:rPr>
        <w:t>América do Sul</w:t>
      </w:r>
      <w:r>
        <w:rPr/>
        <w:t xml:space="preserve"> — Completamente ausente. Brasil, Colômbia e Argentina têm literatura ergonómica publicada mas não foram identificadas fontes acessíveis com dados de mão codificáveis.</w:t>
      </w:r>
    </w:p>
    <w:p>
      <w:pPr>
        <w:pStyle w:val="ListBullet"/>
        <w:rPr/>
      </w:pPr>
      <w:r>
        <w:rPr/>
        <w:t xml:space="preserve">- </w:t>
      </w:r>
      <w:r>
        <w:rPr>
          <w:b/>
        </w:rPr>
        <w:t>Europa Central e de Leste</w:t>
      </w:r>
      <w:r>
        <w:rPr/>
        <w:t xml:space="preserve"> — Ausente. Os Países Baixos e Portugal representam a Europa, mas há variabilidade antropométrica documentada entre populações do norte, sul e leste do continente.</w:t>
      </w:r>
    </w:p>
    <w:p>
      <w:pPr>
        <w:pStyle w:val="Heading3"/>
        <w:rPr/>
      </w:pPr>
      <w:r>
        <w:rPr/>
      </w:r>
    </w:p>
    <w:p>
      <w:pPr>
        <w:pStyle w:val="Heading3"/>
        <w:rPr/>
      </w:pPr>
      <w:r>
        <w:rPr/>
        <w:t>A.10.2.2 Lacunas demográficas</w:t>
      </w:r>
    </w:p>
    <w:p>
      <w:pPr>
        <w:pStyle w:val="Heading3"/>
        <w:rPr/>
      </w:pPr>
      <w:r>
        <w:rPr/>
      </w:r>
    </w:p>
    <w:p>
      <w:pPr>
        <w:pStyle w:val="ListBullet"/>
        <w:rPr/>
      </w:pPr>
      <w:r>
        <w:rPr/>
        <w:t xml:space="preserve">- </w:t>
      </w:r>
      <w:r>
        <w:rPr>
          <w:b/>
        </w:rPr>
        <w:t>Adolescentes (13–17 anos)</w:t>
      </w:r>
      <w:r>
        <w:rPr/>
        <w:t xml:space="preserve"> — a transição da mão infantil para a adulta não está coberta por nenhum estudo dedicado. O kima1993 chega aos 12 anos e o ANSUR começa aos 17.</w:t>
      </w:r>
    </w:p>
    <w:p>
      <w:pPr>
        <w:pStyle w:val="ListBullet"/>
        <w:rPr/>
      </w:pPr>
      <w:r>
        <w:rPr/>
        <w:t xml:space="preserve">- </w:t>
      </w:r>
      <w:r>
        <w:rPr>
          <w:b/>
        </w:rPr>
        <w:t>Amputados</w:t>
      </w:r>
      <w:r>
        <w:rPr/>
        <w:t xml:space="preserve">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pPr>
        <w:pStyle w:val="ListBullet"/>
        <w:rPr/>
      </w:pPr>
      <w:r>
        <w:rPr/>
        <w:t xml:space="preserve">- </w:t>
      </w:r>
      <w:r>
        <w:rPr>
          <w:b/>
        </w:rPr>
        <w:t>Pessoas com deficiência física</w:t>
      </w:r>
      <w:r>
        <w:rPr/>
        <w:t xml:space="preserve"> — apenas o estudo de Mistarihi (2020) cobre esta população (n=40, sexos combinados, Jordânia). A dimensão amostral é insuficiente para ser estatisticamente representativa.</w:t>
      </w:r>
    </w:p>
    <w:p>
      <w:pPr>
        <w:pStyle w:val="ListBullet"/>
        <w:rPr/>
      </w:pPr>
      <w:r>
        <w:rPr/>
        <w:t xml:space="preserve">- </w:t>
      </w:r>
      <w:r>
        <w:rPr>
          <w:b/>
        </w:rPr>
        <w:t>Idosos fora da Europa e China</w:t>
      </w:r>
      <w:r>
        <w:rPr/>
        <w:t xml:space="preserve"> — a prevalência de amputação de membro superior é mais elevada em contextos de baixo rendimento (causas traumáticas, diabetes, doença vascular), mas os dados de idosos disponíveis limitam-se a populações europeias e chinesas.</w:t>
      </w:r>
    </w:p>
    <w:p>
      <w:pPr>
        <w:pStyle w:val="Heading3"/>
        <w:rPr/>
      </w:pPr>
      <w:r>
        <w:rPr/>
      </w:r>
    </w:p>
    <w:p>
      <w:pPr>
        <w:pStyle w:val="Heading3"/>
        <w:rPr/>
      </w:pPr>
      <w:r>
        <w:rPr/>
        <w:t>A.10.2.3 Limitações qualitativas dos dados existentes</w:t>
      </w:r>
    </w:p>
    <w:p>
      <w:pPr>
        <w:pStyle w:val="Normal"/>
        <w:rPr/>
      </w:pPr>
      <w:r>
        <w:rPr/>
      </w:r>
    </w:p>
    <w:p>
      <w:pPr>
        <w:pStyle w:val="Normal"/>
        <w:rPr/>
      </w:pPr>
      <w:r>
        <w:rPr/>
        <w:t>Para além das lacunas por ausência, existem limitações nos dados já presentes:</w:t>
      </w:r>
    </w:p>
    <w:p>
      <w:pPr>
        <w:pStyle w:val="ListBullet"/>
        <w:rPr/>
      </w:pPr>
      <w:r>
        <w:rPr/>
        <w:t xml:space="preserve">- </w:t>
      </w:r>
      <w:r>
        <w:rPr>
          <w:b/>
        </w:rPr>
        <w:t>Heterogeneidade de protocolos</w:t>
      </w:r>
      <w:r>
        <w:rPr/>
        <w:t xml:space="preserve"> — "comprimento da mão" é medido desde pontos de referência distintos consoante o estudo (prega distal do pulso, processo estilóide do rádio, articulação metacarpo-falângica). Os valores não são diretamente comparáveis entre fontes sem ajuste, o que limita a integração direta para inferência de valores fora da base de dados.</w:t>
      </w:r>
    </w:p>
    <w:p>
      <w:pPr>
        <w:pStyle w:val="ListBullet"/>
        <w:rPr/>
      </w:pPr>
      <w:r>
        <w:rPr/>
        <w:t xml:space="preserve">- </w:t>
      </w:r>
      <w:r>
        <w:rPr>
          <w:b/>
        </w:rPr>
        <w:t>Amostras de conveniência</w:t>
      </w:r>
      <w:r>
        <w:rPr/>
        <w:t xml:space="preserve"> — a maioria dos estudos não é probabilística: Chatzioglou et al. (2024) recrutou estudantes universitários de Izmir e Istanbul; Ibiwari et al. (2025) recrutou atletas universitários; Hu et al. (2007) recrutou reformados da área de Pequim. A representatividade nacional é, em todos estes casos, questionável.</w:t>
      </w:r>
    </w:p>
    <w:p>
      <w:pPr>
        <w:pStyle w:val="ListBullet"/>
        <w:rPr/>
      </w:pPr>
      <w:r>
        <w:rPr/>
        <w:t xml:space="preserve">- </w:t>
      </w:r>
      <w:r>
        <w:rPr>
          <w:b/>
        </w:rPr>
        <w:t>Desequilíbrio de dimensões</w:t>
      </w:r>
      <w:r>
        <w:rPr/>
        <w:t xml:space="preserve"> — o comprimento da mão e a largura da mão (metacarpal) estão presentes em quase todas as fontes; comprimentos por falange individual, profundidade da palma, e ângulos de abdução dos dedos estão ausentes exceto no ANSUR.</w:t>
      </w:r>
    </w:p>
    <w:p>
      <w:pPr>
        <w:pStyle w:val="ListBullet"/>
        <w:rPr/>
      </w:pPr>
      <w:r>
        <w:rPr/>
        <w:t xml:space="preserve">- </w:t>
      </w:r>
      <w:r>
        <w:rPr>
          <w:b/>
        </w:rPr>
        <w:t>Mão medida</w:t>
      </w:r>
      <w:r>
        <w:rPr/>
        <w:t xml:space="preserve"> — a maioria dos estudos mede a mão dominante ou a mão direita; o estudo português mede a mão esquerda por limitação de instalações. Esta inconsistência é registada nos metadados mas não pode ser corrigida post-hoc.</w:t>
      </w:r>
    </w:p>
    <w:p>
      <w:pPr>
        <w:pStyle w:val="Heading3"/>
        <w:rPr/>
      </w:pPr>
      <w:r>
        <w:rPr/>
      </w:r>
    </w:p>
    <w:p>
      <w:pPr>
        <w:pStyle w:val="Heading3"/>
        <w:rPr/>
      </w:pPr>
      <w:r>
        <w:rPr/>
        <w:t>A.10.3 Frentes identificadas para expansão futura</w:t>
      </w:r>
    </w:p>
    <w:p>
      <w:pPr>
        <w:pStyle w:val="Normal"/>
        <w:rPr/>
      </w:pPr>
      <w:r>
        <w:rPr/>
      </w:r>
    </w:p>
    <w:p>
      <w:pPr>
        <w:pStyle w:val="Normal"/>
        <w:rPr/>
      </w:pPr>
      <w:r>
        <w:rPr/>
        <w:t>A expansão futura da base de dados deverá priorizar três frentes: dados pediátricos e adolescentes fora do contexto europeu, fontes nacionais de antropometria da mão em regiões ainda ausentes, e conjuntos de dados com maior granularidade anatómica dos dedos, falanges, punho e antebraço distal.</w:t>
      </w:r>
    </w:p>
    <w:p>
      <w:pPr>
        <w:pStyle w:val="Heading3"/>
        <w:rPr/>
      </w:pPr>
      <w:r>
        <w:rPr/>
      </w:r>
    </w:p>
    <w:p>
      <w:pPr>
        <w:pStyle w:val="Heading3"/>
        <w:rPr/>
      </w:pPr>
      <w:r>
        <w:rPr/>
        <w:t>A.10.3.1 Prioridade alta</w:t>
      </w:r>
    </w:p>
    <w:p>
      <w:pPr>
        <w:pStyle w:val="ListBullet"/>
        <w:rPr/>
      </w:pPr>
      <w:r>
        <w:rPr/>
        <w:t>- Dados pediátricos e adolescentes da Ásia Oriental, capazes de preencher a lacuna entre os 13 e os 17 anos e de reduzir a dependência de fontes neerlandesas para perfis infantis.</w:t>
      </w:r>
    </w:p>
    <w:p>
      <w:pPr>
        <w:pStyle w:val="ListBullet"/>
        <w:rPr/>
      </w:pPr>
      <w:r>
        <w:rPr/>
        <w:t>- Dados industriais ou ergonómicos do Médio Oriente com maior dimensão amostral e separação por sexo, de modo a complementar a fonte jordana já incluída.</w:t>
      </w:r>
    </w:p>
    <w:p>
      <w:pPr>
        <w:pStyle w:val="ListBullet"/>
        <w:rPr/>
      </w:pPr>
      <w:r>
        <w:rPr/>
        <w:t>- Bases públicas nacionais com dados de mão para populações asiáticas, quando disponibilizarem metadados claros e condições de reutilização compatíveis com investigação académica.</w:t>
      </w:r>
    </w:p>
    <w:p>
      <w:pPr>
        <w:pStyle w:val="Heading3"/>
        <w:rPr/>
      </w:pPr>
      <w:r>
        <w:rPr/>
      </w:r>
    </w:p>
    <w:p>
      <w:pPr>
        <w:pStyle w:val="Heading3"/>
        <w:rPr/>
      </w:pPr>
      <w:r>
        <w:rPr/>
        <w:t>A.10.3.2 Prioridade média</w:t>
      </w:r>
    </w:p>
    <w:p>
      <w:pPr>
        <w:pStyle w:val="ListBullet"/>
        <w:rPr/>
      </w:pPr>
      <w:r>
        <w:rPr/>
        <w:t>- Relatórios técnicos com medições granulares da mão, incluindo comprimentos por falange, profundidades articulares e ângulos de preensão.</w:t>
      </w:r>
    </w:p>
    <w:p>
      <w:pPr>
        <w:pStyle w:val="ListBullet"/>
        <w:rPr/>
      </w:pPr>
      <w:r>
        <w:rPr/>
        <w:t>- Estudos baseados em digitalização 3D com amostras adultas amplas, desde que disponibilizem estatísticas por dimensão e não apenas exemplos individuais.</w:t>
      </w:r>
    </w:p>
    <w:p>
      <w:pPr>
        <w:pStyle w:val="Heading3"/>
        <w:rPr/>
      </w:pPr>
      <w:r>
        <w:rPr/>
      </w:r>
    </w:p>
    <w:p>
      <w:pPr>
        <w:pStyle w:val="Heading3"/>
        <w:rPr/>
      </w:pPr>
      <w:r>
        <w:rPr/>
        <w:t>A.10.3.3 Pertinência direta para o tema da tese</w:t>
      </w:r>
    </w:p>
    <w:p>
      <w:pPr>
        <w:pStyle w:val="Normal"/>
        <w:rPr/>
      </w:pPr>
      <w:r>
        <w:rPr/>
        <w:t>A lacuna de maior impacto continua a ser a ausência de dados de pessoas amputadas, sobretudo medições da mão contralateral intacta. Para o design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p>
    <w:sectPr>
      <w:footnotePr>
        <w:numFmt w:val="decimal"/>
      </w:footnote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30T18:08:33Z" w:initials="">
    <w:p>
      <w:pPr>
        <w:overflowPunct w:val="false"/>
        <w:bidi w:val="0"/>
        <w:rPr/>
      </w:pPr>
      <w:r>
        <w:annotationRef/>
      </w:r>
      <w:r>
        <w:rPr>
          <w:lang w:val="pt-PT"/>
        </w:rPr>
        <w:t xml:space="preserve"> material/prosthetics-design/A review of technology, materials and R&amp;D challenges of upper limb prosthesis for improved user suitability.pdf</w:t>
      </w:r>
    </w:p>
    <w:p>
      <w:pPr>
        <w:overflowPunct w:val="false"/>
        <w:bidi w:val="0"/>
        <w:rPr/>
      </w:pPr>
      <w:r>
        <w:rPr>
          <w:lang w:val="pt-PT"/>
        </w:rPr>
      </w:r>
    </w:p>
    <w:p>
      <w:pPr>
        <w:overflowPunct w:val="false"/>
        <w:bidi w:val="0"/>
        <w:rPr/>
      </w:pPr>
      <w:r>
        <w:rPr>
          <w:lang w:val="pt-PT"/>
        </w:rPr>
        <w:t xml:space="preserve">  Ela sustenta a classificação assim: Brack e Amalu classificam a tecnologia de próteses de membro superior em próteses passivas, ativas e híbridas; depois</w:t>
      </w:r>
    </w:p>
    <w:p>
      <w:pPr>
        <w:overflowPunct w:val="false"/>
        <w:bidi w:val="0"/>
        <w:rPr/>
      </w:pPr>
      <w:r>
        <w:rPr>
          <w:lang w:val="pt-PT"/>
        </w:rPr>
        <w:t xml:space="preserve">  subdividem as ativas em acionadas pelo corpo e mioelétricas. Também definem as híbridas como combinação de componentes acionados pelo corpo e mioelétricos.</w:t>
      </w:r>
    </w:p>
    <w:p>
      <w:pPr>
        <w:overflowPunct w:val="false"/>
        <w:bidi w:val="0"/>
        <w:rPr/>
      </w:pPr>
      <w:r>
        <w:rPr>
          <w:lang w:val="pt-PT"/>
        </w:rPr>
      </w:r>
    </w:p>
    <w:p>
      <w:pPr>
        <w:overflowPunct w:val="false"/>
        <w:bidi w:val="0"/>
        <w:rPr/>
      </w:pPr>
      <w:r>
        <w:rPr>
          <w:lang w:val="pt-PT"/>
        </w:rPr>
        <w:t xml:space="preserve">  Posso citar a frase como:</w:t>
      </w:r>
    </w:p>
    <w:p>
      <w:pPr>
        <w:overflowPunct w:val="false"/>
        <w:bidi w:val="0"/>
        <w:rPr/>
      </w:pPr>
      <w:r>
        <w:rPr>
          <w:lang w:val="pt-PT"/>
        </w:rPr>
      </w:r>
    </w:p>
    <w:p>
      <w:pPr>
        <w:overflowPunct w:val="false"/>
        <w:bidi w:val="0"/>
        <w:rPr/>
      </w:pPr>
      <w:r>
        <w:rPr>
          <w:lang w:val="pt-PT"/>
        </w:rPr>
        <w:t xml:space="preserve">  &gt; As próteses de membro superior podem ser classificadas de acordo com a fonte de energia e o mecanismo de controlo, distinguindo-se próteses passivas, acionadas</w:t>
      </w:r>
    </w:p>
    <w:p>
      <w:pPr>
        <w:overflowPunct w:val="false"/>
        <w:bidi w:val="0"/>
        <w:rPr/>
      </w:pPr>
      <w:r>
        <w:rPr>
          <w:lang w:val="pt-PT"/>
        </w:rPr>
        <w:t xml:space="preserve">  &gt; pelo corpo, mioelétricas e híbridas (Brack &amp; Amalu, 2021).</w:t>
      </w:r>
    </w:p>
    <w:p>
      <w:pPr>
        <w:overflowPunct w:val="false"/>
        <w:bidi w:val="0"/>
        <w:rPr/>
      </w:pPr>
      <w:r>
        <w:rPr>
          <w:lang w:val="pt-PT"/>
        </w:rPr>
      </w:r>
    </w:p>
    <w:p>
      <w:pPr>
        <w:overflowPunct w:val="false"/>
        <w:bidi w:val="0"/>
        <w:rPr/>
      </w:pPr>
      <w:r>
        <w:rPr>
          <w:lang w:val="pt-PT"/>
        </w:rPr>
        <w:t xml:space="preserve">  Entrada APA 7:</w:t>
      </w:r>
    </w:p>
    <w:p>
      <w:pPr>
        <w:overflowPunct w:val="false"/>
        <w:bidi w:val="0"/>
        <w:rPr/>
      </w:pPr>
      <w:r>
        <w:rPr>
          <w:lang w:val="pt-PT"/>
        </w:rPr>
      </w:r>
    </w:p>
    <w:p>
      <w:pPr>
        <w:overflowPunct w:val="false"/>
        <w:bidi w:val="0"/>
        <w:rPr/>
      </w:pPr>
      <w:r>
        <w:rPr>
          <w:lang w:val="pt-PT"/>
        </w:rPr>
        <w:t xml:space="preserve">  Brack, R., &amp; Amalu, E. H. (2021). A review of technology, materials and R&amp;D challenges of upper limb prosthesis for improved user suitability. Journal of</w:t>
      </w:r>
    </w:p>
    <w:p>
      <w:pPr>
        <w:overflowPunct w:val="false"/>
        <w:bidi w:val="0"/>
        <w:rPr/>
      </w:pPr>
      <w:r>
        <w:rPr>
          <w:lang w:val="pt-PT"/>
        </w:rPr>
        <w:t xml:space="preserve">  Orthopaedics, 23, 88–96. https://doi.org/10.1016/j.jor.2020.12.009</w:t>
      </w:r>
    </w:p>
    <w:p>
      <w:pPr>
        <w:overflowPunct w:val="false"/>
        <w:bidi w:val="0"/>
        <w:rPr/>
      </w:pPr>
      <w:r>
        <w:rPr>
          <w:lang w:val="pt-PT"/>
        </w:rPr>
      </w:r>
    </w:p>
  </w:comment>
  <w:comment w:id="1" w:author="Unknown Author" w:date="2026-06-30T20:08:54Z" w:initials="">
    <w:p>
      <w:pPr>
        <w:overflowPunct w:val="false"/>
        <w:bidi w:val="0"/>
        <w:rPr/>
      </w:pPr>
      <w:r>
        <w:annotationRef/>
      </w:r>
      <w:r>
        <w:rPr>
          <w:lang w:val="pt-PT"/>
        </w:rPr>
        <w:t>Meter a norma na bibliografia</w:t>
      </w:r>
    </w:p>
  </w:comment>
  <w:comment w:id="2" w:author="Unknown Author" w:date="2026-06-30T20:17:49Z" w:initials="">
    <w:p>
      <w:pPr>
        <w:overflowPunct w:val="false"/>
        <w:bidi w:val="0"/>
        <w:rPr/>
      </w:pPr>
      <w:r>
        <w:annotationRef/>
      </w:r>
      <w:r>
        <w:rPr>
          <w:lang w:val="pt-PT"/>
        </w:rPr>
        <w:t>Quem diz?</w:t>
      </w:r>
    </w:p>
    <w:p>
      <w:pPr>
        <w:overflowPunct w:val="false"/>
        <w:bidi w:val="0"/>
        <w:rPr/>
      </w:pPr>
      <w:r>
        <w:rPr>
          <w:lang w:val="pt-PT"/>
        </w:rPr>
      </w:r>
    </w:p>
    <w:p>
      <w:pPr>
        <w:overflowPunct w:val="false"/>
        <w:bidi w:val="0"/>
        <w:rPr/>
      </w:pPr>
      <w:r>
        <w:rPr>
          <w:lang w:val="pt-PT"/>
        </w:rPr>
        <w:t xml:space="preserve"> Privitera, M. (2017). Designing industrial design in the highly regulated medical device development process: Defining our valuable contribution towards</w:t>
      </w:r>
    </w:p>
    <w:p>
      <w:pPr>
        <w:overflowPunct w:val="false"/>
        <w:bidi w:val="0"/>
        <w:rPr/>
      </w:pPr>
      <w:r>
        <w:rPr>
          <w:lang w:val="pt-PT"/>
        </w:rPr>
        <w:t xml:space="preserve">  usability. The Design Journal, 20(sup1), S2190–S2206. https://doi.org/10.1080/14606925.2017.1352735</w:t>
      </w:r>
    </w:p>
    <w:p>
      <w:pPr>
        <w:overflowPunct w:val="false"/>
        <w:bidi w:val="0"/>
        <w:rPr/>
      </w:pPr>
      <w:r>
        <w:rPr>
          <w:lang w:val="pt-PT"/>
        </w:rPr>
      </w:r>
    </w:p>
    <w:p>
      <w:pPr>
        <w:overflowPunct w:val="false"/>
        <w:bidi w:val="0"/>
        <w:rPr/>
      </w:pPr>
      <w:r>
        <w:rPr>
          <w:lang w:val="pt-PT"/>
        </w:rPr>
        <w:t xml:space="preserve">  Oldfrey, B. M., et al. (2024). A scoping review of digital fabrication techniques applied to prosthetics and orthotics: Part 1 of 2: Prosthetics. Prosthetics and</w:t>
      </w:r>
    </w:p>
    <w:p>
      <w:pPr>
        <w:overflowPunct w:val="false"/>
        <w:bidi w:val="0"/>
        <w:rPr/>
      </w:pPr>
      <w:r>
        <w:rPr>
          <w:lang w:val="pt-PT"/>
        </w:rPr>
        <w:t xml:space="preserve">  Orthotics International, 48, 574–589. https://doi.org/10.1097/PXR.0000000000000351</w:t>
      </w:r>
    </w:p>
    <w:p>
      <w:pPr>
        <w:overflowPunct w:val="false"/>
        <w:bidi w:val="0"/>
        <w:rPr/>
      </w:pPr>
      <w:r>
        <w:rPr>
          <w:lang w:val="pt-PT"/>
        </w:rPr>
      </w:r>
    </w:p>
    <w:p>
      <w:pPr>
        <w:overflowPunct w:val="false"/>
        <w:bidi w:val="0"/>
        <w:rPr/>
      </w:pPr>
      <w:r>
        <w:rPr>
          <w:lang w:val="pt-PT"/>
        </w:rPr>
        <w:t xml:space="preserve">  Mc Guinness, E., Patel, D., Patrick, M., &amp; Austin, V. (2025). Outcomes of assistive technology use by sex and gender: A scoping review. Disability and</w:t>
      </w:r>
    </w:p>
    <w:p>
      <w:pPr>
        <w:overflowPunct w:val="false"/>
        <w:bidi w:val="0"/>
        <w:rPr/>
      </w:pPr>
      <w:r>
        <w:rPr>
          <w:lang w:val="pt-PT"/>
        </w:rPr>
        <w:t xml:space="preserve">  Rehabilitation: Assistive Technology, 20(8), 2666–2690. https://doi.org/10.1080/17483107.2025.2516615</w:t>
      </w:r>
    </w:p>
    <w:p>
      <w:pPr>
        <w:overflowPunct w:val="false"/>
        <w:bidi w:val="0"/>
        <w:rPr/>
      </w:pPr>
      <w:r>
        <w:rPr>
          <w:lang w:val="pt-PT"/>
        </w:rPr>
      </w:r>
    </w:p>
  </w:comment>
  <w:comment w:id="3" w:author="Unknown Author" w:date="2026-07-01T19:07:33Z" w:initials="">
    <w:p>
      <w:pPr>
        <w:overflowPunct w:val="true"/>
        <w:bidi w:val="0"/>
        <w:rPr/>
      </w:pPr>
      <w:r>
        <w:annotationRef/>
      </w:r>
      <w:r>
        <w:rPr>
          <w:lang w:val="pt-PT"/>
        </w:rPr>
        <w:t>Precisas de definir o meta design</w:t>
      </w:r>
    </w:p>
  </w:comment>
  <w:comment w:id="4" w:author="Unknown Author" w:date="2026-07-01T19:08:06Z" w:initials="">
    <w:p>
      <w:pPr>
        <w:overflowPunct w:val="true"/>
        <w:bidi w:val="0"/>
        <w:rPr/>
      </w:pPr>
      <w:r>
        <w:annotationRef/>
      </w:r>
      <w:r>
        <w:rPr>
          <w:lang w:val="pt-PT"/>
        </w:rPr>
        <w:t>Tens que desenvolver isto pare perceber seisto faz sentido de estar aqui ou se cortamos</w:t>
      </w:r>
    </w:p>
  </w:comment>
  <w:comment w:id="5" w:author="Unknown Author" w:date="2026-07-01T20:43:47Z" w:initials="">
    <w:p>
      <w:pPr>
        <w:overflowPunct w:val="true"/>
        <w:bidi w:val="0"/>
        <w:rPr/>
      </w:pPr>
      <w:r>
        <w:annotationRef/>
      </w:r>
      <w:r>
        <w:rPr>
          <w:lang w:val="pt-PT"/>
        </w:rPr>
        <w:t>É a primeira vez que estás a falar sobre isto. É preciso referir e explicar algures antes deste ponto o que é a Vitoria Hand Project e Já agora a E-Nabled</w:t>
      </w:r>
    </w:p>
    <w:p>
      <w:pPr>
        <w:overflowPunct w:val="true"/>
        <w:bidi w:val="0"/>
        <w:rPr/>
      </w:pPr>
      <w:r>
        <w:rPr>
          <w:lang w:val="pt-PT"/>
        </w:rPr>
      </w:r>
    </w:p>
    <w:p>
      <w:pPr>
        <w:overflowPunct w:val="true"/>
        <w:bidi w:val="0"/>
        <w:rPr/>
      </w:pPr>
      <w:r>
        <w:rPr>
          <w:lang w:val="pt-PT"/>
        </w:rPr>
        <w:t>Aqui temos que introduzir um screenshot do sistema do victoria hand no f3s</w:t>
      </w:r>
    </w:p>
  </w:comment>
  <w:comment w:id="6" w:author="Unknown Author" w:date="2026-07-02T17:25:21Z" w:initials="">
    <w:p>
      <w:pPr>
        <w:overflowPunct w:val="true"/>
        <w:bidi w:val="0"/>
        <w:rPr/>
      </w:pPr>
      <w:r>
        <w:annotationRef/>
      </w:r>
      <w:r>
        <w:rPr>
          <w:lang w:val="pt-PT"/>
        </w:rPr>
        <w:t>Podemos adicionar aquele gráfico todo bonito que fizeste antes.</w:t>
      </w:r>
    </w:p>
  </w:comment>
  <w:comment w:id="7" w:author="Unknown Author" w:date="2026-07-02T17:57:37Z" w:initials="">
    <w:p>
      <w:pPr>
        <w:overflowPunct w:val="true"/>
        <w:bidi w:val="0"/>
        <w:rPr/>
      </w:pPr>
      <w:r>
        <w:annotationRef/>
      </w:r>
      <w:r>
        <w:rPr>
          <w:lang w:val="pt-PT"/>
        </w:rPr>
        <w:t>Aqui é que podemos meter o nosso gráfico bonitolas</w:t>
      </w:r>
    </w:p>
  </w:comment>
  <w:comment w:id="8" w:author="Unknown Author" w:date="2026-07-02T18:05:03Z" w:initials="">
    <w:p>
      <w:pPr>
        <w:overflowPunct w:val="true"/>
        <w:bidi w:val="0"/>
        <w:rPr/>
      </w:pPr>
      <w:r>
        <w:annotationRef/>
      </w:r>
      <w:r>
        <w:rPr>
          <w:lang w:val="pt-PT"/>
        </w:rPr>
        <w:t>Falo disto? Acho que não faço em PLA e PETG</w:t>
      </w:r>
    </w:p>
  </w:comment>
  <w:comment w:id="9" w:author="Unknown Author" w:date="2026-07-03T19:16:18Z" w:initials="">
    <w:p>
      <w:pPr>
        <w:overflowPunct w:val="false"/>
        <w:rPr/>
      </w:pPr>
      <w:r>
        <w:annotationRef/>
      </w:r>
      <w:r>
        <w:rPr>
          <w:lang w:val="pt-PT"/>
        </w:rPr>
        <w:t>Isto é a primeira vez que estás a falar do Openscad</w:t>
      </w:r>
    </w:p>
  </w:comment>
  <w:comment w:id="10" w:author="Unknown Author" w:date="2026-07-03T19:16:31Z" w:initials="">
    <w:p>
      <w:pPr>
        <w:overflowPunct w:val="false"/>
        <w:rPr/>
      </w:pPr>
      <w:r>
        <w:annotationRef/>
      </w:r>
      <w:r>
        <w:rPr>
          <w:lang w:val="pt-PT"/>
        </w:rPr>
        <w:t>É preciso dizer o que é STL e 3MF</w:t>
      </w:r>
    </w:p>
  </w:comment>
  <w:comment w:id="11" w:author="Unknown Author" w:date="2026-07-03T13:45:05Z" w:initials="">
    <w:p>
      <w:pPr>
        <w:overflowPunct w:val="true"/>
        <w:bidi w:val="0"/>
        <w:rPr/>
      </w:pPr>
      <w:r>
        <w:annotationRef/>
      </w:r>
      <w:r>
        <w:rPr>
          <w:lang w:val="pt-PT"/>
        </w:rPr>
        <w:t>Estás a entrar em modo repetição outra vez.</w:t>
      </w:r>
    </w:p>
  </w:comment>
  <w:comment w:id="12"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13" w:author="Unknown Author" w:date="2026-07-04T13:27:11Z" w:initials="">
    <w:p>
      <w:pPr>
        <w:overflowPunct w:val="false"/>
        <w:rPr/>
      </w:pPr>
      <w:r>
        <w:annotationRef/>
      </w:r>
      <w:r>
        <w:rPr>
          <w:lang w:val="pt-PT"/>
        </w:rPr>
        <w:t>Meter aqui umas imagens!</w:t>
      </w:r>
    </w:p>
  </w:comment>
  <w:comment w:id="14" w:author="Unknown Author" w:date="2026-07-04T15:20:50Z" w:initials="">
    <w:p>
      <w:pPr>
        <w:overflowPunct w:val="false"/>
        <w:rPr/>
      </w:pPr>
      <w:r>
        <w:annotationRef/>
      </w:r>
      <w:r>
        <w:rPr>
          <w:lang w:val="pt-PT"/>
        </w:rPr>
        <w:t>Vamos meter aqui uma imagem</w:t>
      </w:r>
    </w:p>
  </w:comment>
  <w:comment w:id="15" w:author="Unknown Author" w:date="2026-07-04T18:35:39Z" w:initials="">
    <w:p>
      <w:pPr>
        <w:overflowPunct w:val="false"/>
        <w:rPr/>
      </w:pPr>
      <w:r>
        <w:annotationRef/>
      </w:r>
      <w:r>
        <w:rPr>
          <w:lang w:val="pt-PT"/>
        </w:rPr>
        <w:t>Não te esqueças de adicionar ao indice estas siglas.</w:t>
      </w:r>
    </w:p>
  </w:comment>
  <w:comment w:id="16" w:author="Unknown Author" w:date="2026-07-05T12:17:34Z" w:initials="">
    <w:p>
      <w:pPr>
        <w:overflowPunct w:val="false"/>
        <w:rPr/>
      </w:pPr>
      <w:r>
        <w:annotationRef/>
      </w:r>
      <w:r>
        <w:rPr>
          <w:lang w:val="pt-PT"/>
        </w:rPr>
        <w:t>negação</w:t>
      </w:r>
    </w:p>
  </w:comment>
  <w:comment w:id="17" w:author="Unknown Author" w:date="2026-07-04T18:49:44Z" w:initials="">
    <w:p>
      <w:pPr>
        <w:overflowPunct w:val="false"/>
        <w:bidi w:val="0"/>
        <w:spacing w:before="0" w:after="0"/>
        <w:jc w:val="left"/>
        <w:rPr/>
      </w:pPr>
      <w:r>
        <w:annotationRef/>
      </w:r>
      <w:r>
        <w:rPr>
          <w:rFonts w:eastAsia="Noto Serif CJK SC" w:cs="Calibri" w:ascii="Calibri" w:hAnsi="Calibri"/>
          <w:color w:val="auto"/>
          <w:kern w:val="0"/>
          <w:sz w:val="22"/>
          <w:szCs w:val="22"/>
          <w:lang w:val="pt-PT" w:eastAsia="zh-CN" w:bidi="en-US"/>
        </w:rPr>
        <w:t>¹ Entende-se por proxy seguro uma camada intermédia de comunicação que permite ao servidor gerir os pedidos enviados a serviços externos, protegendo credenciais sensíveis, controlando o acesso e reduzindo a exposição direta da aplicação a sistemas externos.</w:t>
      </w:r>
    </w:p>
    <w:p>
      <w:pPr>
        <w:overflowPunct w:val="false"/>
        <w:bidi w:val="0"/>
        <w:spacing w:before="0" w:after="0"/>
        <w:jc w:val="left"/>
        <w:rPr/>
      </w:pPr>
      <w:r>
        <w:rPr>
          <w:lang w:val="pt-PT"/>
        </w:rPr>
      </w:r>
    </w:p>
    <w:p>
      <w:pPr>
        <w:overflowPunct w:val="false"/>
        <w:bidi w:val="0"/>
        <w:spacing w:before="0" w:after="0"/>
        <w:jc w:val="left"/>
        <w:rPr/>
      </w:pPr>
      <w:r>
        <w:rPr>
          <w:rFonts w:eastAsia="Noto Serif CJK SC" w:cs="Calibri" w:ascii="Calibri" w:hAnsi="Calibri"/>
          <w:color w:val="auto"/>
          <w:kern w:val="0"/>
          <w:sz w:val="22"/>
          <w:szCs w:val="22"/>
          <w:lang w:val="pt-PT" w:eastAsia="zh-CN" w:bidi="en-US"/>
        </w:rPr>
        <w:t>Já escrevemos proxy antes.</w:t>
      </w:r>
    </w:p>
  </w:comment>
  <w:comment w:id="18" w:author="Unknown Author" w:date="2026-07-04T18:51:43Z" w:initials="">
    <w:p>
      <w:pPr>
        <w:overflowPunct w:val="false"/>
        <w:rPr/>
      </w:pPr>
      <w:r>
        <w:annotationRef/>
      </w:r>
      <w:r>
        <w:rPr>
          <w:lang w:val="pt-PT"/>
        </w:rPr>
        <w:t>Faz sentido integrar uma parte sobre a E-nable e os modelos deles.</w:t>
      </w:r>
    </w:p>
  </w:comment>
  <w:comment w:id="19" w:author="Unknown Author" w:date="2026-07-04T18:53:29Z" w:initials="">
    <w:p>
      <w:pPr>
        <w:overflowPunct w:val="false"/>
        <w:rPr/>
      </w:pPr>
      <w:r>
        <w:annotationRef/>
      </w:r>
      <w:r>
        <w:rPr>
          <w:lang w:val="pt-PT"/>
        </w:rPr>
        <w:t>Parametros de hardware</w:t>
      </w:r>
    </w:p>
  </w:comment>
  <w:comment w:id="20" w:author="Unknown Author" w:date="2026-07-04T19:12:30Z" w:initials="">
    <w:p>
      <w:pPr>
        <w:overflowPunct w:val="false"/>
        <w:rPr/>
      </w:pPr>
      <w:r>
        <w:annotationRef/>
      </w:r>
      <w:r>
        <w:rPr>
          <w:lang w:val="pt-PT"/>
        </w:rPr>
        <w:t>Adicionar ao indice</w:t>
      </w:r>
    </w:p>
  </w:comment>
  <w:comment w:id="21" w:author="Unknown Author" w:date="2026-07-04T21:37:44Z" w:initials="">
    <w:p>
      <w:pPr>
        <w:overflowPunct w:val="false"/>
        <w:rPr/>
      </w:pPr>
      <w:r>
        <w:annotationRef/>
      </w:r>
      <w:r>
        <w:rPr>
          <w:lang w:val="pt-PT"/>
        </w:rPr>
        <w:t>Isto está no indice? Vai lá ver</w:t>
      </w:r>
    </w:p>
  </w:comment>
  <w:comment w:id="22" w:author="Unknown Author" w:date="2026-07-05T12:22:53Z" w:initials="">
    <w:p>
      <w:pPr>
        <w:overflowPunct w:val="false"/>
        <w:rPr/>
      </w:pPr>
      <w:r>
        <w:annotationRef/>
      </w:r>
      <w:r>
        <w:rPr>
          <w:lang w:val="pt-PT"/>
        </w:rPr>
        <w:t>Não esquecer de meter no índice</w:t>
      </w:r>
    </w:p>
  </w:comment>
  <w:comment w:id="23" w:author="Unknown Author" w:date="2026-07-05T12:26:47Z" w:initials="">
    <w:p>
      <w:pPr>
        <w:overflowPunct w:val="false"/>
        <w:rPr/>
      </w:pPr>
      <w:r>
        <w:annotationRef/>
      </w:r>
      <w:r>
        <w:rPr>
          <w:lang w:val="pt-PT"/>
        </w:rPr>
        <w:t>Adicionar uma nota a explicar e adicionar no indice a sigla</w:t>
      </w:r>
    </w:p>
  </w:comment>
  <w:comment w:id="24" w:author="Unknown Author" w:date="2026-07-05T14:28:24Z" w:initials="">
    <w:p>
      <w:pPr>
        <w:overflowPunct w:val="true"/>
        <w:rPr/>
      </w:pPr>
      <w:r>
        <w:annotationRef/>
      </w:r>
      <w:r>
        <w:rPr>
          <w:lang w:val="pt-PT"/>
        </w:rPr>
        <w:t>Isto é uma repetição</w:t>
      </w:r>
    </w:p>
  </w:comment>
  <w:comment w:id="25" w:author="Unknown Author" w:date="2026-07-05T14:29:31Z" w:initials="">
    <w:p>
      <w:pPr>
        <w:overflowPunct w:val="true"/>
        <w:rPr/>
      </w:pPr>
      <w:r>
        <w:annotationRef/>
      </w:r>
      <w:r>
        <w:rPr>
          <w:lang w:val="pt-PT"/>
        </w:rPr>
        <w:t>Inserir notas de rodapé</w:t>
      </w:r>
    </w:p>
  </w:comment>
  <w:comment w:id="26" w:author="Unknown Author" w:date="2026-07-05T15:25:09Z" w:initials="">
    <w:p>
      <w:pPr>
        <w:overflowPunct w:val="true"/>
        <w:rPr/>
      </w:pPr>
      <w:r>
        <w:annotationRef/>
      </w:r>
      <w:r>
        <w:rPr>
          <w:lang w:val="pt-PT"/>
        </w:rPr>
        <w:t>Inserir um comentário</w:t>
      </w:r>
    </w:p>
  </w:comment>
  <w:comment w:id="27" w:author="Unknown Author" w:date="2026-07-05T16:14:55Z" w:initials="">
    <w:p>
      <w:pPr>
        <w:overflowPunct w:val="true"/>
        <w:rPr/>
      </w:pPr>
      <w:r>
        <w:annotationRef/>
      </w:r>
      <w:r>
        <w:rPr>
          <w:lang w:val="pt-PT"/>
        </w:rPr>
        <w:t>Se calhar introduzir uma tabela com os prompts</w:t>
      </w:r>
    </w:p>
  </w:comment>
  <w:comment w:id="28" w:author="Unknown Author" w:date="2026-07-05T17:43:41Z" w:initials="">
    <w:p>
      <w:pPr>
        <w:overflowPunct w:val="false"/>
        <w:rPr/>
      </w:pPr>
      <w:r>
        <w:annotationRef/>
      </w:r>
      <w:r>
        <w:rPr>
          <w:lang w:val="pt-PT"/>
        </w:rPr>
        <w:t>Introduzir aqui uma tabela com valores</w:t>
      </w:r>
    </w:p>
  </w:comment>
  <w:comment w:id="29" w:author="Unknown Author" w:date="2026-07-05T19:22:29Z" w:initials="">
    <w:p>
      <w:pPr>
        <w:overflowPunct w:val="false"/>
        <w:rPr/>
      </w:pPr>
      <w:r>
        <w:annotationRef/>
      </w:r>
      <w:r>
        <w:rPr>
          <w:lang w:val="pt-PT"/>
        </w:rPr>
        <w:t>indice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Propriocepção designa a perceção corporal da posição, movimento e esforço dos segmentos do corpo. Em próteses acionadas pelo corpo, o feedback proprioceptivo indireto decorre da tensão transmitida pelo sistema de cabos e arnês, ajudando o utilizador a interpretar o comportamento do dispositivo.</w:t>
      </w:r>
    </w:p>
  </w:footnote>
  <w:footnote w:id="3">
    <w:p>
      <w:pPr>
        <w:pStyle w:val="FootnoteText"/>
        <w:rPr/>
      </w:pPr>
      <w:r>
        <w:rPr>
          <w:rStyle w:val="FootnoteCharacters"/>
        </w:rPr>
        <w:footnoteRef/>
      </w:r>
      <w:r>
        <w:rPr/>
      </w:r>
    </w:p>
  </w:footnote>
  <w:footnote w:id="4">
    <w:p>
      <w:pPr>
        <w:pStyle w:val="FootnoteText"/>
        <w:rPr/>
      </w:pPr>
      <w:r>
        <w:rPr>
          <w:rStyle w:val="FootnoteCharacters"/>
        </w:rPr>
        <w:footnoteRef/>
      </w:r>
      <w:r>
        <w:rPr/>
        <w:t xml:space="preserve"> </w:t>
      </w:r>
      <w:r>
        <w:rPr/>
        <w:t>PRISMA corresponde a Preferred Reporting Items for Systematic Reviews and Meta Analyses, um conjunto de orientações para a elaboração e apresentação transparente de revisões sistemáticas e meta-análises.</w:t>
      </w:r>
    </w:p>
  </w:footnote>
  <w:footnote w:id="5">
    <w:p>
      <w:pPr>
        <w:pStyle w:val="FootnoteText"/>
        <w:rPr/>
      </w:pPr>
      <w:r>
        <w:rPr>
          <w:rStyle w:val="FootnoteCharacters"/>
        </w:rPr>
        <w:footnoteRef/>
      </w:r>
      <w:r>
        <w:rPr/>
        <w:t xml:space="preserve"> </w:t>
      </w:r>
      <w:r>
        <w:rPr/>
        <w:t xml:space="preserve">Por </w:t>
      </w:r>
      <w:r>
        <w:rPr>
          <w:rStyle w:val="Emphasis"/>
        </w:rPr>
        <w:t>seed design</w:t>
      </w:r>
      <w:r>
        <w:rPr/>
        <w:t xml:space="preserve"> entende-se um modelo inicial de projeto concebido como base reutilizável para a geração de variantes. Em sistemas paramétricos, este modelo preserva uma estrutura formal e construtiva estável, mas permite ajustamentos controlados através da alteração de parâmetros previamente definidos, funcionando como ponto de partida para processos de personalização ou customização.</w:t>
      </w:r>
    </w:p>
  </w:footnote>
  <w:footnote w:id="6">
    <w:p>
      <w:pPr>
        <w:pStyle w:val="FootnoteText"/>
        <w:rPr/>
      </w:pPr>
      <w:r>
        <w:rPr>
          <w:rStyle w:val="FootnoteCharacters"/>
        </w:rPr>
        <w:footnoteRef/>
      </w:r>
      <w:r>
        <w:rPr/>
        <w:t xml:space="preserve"> </w:t>
      </w:r>
      <w:r>
        <w:rPr>
          <w:rStyle w:val="Emphasis"/>
        </w:rPr>
        <w:t>File-to-factory</w:t>
      </w:r>
      <w:r>
        <w:rPr/>
        <w:t xml:space="preserve"> refere-se ao fluxo direto que liga o ficheiro digital à produção física do objeto, geralmente através de formatos compatíveis com fabrico digital, como STL ou 3MF, reduzindo etapas intermédias de redesenho manual.</w:t>
      </w:r>
    </w:p>
  </w:footnote>
  <w:footnote w:id="7">
    <w:p>
      <w:pPr>
        <w:pStyle w:val="FootnoteText"/>
        <w:rPr/>
      </w:pPr>
      <w:r>
        <w:rPr>
          <w:rStyle w:val="FootnoteCharacters"/>
        </w:rPr>
        <w:footnoteRef/>
      </w:r>
      <w:r>
        <w:rPr/>
        <w:t xml:space="preserve"> </w:t>
      </w:r>
      <w:r>
        <w:rPr/>
        <w:t>A fronteira de Pareto corresponde ao conjunto de soluções em que não é possível melhorar um critério, como peso, custo ou tempo de fabrico, sem piorar pelo menos outro, como resistência, durabilidade ou desempenho funcional. Em processos de otimização multiobjetivo, esta fronteira permite analisar compromissos entre critérios concorrentes</w:t>
      </w:r>
    </w:p>
  </w:footnote>
  <w:footnote w:id="8">
    <w:p>
      <w:pPr>
        <w:pStyle w:val="FootnoteText"/>
        <w:rPr/>
      </w:pPr>
      <w:r>
        <w:rPr>
          <w:rStyle w:val="FootnoteCharacters"/>
        </w:rPr>
        <w:footnoteRef/>
      </w:r>
      <w:r>
        <w:rPr/>
        <w:t xml:space="preserve"> </w:t>
      </w:r>
      <w:r>
        <w:rPr/>
        <w:t>A modelação estatística de forma consiste na análise de variações geométricas entre diferentes anatomias, permitindo identificar padrões recorrentes e estimar formas prováveis a partir de dados incompletos ou parciais.</w:t>
      </w:r>
    </w:p>
  </w:footnote>
  <w:footnote w:id="9">
    <w:p>
      <w:pPr>
        <w:pStyle w:val="FootnoteText"/>
        <w:rPr/>
      </w:pPr>
      <w:r>
        <w:rPr>
          <w:rStyle w:val="FootnoteCharacters"/>
        </w:rPr>
        <w:footnoteRef/>
      </w:r>
      <w:r>
        <w:rPr/>
        <w:t xml:space="preserve"> </w:t>
      </w:r>
      <w:r>
        <w:rP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10">
    <w:p>
      <w:pPr>
        <w:pStyle w:val="FootnoteText"/>
        <w:rPr/>
      </w:pPr>
      <w:r>
        <w:rPr>
          <w:rStyle w:val="FootnoteCharacters"/>
        </w:rPr>
        <w:footnoteRef/>
      </w:r>
      <w:r>
        <w:rPr/>
        <w:t xml:space="preserve"> </w:t>
      </w:r>
      <w:r>
        <w:rPr/>
        <w:t>Redes neuronais artificiais são modelos computacionais compostos por camadas de unidades interligadas, que ajustam os seus parâmetros internos durante o treino para identificar padrões nos dados.</w:t>
      </w:r>
    </w:p>
  </w:footnote>
  <w:footnote w:id="11">
    <w:p>
      <w:pPr>
        <w:pStyle w:val="FootnoteText"/>
        <w:rPr/>
      </w:pPr>
      <w:r>
        <w:rPr>
          <w:rStyle w:val="FootnoteCharacters"/>
        </w:rPr>
        <w:footnoteRef/>
      </w:r>
      <w:r>
        <w:rPr/>
        <w:t xml:space="preserve"> </w:t>
      </w:r>
      <w:r>
        <w:rPr/>
        <w:t xml:space="preserve">Em sistemas de IA generativa, um </w:t>
      </w:r>
      <w:r>
        <w:rPr>
          <w:rStyle w:val="Emphasis"/>
        </w:rPr>
        <w:t>prompt</w:t>
      </w:r>
      <w:r>
        <w:rPr/>
        <w:t xml:space="preserve"> corresponde à instrução, pergunta ou conjunto de condições fornecido pelo utilizador para orientar a resposta do modelo. Pode incluir texto, parâmetros, exemplos, restrições ou descrições do resultado pretendido</w:t>
      </w:r>
    </w:p>
  </w:footnote>
  <w:footnote w:id="12">
    <w:p>
      <w:pPr>
        <w:pStyle w:val="FootnoteText"/>
        <w:rPr/>
      </w:pPr>
      <w:r>
        <w:rPr>
          <w:rStyle w:val="FootnoteCharacters"/>
        </w:rPr>
        <w:footnoteRef/>
      </w:r>
      <w:r>
        <w:rPr/>
        <w:t xml:space="preserve"> </w:t>
      </w:r>
      <w:r>
        <w:rPr/>
        <w:t xml:space="preserve">Um </w:t>
      </w:r>
      <w:r>
        <w:rPr>
          <w:rStyle w:val="Emphasis"/>
        </w:rPr>
        <w:t>digital twin</w:t>
      </w:r>
      <w:r>
        <w:rP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3">
    <w:p>
      <w:pPr>
        <w:pStyle w:val="FootnoteText"/>
        <w:rPr/>
      </w:pPr>
      <w:r>
        <w:rPr>
          <w:rStyle w:val="FootnoteCharacters"/>
        </w:rPr>
        <w:footnoteRef/>
      </w:r>
      <w:r>
        <w:rPr/>
        <w:t xml:space="preserve"> </w:t>
      </w:r>
      <w:r>
        <w:rPr/>
        <w:t xml:space="preserve">O </w:t>
      </w:r>
      <w:r>
        <w:rPr>
          <w:rStyle w:val="Emphasis"/>
        </w:rPr>
        <w:t>Technology Readiness Level</w:t>
      </w:r>
      <w:r>
        <w:rPr/>
        <w:t xml:space="preserve"> (TRL) é uma escala de maturidade tecnológica, normalmente composta por nove níveis, que permite avaliar o desenvolvimento de uma tecnologia desde a formulação conceptual até à sua demonstração e aplicação em contexto real.</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mphasis">
    <w:name w:val="Emphasis"/>
    <w:qFormat/>
    <w:rPr>
      <w:i/>
      <w:iCs/>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hyperlink" Target="https://www.mdpi.com/2673-1592/7/2/26/pdf?version=1740996517"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www.semanticscholar.org/paper/305d55af5fda06b4d1b33e7d29c1f16d1b7ea488" TargetMode="External"/><Relationship Id="rId14" Type="http://schemas.openxmlformats.org/officeDocument/2006/relationships/hyperlink" Target="https://www.semanticscholar.org/paper/305d55af5fda06b4d1b33e7d29c1f16d1b7ea488" TargetMode="Externa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yperlink" Target="https://doi.org/10.1109/BioRob60516.2024.10719909" TargetMode="External"/><Relationship Id="rId20" Type="http://schemas.openxmlformats.org/officeDocument/2006/relationships/image" Target="media/image13.png"/><Relationship Id="rId21" Type="http://schemas.openxmlformats.org/officeDocument/2006/relationships/hyperlink" Target="https://doi.org/10.1115/DETC2018-85645" TargetMode="External"/><Relationship Id="rId22" Type="http://schemas.openxmlformats.org/officeDocument/2006/relationships/image" Target="media/image14.png"/><Relationship Id="rId23" Type="http://schemas.openxmlformats.org/officeDocument/2006/relationships/hyperlink" Target="https://doi.org/10.1109/BioRob60516.2024.10719909" TargetMode="Externa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yperlink" Target="https://doi.org/10.1088/1742-6596/2198/1/012040" TargetMode="External"/><Relationship Id="rId27" Type="http://schemas.openxmlformats.org/officeDocument/2006/relationships/image" Target="media/image17.png"/><Relationship Id="rId28" Type="http://schemas.openxmlformats.org/officeDocument/2006/relationships/hyperlink" Target="https://doi.org/10.1080/17483107.2025.2483953" TargetMode="External"/><Relationship Id="rId29" Type="http://schemas.openxmlformats.org/officeDocument/2006/relationships/image" Target="media/image18.png"/><Relationship Id="rId30" Type="http://schemas.openxmlformats.org/officeDocument/2006/relationships/hyperlink" Target="https://doi.org/10.1016/j.inffus.2019.12.012" TargetMode="External"/><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footnotes" Target="footnotes.xml"/><Relationship Id="rId34" Type="http://schemas.openxmlformats.org/officeDocument/2006/relationships/comments" Target="comment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4081</TotalTime>
  <Application>LibreOffice/26.2.4.2$Linux_X86_64 LibreOffice_project/3346a99e6b841765b75a9b29714a5b95c6761ce3</Application>
  <AppVersion>15.0000</AppVersion>
  <Pages>132</Pages>
  <Words>46922</Words>
  <Characters>296986</Characters>
  <CharactersWithSpaces>342548</CharactersWithSpaces>
  <Paragraphs>1485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2026-07-07T21:59:20Z</dcterms:modified>
  <cp:revision>88</cp:revision>
  <dc:subject/>
  <dc:title>projecto-completo</dc:title>
</cp:coreProperties>
</file>

<file path=docProps/custom.xml><?xml version="1.0" encoding="utf-8"?>
<Properties xmlns="http://schemas.openxmlformats.org/officeDocument/2006/custom-properties" xmlns:vt="http://schemas.openxmlformats.org/officeDocument/2006/docPropsVTypes"/>
</file>