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document.xml" ContentType="application/vnd.openxmlformats-officedocument.wordprocessingml.document.main+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lang w:val="pt-PT"/>
        </w:rPr>
      </w:pPr>
      <w:r>
        <w:rPr>
          <w:lang w:val="pt-PT"/>
        </w:rPr>
        <w:t>Projecto completo</w:t>
      </w:r>
    </w:p>
    <w:p>
      <w:pPr>
        <w:pStyle w:val="Normal"/>
        <w:bidi w:val="0"/>
        <w:jc w:val="left"/>
        <w:rPr>
          <w:lang w:val="pt-PT"/>
        </w:rPr>
      </w:pPr>
      <w:r>
        <w:rPr>
          <w:lang w:val="pt-PT"/>
        </w:rPr>
        <w:t>Versão do documento:0.4.12</w:t>
      </w:r>
    </w:p>
    <w:p>
      <w:pPr>
        <w:pStyle w:val="Normal"/>
        <w:bidi w:val="0"/>
        <w:jc w:val="left"/>
        <w:rPr>
          <w:lang w:val="pt-PT"/>
        </w:rPr>
      </w:pPr>
      <w:r>
        <w:rPr>
          <w:lang w:val="pt-PT"/>
        </w:rPr>
      </w:r>
    </w:p>
    <w:p>
      <w:pPr>
        <w:pStyle w:val="Normal"/>
        <w:bidi w:val="0"/>
        <w:jc w:val="left"/>
        <w:rPr>
          <w:lang w:val="pt-PT"/>
        </w:rPr>
      </w:pPr>
      <w:r>
        <w:rPr>
          <w:lang w:val="pt-PT"/>
        </w:rPr>
        <w:t>Listagem de acrónimos:</w:t>
      </w:r>
    </w:p>
    <w:p>
      <w:pPr>
        <w:pStyle w:val="Normal"/>
        <w:bidi w:val="0"/>
        <w:spacing w:before="0" w:after="283"/>
        <w:jc w:val="left"/>
        <w:rPr>
          <w:lang w:val="pt-PT"/>
        </w:rPr>
      </w:pPr>
      <w:r>
        <w:rPr>
          <w:lang w:val="pt-PT"/>
        </w:rPr>
      </w:r>
    </w:p>
    <w:p>
      <w:pPr>
        <w:pStyle w:val="BodyText"/>
        <w:rPr/>
      </w:pPr>
      <w:r>
        <w:rPr/>
        <w:t xml:space="preserve">2D - Bidimensional. </w:t>
        <w:br/>
        <w:t xml:space="preserve">3D - Tridimensional. </w:t>
        <w:br/>
        <w:t xml:space="preserve">3DP - </w:t>
      </w:r>
      <w:r>
        <w:rPr>
          <w:i/>
        </w:rPr>
        <w:t>3D Printing</w:t>
      </w:r>
      <w:r>
        <w:rPr/>
        <w:t xml:space="preserve">; impressão 3D. </w:t>
        <w:br/>
        <w:t xml:space="preserve">3MF- </w:t>
      </w:r>
      <w:r>
        <w:rPr>
          <w:i/>
        </w:rPr>
        <w:t>3D Manufacturing Format</w:t>
      </w:r>
      <w:r>
        <w:rPr/>
        <w:t>; formato de ficheiro para fabrico aditivo.</w:t>
        <w:br/>
        <w:t xml:space="preserve">ANSUR - </w:t>
      </w:r>
      <w:r>
        <w:rPr>
          <w:i/>
        </w:rPr>
        <w:t>Anthropometric Survey of U.S. Army Personnel</w:t>
      </w:r>
      <w:r>
        <w:rPr/>
        <w:t>; inquérito antropométrico do Exército dos Estados Unidos.</w:t>
        <w:br/>
        <w:t xml:space="preserve">API - </w:t>
      </w:r>
      <w:r>
        <w:rPr>
          <w:i/>
        </w:rPr>
        <w:t>Application Programming Interface</w:t>
      </w:r>
      <w:r>
        <w:rPr/>
        <w:t>; interface de programação de aplicações.</w:t>
        <w:br/>
        <w:t xml:space="preserve">CAD - </w:t>
      </w:r>
      <w:r>
        <w:rPr>
          <w:i/>
        </w:rPr>
        <w:t>Computer-Aided Design</w:t>
      </w:r>
      <w:r>
        <w:rPr/>
        <w:t xml:space="preserve">; desenho ou projeto assistido por computador. </w:t>
        <w:br/>
        <w:t xml:space="preserve">CAM - </w:t>
      </w:r>
      <w:r>
        <w:rPr>
          <w:i/>
        </w:rPr>
        <w:t>Computer-Aided Manufacturing</w:t>
      </w:r>
      <w:r>
        <w:rPr/>
        <w:t xml:space="preserve">; fabrico assistido por computador. </w:t>
        <w:br/>
        <w:t xml:space="preserve">CE - </w:t>
      </w:r>
      <w:r>
        <w:rPr>
          <w:i/>
        </w:rPr>
        <w:t>Conformité Européenne</w:t>
      </w:r>
      <w:r>
        <w:rPr/>
        <w:t xml:space="preserve">; marcação europeia de conformidade. </w:t>
        <w:br/>
        <w:t xml:space="preserve">CSG - </w:t>
      </w:r>
      <w:r>
        <w:rPr>
          <w:i/>
        </w:rPr>
        <w:t>Constructive Solid Geometry</w:t>
      </w:r>
      <w:r>
        <w:rPr/>
        <w:t xml:space="preserve">; geometria sólida construtiva. </w:t>
        <w:br/>
        <w:t xml:space="preserve">CSV - </w:t>
      </w:r>
      <w:r>
        <w:rPr>
          <w:i/>
        </w:rPr>
        <w:t>Comma-Separated Values</w:t>
      </w:r>
      <w:r>
        <w:rPr/>
        <w:t xml:space="preserve">; formato de valores separados por vírgulas. </w:t>
        <w:br/>
        <w:t xml:space="preserve">CT - </w:t>
      </w:r>
      <w:r>
        <w:rPr>
          <w:i/>
        </w:rPr>
        <w:t>Computed Tomography</w:t>
      </w:r>
      <w:r>
        <w:rPr/>
        <w:t xml:space="preserve">; tomografia computorizada. </w:t>
        <w:br/>
        <w:t xml:space="preserve">DfAM - </w:t>
      </w:r>
      <w:r>
        <w:rPr>
          <w:i/>
        </w:rPr>
        <w:t>Design for Additive Manufacturing</w:t>
      </w:r>
      <w:r>
        <w:rPr/>
        <w:t>; design para fabricação aditiva.</w:t>
        <w:br/>
        <w:t xml:space="preserve">DINED - </w:t>
      </w:r>
      <w:r>
        <w:rPr>
          <w:i/>
        </w:rPr>
        <w:t>Delft Institute of Ergonomics and Design</w:t>
      </w:r>
      <w:r>
        <w:rPr/>
        <w:t>; base de dados antropométrica da TU Delft.</w:t>
        <w:br/>
        <w:t xml:space="preserve">EMG - Eletromiografia; registo da atividade elétrica muscular. </w:t>
        <w:br/>
        <w:t xml:space="preserve">EU -  União Europeia. </w:t>
        <w:br/>
        <w:t>EUA - Estados Unidos da América.</w:t>
        <w:br/>
        <w:t>FA/FdA - Fabricação aditiva.</w:t>
        <w:br/>
        <w:t xml:space="preserve">FDA - </w:t>
      </w:r>
      <w:r>
        <w:rPr>
          <w:i/>
        </w:rPr>
        <w:t>Food and Drug Administration</w:t>
      </w:r>
      <w:r>
        <w:rPr/>
        <w:t>; agência reguladora dos Estados Unidos para alimentos, medicamentos e dispositivos médicos.</w:t>
        <w:br/>
        <w:t xml:space="preserve">FDM - </w:t>
      </w:r>
      <w:r>
        <w:rPr>
          <w:i/>
        </w:rPr>
        <w:t>Fused Deposition Modelling</w:t>
      </w:r>
      <w:r>
        <w:rPr/>
        <w:t>; modelação por deposição fundida.</w:t>
        <w:br/>
        <w:t xml:space="preserve">FEA - </w:t>
      </w:r>
      <w:r>
        <w:rPr>
          <w:i/>
        </w:rPr>
        <w:t>Finite Element Analysis</w:t>
      </w:r>
      <w:r>
        <w:rPr/>
        <w:t>; análise por elementos finitos.</w:t>
        <w:br/>
        <w:t xml:space="preserve">FEM - </w:t>
      </w:r>
      <w:r>
        <w:rPr>
          <w:i/>
        </w:rPr>
        <w:t>Finite Element Method</w:t>
      </w:r>
      <w:r>
        <w:rPr/>
        <w:t>; método dos elementos finitos.</w:t>
        <w:br/>
        <w:t xml:space="preserve">FFF - </w:t>
      </w:r>
      <w:r>
        <w:rPr>
          <w:i/>
        </w:rPr>
        <w:t>Fused Filament Fabrication</w:t>
      </w:r>
      <w:r>
        <w:rPr/>
        <w:t>; fabricação por filamento fundido.</w:t>
        <w:br/>
        <w:t xml:space="preserve">FFD - </w:t>
      </w:r>
      <w:r>
        <w:rPr>
          <w:i/>
        </w:rPr>
        <w:t>Free-Form Deformation</w:t>
      </w:r>
      <w:r>
        <w:rPr/>
        <w:t>; deformação de forma livre.</w:t>
        <w:br/>
        <w:t>GB/T - Norma nacional recomendada chinesa.</w:t>
        <w:br/>
        <w:t xml:space="preserve">HB - </w:t>
      </w:r>
      <w:r>
        <w:rPr>
          <w:i/>
        </w:rPr>
        <w:t>Hand Breadth</w:t>
      </w:r>
      <w:r>
        <w:rPr/>
        <w:t>; largura da mão.</w:t>
        <w:br/>
        <w:t xml:space="preserve">HCD - </w:t>
      </w:r>
      <w:r>
        <w:rPr>
          <w:i/>
        </w:rPr>
        <w:t>Human-Centred Design</w:t>
      </w:r>
      <w:r>
        <w:rPr/>
        <w:t>; design centrado no humano.</w:t>
        <w:br/>
        <w:t xml:space="preserve">HGD - </w:t>
      </w:r>
      <w:r>
        <w:rPr>
          <w:i/>
        </w:rPr>
        <w:t>Hand Grip Diameter</w:t>
      </w:r>
      <w:r>
        <w:rPr/>
        <w:t>; diâmetro de preensão da mão.</w:t>
        <w:br/>
        <w:t xml:space="preserve">HL - </w:t>
      </w:r>
      <w:r>
        <w:rPr>
          <w:i/>
        </w:rPr>
        <w:t>Hand Length</w:t>
      </w:r>
      <w:r>
        <w:rPr/>
        <w:t>; comprimento da mão.</w:t>
        <w:br/>
        <w:t xml:space="preserve">HTML - </w:t>
      </w:r>
      <w:r>
        <w:rPr>
          <w:i/>
        </w:rPr>
        <w:t>HyperText Markup Language</w:t>
      </w:r>
      <w:r>
        <w:rPr/>
        <w:t>; linguagem de marcação de hipertexto.</w:t>
        <w:br/>
        <w:t>IA - Inteligência Artificial.</w:t>
        <w:br/>
        <w:t xml:space="preserve">ICF - </w:t>
      </w:r>
      <w:r>
        <w:rPr>
          <w:i/>
        </w:rPr>
        <w:t>International Classification of Functioning, Disability and Health</w:t>
      </w:r>
      <w:r>
        <w:rPr/>
        <w:t>; Classificação Internacional de Funcionalidade, Incapacidade e Saúde.</w:t>
        <w:br/>
        <w:t xml:space="preserve">IEEE - </w:t>
      </w:r>
      <w:r>
        <w:rPr>
          <w:i/>
        </w:rPr>
        <w:t>Institute of Electrical and Electronics Engineers</w:t>
      </w:r>
      <w:r>
        <w:rPr/>
        <w:t>; associação técnico-científica e entidade editorial/de normalização.</w:t>
        <w:br/>
        <w:t xml:space="preserve">ISO - </w:t>
      </w:r>
      <w:r>
        <w:rPr>
          <w:i/>
        </w:rPr>
        <w:t>International Organization for Standardization</w:t>
      </w:r>
      <w:r>
        <w:rPr/>
        <w:t>; Organização Internacional de Normalização.</w:t>
        <w:br/>
        <w:t xml:space="preserve">JSON - </w:t>
      </w:r>
      <w:r>
        <w:rPr>
          <w:i/>
        </w:rPr>
        <w:t>JavaScript Object Notation</w:t>
      </w:r>
      <w:r>
        <w:rPr/>
        <w:t>; formato leve de intercâmbio de dados.</w:t>
        <w:br/>
        <w:t xml:space="preserve">JWT - </w:t>
      </w:r>
      <w:r>
        <w:rPr>
          <w:i/>
        </w:rPr>
        <w:t>JSON Web Token</w:t>
      </w:r>
      <w:r>
        <w:rPr/>
        <w:t>; token web em formato JSON para autenticação e autorização.</w:t>
        <w:br/>
        <w:t xml:space="preserve">LL - </w:t>
      </w:r>
      <w:r>
        <w:rPr>
          <w:i/>
        </w:rPr>
        <w:t>Lower Limb</w:t>
      </w:r>
      <w:r>
        <w:rPr/>
        <w:t>; membro inferior.</w:t>
        <w:br/>
        <w:t xml:space="preserve">MCP - </w:t>
      </w:r>
      <w:r>
        <w:rPr>
          <w:i/>
        </w:rPr>
        <w:t>Metacarpophalangeal</w:t>
      </w:r>
      <w:r>
        <w:rPr/>
        <w:t>; articulação metacarpofalângica.</w:t>
        <w:br/>
        <w:t xml:space="preserve">MDR - </w:t>
      </w:r>
      <w:r>
        <w:rPr>
          <w:i/>
        </w:rPr>
        <w:t>Medical Device Regulation</w:t>
      </w:r>
      <w:r>
        <w:rPr/>
        <w:t>; Regulamento Europeu dos Dispositivos Médicos.</w:t>
        <w:br/>
        <w:t xml:space="preserve">MPT - </w:t>
      </w:r>
      <w:r>
        <w:rPr>
          <w:i/>
        </w:rPr>
        <w:t>Matching Person and Technology</w:t>
      </w:r>
      <w:r>
        <w:rPr/>
        <w:t xml:space="preserve">; modelo de adequação entre pessoa e tecnologia. </w:t>
        <w:br/>
        <w:t xml:space="preserve">MRI - </w:t>
      </w:r>
      <w:r>
        <w:rPr>
          <w:i/>
        </w:rPr>
        <w:t>Magnetic Resonance Imaging</w:t>
      </w:r>
      <w:r>
        <w:rPr/>
        <w:t>; ressonância magnética.</w:t>
        <w:br/>
        <w:t xml:space="preserve">PCA - </w:t>
      </w:r>
      <w:r>
        <w:rPr>
          <w:i/>
        </w:rPr>
        <w:t>Principal Component Analysis</w:t>
      </w:r>
      <w:r>
        <w:rPr/>
        <w:t>; análise de componentes principais.</w:t>
        <w:br/>
        <w:t xml:space="preserve">PDF - </w:t>
      </w:r>
      <w:r>
        <w:rPr>
          <w:i/>
        </w:rPr>
        <w:t>Portable Document Format</w:t>
      </w:r>
      <w:r>
        <w:rPr/>
        <w:t>; formato portátil de documento.</w:t>
        <w:br/>
        <w:t xml:space="preserve">PIP  - </w:t>
      </w:r>
      <w:r>
        <w:rPr>
          <w:i/>
        </w:rPr>
        <w:t>Proximal Interphalangeal</w:t>
      </w:r>
      <w:r>
        <w:rPr/>
        <w:t>; articulação interfalângica proximal.</w:t>
        <w:br/>
        <w:t xml:space="preserve">PL - </w:t>
      </w:r>
      <w:r>
        <w:rPr>
          <w:i/>
        </w:rPr>
        <w:t>Palm Length</w:t>
      </w:r>
      <w:r>
        <w:rPr/>
        <w:t>; comprimento da palma.</w:t>
        <w:br/>
        <w:t xml:space="preserve">PRISMA - </w:t>
      </w:r>
      <w:r>
        <w:rPr>
          <w:i/>
        </w:rPr>
        <w:t>Preferred Reporting Items for Systematic Reviews and Meta-Analyses</w:t>
      </w:r>
      <w:r>
        <w:rPr/>
        <w:t>; diretrizes para reporte de revisões sistemáticas e meta-análises.</w:t>
        <w:br/>
        <w:t xml:space="preserve">RTD - </w:t>
      </w:r>
      <w:r>
        <w:rPr>
          <w:i/>
        </w:rPr>
        <w:t>Research Through Design</w:t>
      </w:r>
      <w:r>
        <w:rPr/>
        <w:t>; investigação através do design.</w:t>
        <w:br/>
        <w:t xml:space="preserve">SD - </w:t>
      </w:r>
      <w:r>
        <w:rPr>
          <w:i/>
        </w:rPr>
        <w:t>Standard Deviation</w:t>
      </w:r>
      <w:r>
        <w:rPr/>
        <w:t>; desvio-padrão.</w:t>
        <w:br/>
        <w:t xml:space="preserve">SLA - </w:t>
      </w:r>
      <w:r>
        <w:rPr>
          <w:i/>
        </w:rPr>
        <w:t>Stereolithography</w:t>
      </w:r>
      <w:r>
        <w:rPr/>
        <w:t>; estereolitografia.</w:t>
        <w:br/>
        <w:t xml:space="preserve">SLS - </w:t>
      </w:r>
      <w:r>
        <w:rPr>
          <w:i/>
        </w:rPr>
        <w:t>Selective Laser Sintering</w:t>
      </w:r>
      <w:r>
        <w:rPr/>
        <w:t>; sinterização seletiva a laser.</w:t>
        <w:br/>
        <w:t xml:space="preserve">SSM - </w:t>
      </w:r>
      <w:r>
        <w:rPr>
          <w:i/>
        </w:rPr>
        <w:t>Statistical Shape Modelling</w:t>
      </w:r>
      <w:r>
        <w:rPr/>
        <w:t>; modelação estatística da forma.</w:t>
        <w:br/>
        <w:t xml:space="preserve">STL - </w:t>
      </w:r>
      <w:r>
        <w:rPr>
          <w:i/>
        </w:rPr>
        <w:t>Stereolithography</w:t>
      </w:r>
      <w:r>
        <w:rPr/>
        <w:t>; formato de ficheiro de malha tridimensional usado em impressão 3D.</w:t>
        <w:br/>
        <w:t xml:space="preserve">TC - </w:t>
      </w:r>
      <w:r>
        <w:rPr>
          <w:i/>
        </w:rPr>
        <w:t>Technical Committee</w:t>
      </w:r>
      <w:r>
        <w:rPr/>
        <w:t>; comité técnico.</w:t>
        <w:br/>
        <w:t xml:space="preserve">TRL - </w:t>
      </w:r>
      <w:r>
        <w:rPr>
          <w:i/>
        </w:rPr>
        <w:t>Technology Readiness Level</w:t>
      </w:r>
      <w:r>
        <w:rPr/>
        <w:t>; nível de prontidão tecnológica.</w:t>
        <w:br/>
        <w:t xml:space="preserve">UCD - </w:t>
      </w:r>
      <w:r>
        <w:rPr>
          <w:i/>
        </w:rPr>
        <w:t>User-Centred Design</w:t>
      </w:r>
      <w:r>
        <w:rPr/>
        <w:t>; design centrado no utilizador.</w:t>
        <w:br/>
        <w:t xml:space="preserve">UI - </w:t>
      </w:r>
      <w:r>
        <w:rPr>
          <w:i/>
        </w:rPr>
        <w:t>User Interface</w:t>
      </w:r>
      <w:r>
        <w:rPr/>
        <w:t>; interface do utilizador.</w:t>
        <w:br/>
        <w:t xml:space="preserve">UL - </w:t>
      </w:r>
      <w:r>
        <w:rPr>
          <w:i/>
        </w:rPr>
        <w:t>Upper Limb</w:t>
      </w:r>
      <w:r>
        <w:rPr/>
        <w:t>; membro superior.</w:t>
        <w:br/>
        <w:t xml:space="preserve">UX - </w:t>
      </w:r>
      <w:r>
        <w:rPr>
          <w:i/>
        </w:rPr>
        <w:t>User Experience</w:t>
      </w:r>
      <w:r>
        <w:rPr/>
        <w:t>; experiência do utilizador.</w:t>
        <w:br/>
        <w:t xml:space="preserve">WASM - </w:t>
      </w:r>
      <w:r>
        <w:rPr>
          <w:i/>
        </w:rPr>
        <w:t>WebAssembly</w:t>
      </w:r>
      <w:r>
        <w:rPr/>
        <w:t xml:space="preserve">; tecnologia para execução de código compilado no navegador. XAI - </w:t>
      </w:r>
      <w:r>
        <w:rPr>
          <w:i/>
        </w:rPr>
        <w:t>Explainable Artificial Intelligence</w:t>
      </w:r>
      <w:r>
        <w:rPr/>
        <w:t>; inteligência artificial explicável. |</w:t>
      </w:r>
    </w:p>
    <w:p>
      <w:pPr>
        <w:pStyle w:val="BodyText"/>
        <w:rPr>
          <w:lang w:val="pt-PT"/>
        </w:rPr>
      </w:pPr>
      <w:r>
        <w:rPr>
          <w:lang w:val="pt-PT"/>
        </w:rPr>
      </w:r>
      <w:r>
        <w:br w:type="page"/>
      </w:r>
    </w:p>
    <w:p>
      <w:pPr>
        <w:pStyle w:val="Heading2"/>
        <w:bidi w:val="0"/>
        <w:jc w:val="left"/>
        <w:rPr>
          <w:lang w:val="pt-PT"/>
        </w:rPr>
      </w:pPr>
      <w:r>
        <w:rPr>
          <w:lang w:val="pt-PT"/>
        </w:rPr>
        <w:t>Capítulo 1 — Introdução</w:t>
      </w:r>
    </w:p>
    <w:p>
      <w:pPr>
        <w:pStyle w:val="Heading3"/>
        <w:bidi w:val="0"/>
        <w:jc w:val="left"/>
        <w:rPr>
          <w:lang w:val="pt-PT"/>
        </w:rPr>
      </w:pPr>
      <w:r>
        <w:rPr>
          <w:lang w:val="pt-PT"/>
        </w:rPr>
      </w:r>
    </w:p>
    <w:p>
      <w:pPr>
        <w:pStyle w:val="Heading3"/>
        <w:bidi w:val="0"/>
        <w:jc w:val="left"/>
        <w:rPr>
          <w:lang w:val="pt-PT"/>
        </w:rPr>
      </w:pPr>
      <w:r>
        <w:rPr>
          <w:lang w:val="pt-PT"/>
        </w:rPr>
        <w:t>1.1 Enquadramento geral, contexto e motivação</w:t>
      </w:r>
    </w:p>
    <w:p>
      <w:pPr>
        <w:pStyle w:val="Normal"/>
        <w:bidi w:val="0"/>
        <w:jc w:val="left"/>
        <w:rPr>
          <w:lang w:val="pt-PT"/>
        </w:rPr>
      </w:pPr>
      <w:r>
        <w:rPr>
          <w:lang w:val="pt-PT"/>
        </w:rPr>
      </w:r>
    </w:p>
    <w:p>
      <w:pPr>
        <w:pStyle w:val="Normal"/>
        <w:bidi w:val="0"/>
        <w:jc w:val="left"/>
        <w:rPr>
          <w:lang w:val="pt-PT"/>
        </w:rPr>
      </w:pPr>
      <w:r>
        <w:rPr>
          <w:lang w:val="pt-PT"/>
        </w:rPr>
        <w:t>A perda de membros superiores provoca impactos funcionais (limitação nas tarefas quotidianas), sociais (alterações na interação e na inclusão) e simbólicos (mudanças na identidade e na percepção), o que requer soluções técnicas e projetuais que aliem desempenho mecânico, conforto ergonómico, aceitação estética e viabilidade económica. Apesar dos avanços em dispositivos médicos e na fabricação aditiva, persistem obstáculos relacionados ao custo, à personalização anatómica e à dependência de técnicos especializados para a adaptação e manutenção das próteses.</w:t>
      </w:r>
    </w:p>
    <w:p>
      <w:pPr>
        <w:pStyle w:val="Normal"/>
        <w:bidi w:val="0"/>
        <w:jc w:val="left"/>
        <w:rPr>
          <w:lang w:val="pt-PT"/>
        </w:rPr>
      </w:pPr>
      <w:r>
        <w:rPr>
          <w:lang w:val="pt-PT"/>
        </w:rPr>
        <w:t xml:space="preserve">Nos últimos anos, a impressão 3D e as plataformas </w:t>
      </w:r>
      <w:r>
        <w:rPr>
          <w:i/>
          <w:lang w:val="pt-PT"/>
        </w:rPr>
        <w:t>open source</w:t>
      </w:r>
      <w:r>
        <w:rPr>
          <w:lang w:val="pt-PT"/>
        </w:rPr>
        <w:t xml:space="preserve"> ampliaram o acesso a dispositivos protésicos, especialmente em contextos economicamente desfavorecidos. No entanto, muitos desses modelos dependem de geometrias fixas, isto é, formas pré-definidas sem adaptação automática, ou de ajustes manuais pouco padronizados, o que resulta em alterações sem um protocolo uniforme e dificulta a expansã, a reprodutibilidade e a integração robusta de dados antropométricos, ou seja, medidas corporais específicas do utilizador.</w:t>
      </w:r>
    </w:p>
    <w:p>
      <w:pPr>
        <w:pStyle w:val="Normal"/>
        <w:bidi w:val="0"/>
        <w:jc w:val="left"/>
        <w:rPr>
          <w:lang w:val="pt-PT"/>
        </w:rPr>
      </w:pPr>
      <w:r>
        <w:rPr>
          <w:lang w:val="pt-PT"/>
        </w:rPr>
        <w:t>A Figura 1.1 introduz visualmente este contexto, mostrando como a fabricação aditiva tem sido associada a soluções protésicas abertas, acessíveis e adaptáveis. Esta leitura ajuda a enquadrar a motivação inicial do projeto: a impressão 3D amplia o campo de possibilidades, mas a personalização robusta continua a exigir modelos configuráveis, critérios de ajuste e mediação projetual.</w:t>
      </w:r>
    </w:p>
    <w:p>
      <w:pPr>
        <w:pStyle w:val="Normal"/>
        <w:bidi w:val="0"/>
        <w:jc w:val="left"/>
        <w:rPr>
          <w:lang w:val="pt-PT"/>
        </w:rPr>
      </w:pPr>
      <w:r>
        <w:rPr/>
        <w:drawing>
          <wp:inline distT="0" distB="0" distL="0" distR="0">
            <wp:extent cx="5715000" cy="3924300"/>
            <wp:effectExtent l="0" t="0" r="0" b="0"/>
            <wp:docPr id="1"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2"/>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1.1 — Exemplos de próteses e dispositivos associados à fabricação aditiva em contexto protésico.</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O Design Industrial é o mediador entre a tecnologia e a experiência humana. A parametrização e a inteligência artificial podem estruturar sistemas configuráveis adequados a requisitos anatómicos, funcionais e simbólicos, promovendo próteses personalizadas, acessíveis e ajustáveis. Este trabalho explora criticamente essas ferramentas no contexto de Research Through Design.</w:t>
      </w:r>
    </w:p>
    <w:p>
      <w:pPr>
        <w:pStyle w:val="Heading3"/>
        <w:bidi w:val="0"/>
        <w:jc w:val="left"/>
        <w:rPr>
          <w:lang w:val="pt-PT"/>
        </w:rPr>
      </w:pPr>
      <w:r>
        <w:rPr>
          <w:lang w:val="pt-PT"/>
        </w:rPr>
        <w:t>1.2 Problema de investigação</w:t>
      </w:r>
    </w:p>
    <w:p>
      <w:pPr>
        <w:pStyle w:val="Normal"/>
        <w:bidi w:val="0"/>
        <w:jc w:val="left"/>
        <w:rPr>
          <w:lang w:val="pt-PT"/>
        </w:rPr>
      </w:pPr>
      <w:r>
        <w:rPr>
          <w:lang w:val="pt-PT"/>
        </w:rPr>
        <w:t>Apesar da democratização parcial da produção de próteses por meio da fabricação aditiva, persiste uma lacuna na integração entre a personalização anatómica, a precisão funcional e as metodologias centradas no utilizador. Os processos atuais mostram dificuldades em se adaptar a diferentes perfis antropométricos, dependência de ajustes empíricos e ausência de plataformas configuráveis que aliem parametrização, dados antropométricos e apoio algorítmico à decisão projetual.</w:t>
      </w:r>
    </w:p>
    <w:p>
      <w:pPr>
        <w:pStyle w:val="Normal"/>
        <w:bidi w:val="0"/>
        <w:jc w:val="left"/>
        <w:rPr>
          <w:lang w:val="pt-PT"/>
        </w:rPr>
      </w:pPr>
      <w:r>
        <w:rPr>
          <w:lang w:val="pt-PT"/>
        </w:rPr>
        <w:t>O problema central é compreender como o design de produto, através de sistemas paramétricos (soluções ajustáveis com base em dados) e inteligência artificial (algoritmos que auxiliam a tomada de decisões), pode viabilizar a personalização de próteses de membros superiores de modo acessível, reprodutível e robusto, mantendo a qualidade funcional e o controlo do projeto.</w:t>
      </w:r>
    </w:p>
    <w:p>
      <w:pPr>
        <w:pStyle w:val="Heading3"/>
        <w:bidi w:val="0"/>
        <w:jc w:val="left"/>
        <w:rPr>
          <w:lang w:val="pt-PT"/>
        </w:rPr>
      </w:pPr>
      <w:r>
        <w:rPr>
          <w:lang w:val="pt-PT"/>
        </w:rPr>
      </w:r>
    </w:p>
    <w:p>
      <w:pPr>
        <w:pStyle w:val="Heading3"/>
        <w:bidi w:val="0"/>
        <w:jc w:val="left"/>
        <w:rPr>
          <w:lang w:val="pt-PT"/>
        </w:rPr>
      </w:pPr>
      <w:r>
        <w:rPr>
          <w:lang w:val="pt-PT"/>
        </w:rPr>
        <w:t>1.3 Objetivos da investigação</w:t>
      </w:r>
    </w:p>
    <w:p>
      <w:pPr>
        <w:pStyle w:val="Heading3"/>
        <w:bidi w:val="0"/>
        <w:jc w:val="left"/>
        <w:rPr>
          <w:lang w:val="pt-PT"/>
        </w:rPr>
      </w:pPr>
      <w:r>
        <w:rPr>
          <w:lang w:val="pt-PT"/>
        </w:rPr>
      </w:r>
    </w:p>
    <w:p>
      <w:pPr>
        <w:pStyle w:val="Heading3"/>
        <w:bidi w:val="0"/>
        <w:jc w:val="left"/>
        <w:rPr>
          <w:lang w:val="pt-PT"/>
        </w:rPr>
      </w:pPr>
      <w:r>
        <w:rPr>
          <w:lang w:val="pt-PT"/>
        </w:rPr>
        <w:t>1.3.1 Objetivo geral</w:t>
      </w:r>
    </w:p>
    <w:p>
      <w:pPr>
        <w:pStyle w:val="Normal"/>
        <w:bidi w:val="0"/>
        <w:jc w:val="left"/>
        <w:rPr>
          <w:lang w:val="pt-PT"/>
        </w:rPr>
      </w:pPr>
      <w:r>
        <w:rPr>
          <w:lang w:val="pt-PT"/>
        </w:rPr>
      </w:r>
    </w:p>
    <w:p>
      <w:pPr>
        <w:pStyle w:val="Normal"/>
        <w:bidi w:val="0"/>
        <w:jc w:val="left"/>
        <w:rPr>
          <w:lang w:val="pt-PT"/>
        </w:rPr>
      </w:pPr>
      <w:r>
        <w:rPr>
          <w:lang w:val="pt-PT"/>
        </w:rPr>
        <w:t>O objetivo geral é gerar conhecimento por meio da prática do Design, criando e avaliando um sistema de Design paramétrico (modelo ajustável por parâmetros definidos) assistido por inteligência artificial (algoritmos inteligentes) para próteses personalizadas de membros superiores. O sistema articula Design Industrial (criação de produtos), Design Inclusivo (acessibilidade para todos) e Design para Fabricação Aditiva.</w:t>
      </w:r>
    </w:p>
    <w:p>
      <w:pPr>
        <w:pStyle w:val="Heading3"/>
        <w:bidi w:val="0"/>
        <w:jc w:val="left"/>
        <w:rPr>
          <w:lang w:val="pt-PT"/>
        </w:rPr>
      </w:pPr>
      <w:r>
        <w:rPr>
          <w:lang w:val="pt-PT"/>
        </w:rPr>
      </w:r>
    </w:p>
    <w:p>
      <w:pPr>
        <w:pStyle w:val="Heading3"/>
        <w:bidi w:val="0"/>
        <w:jc w:val="left"/>
        <w:rPr>
          <w:lang w:val="pt-PT"/>
        </w:rPr>
      </w:pPr>
      <w:r>
        <w:rPr>
          <w:lang w:val="pt-PT"/>
        </w:rPr>
        <w:t>1.3.2 Objetivos específicos</w:t>
      </w:r>
    </w:p>
    <w:p>
      <w:pPr>
        <w:pStyle w:val="Normal"/>
        <w:bidi w:val="0"/>
        <w:jc w:val="left"/>
        <w:rPr>
          <w:lang w:val="pt-PT"/>
        </w:rPr>
      </w:pPr>
      <w:r>
        <w:rPr>
          <w:lang w:val="pt-PT"/>
        </w:rPr>
        <w:t>Pretende-se analisar criticamente o papel do Design Industrial como mediador entre a tecnologia e a experiência humana. O sistema paramétrico é um modelo ajustável, apoiado por uma plataforma digital, que permite configurar próteses com base em dados antropométricos (medidas físicas do utilizador) e em preferências individuais. Validar-se-á a abordagem por meio de prototipagem e de experimentação por impressão 3D, avaliando aspectos funcionais, ergonómicos e formais, bem como a viabilidade de fabricação.</w:t>
      </w:r>
    </w:p>
    <w:p>
      <w:pPr>
        <w:pStyle w:val="Normal"/>
        <w:bidi w:val="0"/>
        <w:jc w:val="left"/>
        <w:rPr>
          <w:lang w:val="pt-PT"/>
        </w:rPr>
      </w:pPr>
      <w:r>
        <w:rPr>
          <w:lang w:val="pt-PT"/>
        </w:rPr>
        <w:t>A investigação busca responder: como o design de produto, métodos paramétricos e inteligência artificial podem melhorar a personalização, o conforto e a adequação funcional de próteses, mantendo a acessibilidade e o controle projetual? Quais metodologias e ferramentas validam a eficácia, a usabilidade, a durabilidade e a reprodutibilidade de próteses impressas em 3D? Como o Design Industrial concilia requisitos anatómicos, funcionais, ergonómicos, estéticos e simbólicos, promovendo a aceitação, a dignidade e a autonomia?</w:t>
      </w:r>
    </w:p>
    <w:p>
      <w:pPr>
        <w:pStyle w:val="Heading3"/>
        <w:bidi w:val="0"/>
        <w:jc w:val="left"/>
        <w:rPr>
          <w:lang w:val="pt-PT"/>
        </w:rPr>
      </w:pPr>
      <w:r>
        <w:rPr>
          <w:lang w:val="pt-PT"/>
        </w:rPr>
      </w:r>
    </w:p>
    <w:p>
      <w:pPr>
        <w:pStyle w:val="Heading3"/>
        <w:bidi w:val="0"/>
        <w:jc w:val="left"/>
        <w:rPr>
          <w:lang w:val="pt-PT"/>
        </w:rPr>
      </w:pPr>
      <w:r>
        <w:rPr>
          <w:lang w:val="pt-PT"/>
        </w:rPr>
        <w:t>1.4 Abordagem metodológica geral</w:t>
      </w:r>
    </w:p>
    <w:p>
      <w:pPr>
        <w:pStyle w:val="Normal"/>
        <w:bidi w:val="0"/>
        <w:jc w:val="left"/>
        <w:rPr>
          <w:lang w:val="pt-PT"/>
        </w:rPr>
      </w:pPr>
      <w:r>
        <w:rPr>
          <w:lang w:val="pt-PT"/>
        </w:rPr>
        <w:t>O projeto adota uma metodologia aplicada, baseada em Research Through Design, que reconhece o ato de projetar como uma forma de gerar conhecimento. Estrutura-se em fases conceptual, metodológica e empírica, articuladas pelo modelo Double Diamond, que promove ciclos iterativos de exploração, definição, desenvolvimento e validação.</w:t>
      </w:r>
    </w:p>
    <w:p>
      <w:pPr>
        <w:pStyle w:val="Normal"/>
        <w:bidi w:val="0"/>
        <w:jc w:val="left"/>
        <w:rPr>
          <w:lang w:val="pt-PT"/>
        </w:rPr>
      </w:pPr>
      <w:r>
        <w:rPr>
          <w:lang w:val="pt-PT"/>
        </w:rPr>
        <w:t>A fase conceptual realiza uma revisão crítica da literatura e das plataformas, consolidando o quadro teórico e os requisitos técnicos. A fase metodológica estabelece a arquitetura do sistema paramétrico assistido por inteligência artificial, integrando dados antropométricos e princípios de design para fabricação aditiva. A fase empírica operacionaliza a modelação paramétrica, a produção de protótipos por impressão 3D e a avaliação técnica e funcional, sem utilizar dados pessoais de utilizadores.</w:t>
      </w:r>
    </w:p>
    <w:p>
      <w:pPr>
        <w:pStyle w:val="Heading3"/>
        <w:bidi w:val="0"/>
        <w:jc w:val="left"/>
        <w:rPr>
          <w:lang w:val="pt-PT"/>
        </w:rPr>
      </w:pPr>
      <w:r>
        <w:rPr>
          <w:lang w:val="pt-PT"/>
        </w:rPr>
      </w:r>
    </w:p>
    <w:p>
      <w:pPr>
        <w:pStyle w:val="Heading3"/>
        <w:bidi w:val="0"/>
        <w:jc w:val="left"/>
        <w:rPr>
          <w:lang w:val="pt-PT"/>
        </w:rPr>
      </w:pPr>
      <w:r>
        <w:rPr>
          <w:lang w:val="pt-PT"/>
        </w:rPr>
        <w:t>1.5 Estrutura da dissertação</w:t>
      </w:r>
    </w:p>
    <w:p>
      <w:pPr>
        <w:pStyle w:val="Normal"/>
        <w:bidi w:val="0"/>
        <w:jc w:val="left"/>
        <w:rPr>
          <w:lang w:val="pt-PT"/>
        </w:rPr>
      </w:pPr>
      <w:r>
        <w:rPr>
          <w:lang w:val="pt-PT"/>
        </w:rPr>
        <w:t>A dissertação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discute a interface, a interação e a experiência de utilização. O Capítulo 8 reúne a avaliação e a discussão dos resultados. Por fim, o Capítulo 9 sintetiza as conclusões e os trabalhos futuros.</w:t>
      </w:r>
    </w:p>
    <w:p>
      <w:pPr>
        <w:pStyle w:val="Heading2"/>
        <w:bidi w:val="0"/>
        <w:jc w:val="left"/>
        <w:rPr>
          <w:lang w:val="pt-PT"/>
        </w:rPr>
      </w:pPr>
      <w:r>
        <w:rPr>
          <w:lang w:val="pt-PT"/>
        </w:rPr>
      </w:r>
    </w:p>
    <w:p>
      <w:pPr>
        <w:pStyle w:val="Heading2"/>
        <w:bidi w:val="0"/>
        <w:jc w:val="left"/>
        <w:rPr>
          <w:lang w:val="pt-PT"/>
        </w:rPr>
      </w:pPr>
      <w:r>
        <w:rPr>
          <w:lang w:val="pt-PT"/>
        </w:rPr>
        <w:t>Capítulo 2 — Enquadramento Teórico e Estado da Arte</w:t>
      </w:r>
    </w:p>
    <w:p>
      <w:pPr>
        <w:pStyle w:val="Heading3"/>
        <w:bidi w:val="0"/>
        <w:jc w:val="left"/>
        <w:rPr>
          <w:lang w:val="pt-PT"/>
        </w:rPr>
      </w:pPr>
      <w:r>
        <w:rPr>
          <w:lang w:val="pt-PT"/>
        </w:rPr>
      </w:r>
    </w:p>
    <w:p>
      <w:pPr>
        <w:pStyle w:val="Heading3"/>
        <w:bidi w:val="0"/>
        <w:jc w:val="left"/>
        <w:rPr>
          <w:lang w:val="pt-PT"/>
        </w:rPr>
      </w:pPr>
      <w:r>
        <w:rPr>
          <w:lang w:val="pt-PT"/>
        </w:rPr>
        <w:t>2.1 Prótese de membro superior e dispositivos médicos</w:t>
      </w:r>
    </w:p>
    <w:p>
      <w:pPr>
        <w:pStyle w:val="Normal"/>
        <w:bidi w:val="0"/>
        <w:jc w:val="left"/>
        <w:rPr>
          <w:lang w:val="pt-PT"/>
        </w:rPr>
      </w:pPr>
      <w:r>
        <w:rPr>
          <w:lang w:val="pt-PT"/>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(#ref-fink-2023); Segura et al., 2024 (#ref-segura-2024)).</w:t>
      </w:r>
    </w:p>
    <w:p>
      <w:pPr>
        <w:pStyle w:val="Normal"/>
        <w:bidi w:val="0"/>
        <w:jc w:val="left"/>
        <w:rPr>
          <w:lang w:val="pt-PT"/>
        </w:rPr>
      </w:pPr>
      <w:r>
        <w:rPr>
          <w:lang w:val="pt-PT"/>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tátil (detecção de propriedades dos objetos pelo contato). Replicar artificialmente estas funções continua a ser um desafio significativo nos dispositivos médicos e na reabilitação. O desenvolvimento e a prescrição de próteses envolvem compromissos permanentes entre funcionalidade, peso, robustez, conforto, controle intuitivo, manutenção e custo.</w:t>
      </w:r>
    </w:p>
    <w:p>
      <w:pPr>
        <w:pStyle w:val="BodyText"/>
        <w:rPr>
          <w:lang w:val="pt-PT"/>
        </w:rPr>
      </w:pPr>
      <w:r>
        <w:rPr/>
        <w:t>Nas últimas décadas, o setor evoluiu de soluções maioritariamente cosméticas e mecânicas para sistemas com maior sofisticação eletromecânica, integração eletrônica aprimorada e potencial de personalização ampliado. Ainda assim, o avanço tecnológico não resolveu desafios estruturais como desconforto, dificuldade de controle, ausência de feedback sensorial e alta taxa de abandono. Esta tensão entre o potencial técnico e os resultados práticos é fundamental para compreender o estado atual das próteses de membro superior como dispositivos médicos.</w:t>
      </w:r>
    </w:p>
    <w:p>
      <w:pPr>
        <w:pStyle w:val="Heading3"/>
        <w:bidi w:val="0"/>
        <w:jc w:val="left"/>
        <w:rPr>
          <w:lang w:val="pt-PT"/>
        </w:rPr>
      </w:pPr>
      <w:r>
        <w:rPr>
          <w:lang w:val="pt-PT"/>
        </w:rPr>
        <w:t>Tipologias de próteses de membro superior</w:t>
      </w:r>
    </w:p>
    <w:p>
      <w:pPr>
        <w:pStyle w:val="BodyText"/>
        <w:rPr/>
      </w:pPr>
      <w:r>
        <w:rPr>
          <w:lang w:val="pt-PT"/>
        </w:rPr>
        <w:t xml:space="preserve">As próteses de membro superior podem ser classificadas de acordo com a fonte de energia e o mecanismo de controlo. Distinguem-se quatro categorias principais: passivas (cosméticas), mecânicas acionadas pelo corpo, mioelétricas (externamente alimentadas) e híbridas. Cada tipo possui vantagens e limitações, o que reflete diferentes equilíbrios entre desempenho funcional, conforto, durabilidade e custo </w:t>
      </w:r>
      <w:r>
        <w:rPr>
          <w:b w:val="false"/>
          <w:i w:val="false"/>
          <w:sz w:val="22"/>
        </w:rPr>
        <w:t xml:space="preserve"> </w:t>
      </w:r>
      <w:r>
        <w:rPr/>
        <w:t xml:space="preserve"> (Brack &amp; Amalu, 2021).</w:t>
      </w:r>
    </w:p>
    <w:p>
      <w:pPr>
        <w:pStyle w:val="BodyText"/>
        <w:rPr/>
      </w:pPr>
      <w:r>
        <w:rPr>
          <w:lang w:val="pt-PT"/>
        </w:rPr>
        <w:t>.</w:t>
      </w:r>
      <w:r>
        <w:rPr/>
        <w:commentReference w:id="0"/>
      </w:r>
    </w:p>
    <w:p>
      <w:pPr>
        <w:pStyle w:val="BodyText"/>
        <w:rPr/>
      </w:pPr>
      <w:r>
        <w:rPr/>
      </w:r>
    </w:p>
    <w:p>
      <w:pPr>
        <w:pStyle w:val="Normal"/>
        <w:bidi w:val="0"/>
        <w:jc w:val="left"/>
        <w:rPr>
          <w:lang w:val="pt-PT"/>
        </w:rPr>
      </w:pPr>
      <w:r>
        <w:rPr>
          <w:lang w:val="pt-PT"/>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(#ref-fink-2023); Segura et al., 2024 (#ref-segura-2024)).</w:t>
      </w:r>
    </w:p>
    <w:p>
      <w:pPr>
        <w:pStyle w:val="Heading3"/>
        <w:bidi w:val="0"/>
        <w:jc w:val="left"/>
        <w:rPr>
          <w:lang w:val="pt-PT"/>
        </w:rPr>
      </w:pPr>
      <w:r>
        <w:rPr>
          <w:lang w:val="pt-PT"/>
        </w:rPr>
      </w:r>
    </w:p>
    <w:p>
      <w:pPr>
        <w:pStyle w:val="Heading3"/>
        <w:bidi w:val="0"/>
        <w:jc w:val="left"/>
        <w:rPr>
          <w:lang w:val="pt-PT"/>
        </w:rPr>
      </w:pPr>
      <w:r>
        <w:rPr>
          <w:lang w:val="pt-PT"/>
        </w:rPr>
        <w:t>Próteses mecânicas acionadas pelo corpo (</w:t>
      </w:r>
      <w:r>
        <w:rPr>
          <w:i/>
          <w:lang w:val="pt-PT"/>
        </w:rPr>
        <w:t>body-powered</w:t>
      </w:r>
      <w:r>
        <w:rPr>
          <w:lang w:val="pt-PT"/>
        </w:rPr>
        <w:t>)</w:t>
      </w:r>
    </w:p>
    <w:p>
      <w:pPr>
        <w:pStyle w:val="Normal"/>
        <w:bidi w:val="0"/>
        <w:jc w:val="left"/>
        <w:rPr>
          <w:lang w:val="pt-PT"/>
        </w:rPr>
      </w:pPr>
      <w:r>
        <w:rPr>
          <w:lang w:val="pt-PT"/>
        </w:rPr>
      </w:r>
    </w:p>
    <w:p>
      <w:pPr>
        <w:pStyle w:val="Normal"/>
        <w:bidi w:val="0"/>
        <w:jc w:val="left"/>
        <w:rPr>
          <w:lang w:val="pt-PT"/>
        </w:rPr>
      </w:pPr>
      <w:r>
        <w:rPr>
          <w:lang w:val="pt-PT"/>
        </w:rPr>
        <w:t>As próteses mecânicas utilizam sistemas de arnês e cabos para converter movimentos do ombro, do tronco ou da cintura escapular em ação no dispositivo terminal, tipicamente um gancho ou uma mão mecânica. São soluções tradicionalmente valorizadas pela robustez, fiabilidade, menor custo e relativa facilidade de manutenção.</w:t>
      </w:r>
    </w:p>
    <w:p>
      <w:pPr>
        <w:pStyle w:val="Normal"/>
        <w:bidi w:val="0"/>
        <w:jc w:val="left"/>
        <w:rPr>
          <w:lang w:val="pt-PT"/>
        </w:rPr>
      </w:pPr>
      <w:r>
        <w:rPr>
          <w:lang w:val="pt-PT"/>
        </w:rPr>
        <w:t>Um atributo particularmente relevante é o feedback proprioceptivo</w:t>
      </w:r>
      <w:r>
        <w:rPr>
          <w:rStyle w:val="FootnoteReference"/>
          <w:lang w:val="pt-PT"/>
        </w:rPr>
        <w:footnoteReference w:id="2"/>
      </w:r>
      <w:r>
        <w:rPr>
          <w:lang w:val="pt-PT"/>
        </w:rPr>
        <w:t xml:space="preserve">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(#ref-engdahl-2024); Fink &amp; Diamond, 2023 (#ref-fink-2023)).</w:t>
      </w:r>
    </w:p>
    <w:p>
      <w:pPr>
        <w:pStyle w:val="Heading3"/>
        <w:bidi w:val="0"/>
        <w:jc w:val="left"/>
        <w:rPr>
          <w:lang w:val="pt-PT"/>
        </w:rPr>
      </w:pPr>
      <w:r>
        <w:rPr>
          <w:lang w:val="pt-PT"/>
        </w:rPr>
      </w:r>
    </w:p>
    <w:p>
      <w:pPr>
        <w:pStyle w:val="Heading3"/>
        <w:bidi w:val="0"/>
        <w:jc w:val="left"/>
        <w:rPr>
          <w:lang w:val="pt-PT"/>
        </w:rPr>
      </w:pPr>
      <w:r>
        <w:rPr>
          <w:lang w:val="pt-PT"/>
        </w:rPr>
        <w:t>Próteses mioelétricas</w:t>
      </w:r>
    </w:p>
    <w:p>
      <w:pPr>
        <w:pStyle w:val="Normal"/>
        <w:bidi w:val="0"/>
        <w:jc w:val="left"/>
        <w:rPr>
          <w:lang w:val="pt-PT"/>
        </w:rPr>
      </w:pPr>
      <w:r>
        <w:rPr>
          <w:lang w:val="pt-PT"/>
        </w:rPr>
      </w:r>
    </w:p>
    <w:p>
      <w:pPr>
        <w:pStyle w:val="Normal"/>
        <w:bidi w:val="0"/>
        <w:jc w:val="left"/>
        <w:rPr>
          <w:lang w:val="pt-PT"/>
        </w:rPr>
      </w:pPr>
      <w:r>
        <w:rPr>
          <w:lang w:val="pt-PT"/>
        </w:rPr>
        <w:t>As próteses mioelétricas são dispositivos eletricamente alimentados que utilizam sinais eletromiográficos (EMG) captados por meio de elétrodos de superfície aplicados no membro residual. Esses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feedback sensorial direto (Bates et al., 2020 (#ref-bates-2020); Engdahl et al., 2024 (#ref-engdahl-2024)).</w:t>
      </w:r>
    </w:p>
    <w:p>
      <w:pPr>
        <w:pStyle w:val="Heading3"/>
        <w:bidi w:val="0"/>
        <w:jc w:val="left"/>
        <w:rPr>
          <w:lang w:val="pt-PT"/>
        </w:rPr>
      </w:pPr>
      <w:r>
        <w:rPr>
          <w:lang w:val="pt-PT"/>
        </w:rPr>
      </w:r>
    </w:p>
    <w:p>
      <w:pPr>
        <w:pStyle w:val="Heading3"/>
        <w:bidi w:val="0"/>
        <w:jc w:val="left"/>
        <w:rPr>
          <w:lang w:val="pt-PT"/>
        </w:rPr>
      </w:pPr>
      <w:r>
        <w:rPr>
          <w:lang w:val="pt-PT"/>
        </w:rPr>
        <w:t>Sistemas híbridos</w:t>
      </w:r>
    </w:p>
    <w:p>
      <w:pPr>
        <w:pStyle w:val="Normal"/>
        <w:bidi w:val="0"/>
        <w:jc w:val="left"/>
        <w:rPr>
          <w:lang w:val="pt-PT"/>
        </w:rPr>
      </w:pPr>
      <w:r>
        <w:rPr>
          <w:lang w:val="pt-PT"/>
        </w:rPr>
      </w:r>
    </w:p>
    <w:p>
      <w:pPr>
        <w:pStyle w:val="Normal"/>
        <w:bidi w:val="0"/>
        <w:jc w:val="left"/>
        <w:rPr>
          <w:lang w:val="pt-PT"/>
        </w:rPr>
      </w:pPr>
      <w:r>
        <w:rPr>
          <w:lang w:val="pt-PT"/>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(#ref-segura-2024); Walters et al., 2025 (#ref-walters-2025)).</w:t>
      </w:r>
    </w:p>
    <w:p>
      <w:pPr>
        <w:pStyle w:val="Normal"/>
        <w:bidi w:val="0"/>
        <w:jc w:val="left"/>
        <w:rPr>
          <w:lang w:val="pt-PT"/>
        </w:rPr>
      </w:pPr>
      <w:r>
        <w:rPr>
          <w:lang w:val="pt-PT"/>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5467350"/>
            <wp:effectExtent l="0" t="0" r="0" b="0"/>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a:picLocks noChangeAspect="1" noChangeArrowheads="1"/>
                    </pic:cNvPicPr>
                  </pic:nvPicPr>
                  <pic:blipFill>
                    <a:blip r:embed="rId3"/>
                    <a:stretch>
                      <a:fillRect/>
                    </a:stretch>
                  </pic:blipFill>
                  <pic:spPr bwMode="auto">
                    <a:xfrm>
                      <a:off x="0" y="0"/>
                      <a:ext cx="5715000" cy="5467350"/>
                    </a:xfrm>
                    <a:prstGeom prst="rect">
                      <a:avLst/>
                    </a:prstGeom>
                    <a:noFill/>
                  </pic:spPr>
                </pic:pic>
              </a:graphicData>
            </a:graphic>
          </wp:inline>
        </w:drawing>
      </w:r>
    </w:p>
    <w:p>
      <w:pPr>
        <w:pStyle w:val="Normal"/>
        <w:bidi w:val="0"/>
        <w:jc w:val="left"/>
        <w:rPr>
          <w:lang w:val="pt-PT"/>
        </w:rPr>
      </w:pPr>
      <w:r>
        <w:rPr>
          <w:lang w:val="pt-PT"/>
        </w:rPr>
        <w:t>Figura 2.1 — Exemplos de próteses de membro superior impressas em 3D, ilustrando diversidade tipológica e construtiva.</w:t>
      </w:r>
    </w:p>
    <w:p>
      <w:pPr>
        <w:pStyle w:val="Normal"/>
        <w:bidi w:val="0"/>
        <w:jc w:val="left"/>
        <w:rPr>
          <w:lang w:val="pt-PT"/>
        </w:rPr>
      </w:pPr>
      <w:r>
        <w:rPr>
          <w:lang w:val="pt-PT"/>
        </w:rPr>
        <w:t>Fonte original: ten Kate, J., Smit, G., &amp; Breedveld, P. (2017). 3D-printed upper limb prostheses: A review. Disability and Rehabilitation: Assistive Technology, 12(3), 300-314. https://doi.org/10.1080/17483107.2016.1253117</w:t>
      </w:r>
    </w:p>
    <w:p>
      <w:pPr>
        <w:pStyle w:val="Heading3"/>
        <w:bidi w:val="0"/>
        <w:jc w:val="left"/>
        <w:rPr>
          <w:lang w:val="pt-PT"/>
        </w:rPr>
      </w:pPr>
      <w:r>
        <w:rPr>
          <w:lang w:val="pt-PT"/>
        </w:rPr>
      </w:r>
    </w:p>
    <w:p>
      <w:pPr>
        <w:pStyle w:val="Heading3"/>
        <w:bidi w:val="0"/>
        <w:jc w:val="left"/>
        <w:rPr>
          <w:lang w:val="pt-PT"/>
        </w:rPr>
      </w:pPr>
      <w:r>
        <w:rPr>
          <w:lang w:val="pt-PT"/>
        </w:rPr>
        <w:t>Considerações clínicas e funcionais</w:t>
      </w:r>
    </w:p>
    <w:p>
      <w:pPr>
        <w:pStyle w:val="Normal"/>
        <w:bidi w:val="0"/>
        <w:jc w:val="left"/>
        <w:rPr>
          <w:lang w:val="pt-PT"/>
        </w:rPr>
      </w:pPr>
      <w:r>
        <w:rPr>
          <w:lang w:val="pt-PT"/>
        </w:rPr>
      </w:r>
    </w:p>
    <w:p>
      <w:pPr>
        <w:pStyle w:val="Normal"/>
        <w:bidi w:val="0"/>
        <w:jc w:val="left"/>
        <w:rPr>
          <w:lang w:val="pt-PT"/>
        </w:rPr>
      </w:pPr>
      <w:r>
        <w:rPr>
          <w:lang w:val="pt-PT"/>
        </w:rPr>
        <w:t>A prescrição de uma prótese de membro superior constitui um processo clínico complexo, centrado no utilizador e conduzido por uma equipa multidisciplinar composta por médicos, protesistas, terapeutas e pelo próprio utilizador/paciente na escolha do dispositivo terminal, mas envolve uma avaliação integrada de fatores físicos, funcionais, ocupacionais e psicossociais (Fink &amp; Diamond, 2023 (#ref-fink-2023); Soyer et al., 2016 (#ref-soyer-2016)).</w:t>
      </w:r>
    </w:p>
    <w:p>
      <w:pPr>
        <w:pStyle w:val="Normal"/>
        <w:bidi w:val="0"/>
        <w:jc w:val="left"/>
        <w:rPr>
          <w:lang w:val="pt-PT"/>
        </w:rPr>
      </w:pPr>
      <w:r>
        <w:rPr>
          <w:lang w:val="pt-PT"/>
        </w:rPr>
        <w:t>Entre os fatores físicos incluem-se o nível de amputação, o comprimento e a condição do coto residual, a integridade cutânea, a amplitude articular e a força muscular. Amputações de nível mais proximal implicam desafios acrescidos em termos de controlo e do peso do sistema protésico.</w:t>
      </w:r>
    </w:p>
    <w:p>
      <w:pPr>
        <w:pStyle w:val="Normal"/>
        <w:bidi w:val="0"/>
        <w:jc w:val="left"/>
        <w:rPr>
          <w:lang w:val="pt-PT"/>
        </w:rPr>
      </w:pPr>
      <w:r>
        <w:rPr>
          <w:lang w:val="pt-PT"/>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Normal"/>
        <w:bidi w:val="0"/>
        <w:jc w:val="left"/>
        <w:rPr>
          <w:lang w:val="pt-PT"/>
        </w:rPr>
      </w:pPr>
      <w:r>
        <w:rPr>
          <w:lang w:val="pt-PT"/>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Normal"/>
        <w:bidi w:val="0"/>
        <w:jc w:val="left"/>
        <w:rPr>
          <w:lang w:val="pt-PT"/>
        </w:rPr>
      </w:pPr>
      <w:r>
        <w:rPr>
          <w:lang w:val="pt-PT"/>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(#ref-bates-2020); Soyer et al., 2016 (#ref-soyer-2016)).</w:t>
      </w:r>
    </w:p>
    <w:p>
      <w:pPr>
        <w:pStyle w:val="Heading3"/>
        <w:bidi w:val="0"/>
        <w:jc w:val="left"/>
        <w:rPr>
          <w:lang w:val="pt-PT"/>
        </w:rPr>
      </w:pPr>
      <w:r>
        <w:rPr>
          <w:lang w:val="pt-PT"/>
        </w:rPr>
      </w:r>
    </w:p>
    <w:p>
      <w:pPr>
        <w:pStyle w:val="Heading3"/>
        <w:bidi w:val="0"/>
        <w:jc w:val="left"/>
        <w:rPr>
          <w:lang w:val="pt-PT"/>
        </w:rPr>
      </w:pPr>
      <w:r>
        <w:rPr>
          <w:lang w:val="pt-PT"/>
        </w:rPr>
        <w:t>Medição de resultados e abandono protésico</w:t>
      </w:r>
    </w:p>
    <w:p>
      <w:pPr>
        <w:pStyle w:val="Normal"/>
        <w:bidi w:val="0"/>
        <w:jc w:val="left"/>
        <w:rPr>
          <w:lang w:val="pt-PT"/>
        </w:rPr>
      </w:pPr>
      <w:r>
        <w:rPr>
          <w:lang w:val="pt-PT"/>
        </w:rPr>
      </w:r>
    </w:p>
    <w:p>
      <w:pPr>
        <w:pStyle w:val="Normal"/>
        <w:bidi w:val="0"/>
        <w:jc w:val="left"/>
        <w:rPr>
          <w:lang w:val="pt-PT"/>
        </w:rPr>
      </w:pPr>
      <w:r>
        <w:rPr>
          <w:lang w:val="pt-PT"/>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(#ref-segura-2024); Soyer et al., 2016 (#ref-soyer-2016)).</w:t>
      </w:r>
    </w:p>
    <w:p>
      <w:pPr>
        <w:pStyle w:val="Normal"/>
        <w:bidi w:val="0"/>
        <w:jc w:val="left"/>
        <w:rPr>
          <w:lang w:val="pt-PT"/>
        </w:rPr>
      </w:pPr>
      <w:r>
        <w:rPr>
          <w:lang w:val="pt-PT"/>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(#ref-fink-2023); Smail et al., 2020 (#ref-smail-2020)).</w:t>
      </w:r>
    </w:p>
    <w:p>
      <w:pPr>
        <w:pStyle w:val="Normal"/>
        <w:bidi w:val="0"/>
        <w:jc w:val="left"/>
        <w:rPr>
          <w:lang w:val="pt-PT"/>
        </w:rPr>
      </w:pPr>
      <w:r>
        <w:rPr>
          <w:lang w:val="pt-PT"/>
        </w:rPr>
        <w:t>Esta persistência do abandono é sintetizada de forma clara na Figura 2.2, que relaciona uso, rejeição primária e rejeição secundária, reforçando que o problema não é marginal, mas estrutural no campo das próteses de membro superior.</w:t>
      </w:r>
    </w:p>
    <w:p>
      <w:pPr>
        <w:pStyle w:val="Normal"/>
        <w:bidi w:val="0"/>
        <w:jc w:val="left"/>
        <w:rPr>
          <w:lang w:val="pt-PT"/>
        </w:rPr>
      </w:pPr>
      <w:r>
        <w:rPr/>
        <w:drawing>
          <wp:inline distT="0" distB="0" distL="0" distR="0">
            <wp:extent cx="5715000" cy="4086225"/>
            <wp:effectExtent l="0" t="0" r="0" b="0"/>
            <wp:docPr id="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4"/>
                    <a:stretch>
                      <a:fillRect/>
                    </a:stretch>
                  </pic:blipFill>
                  <pic:spPr bwMode="auto">
                    <a:xfrm>
                      <a:off x="0" y="0"/>
                      <a:ext cx="5715000" cy="4086225"/>
                    </a:xfrm>
                    <a:prstGeom prst="rect">
                      <a:avLst/>
                    </a:prstGeom>
                    <a:noFill/>
                  </pic:spPr>
                </pic:pic>
              </a:graphicData>
            </a:graphic>
          </wp:inline>
        </w:drawing>
      </w:r>
    </w:p>
    <w:p>
      <w:pPr>
        <w:pStyle w:val="Normal"/>
        <w:bidi w:val="0"/>
        <w:jc w:val="left"/>
        <w:rPr>
          <w:lang w:val="pt-PT"/>
        </w:rPr>
      </w:pPr>
      <w:r>
        <w:rPr>
          <w:lang w:val="pt-PT"/>
        </w:rPr>
        <w:t>Figura 2.2 — Utilização, rejeição primária e rejeição secundária de próteses do membro superior adquiridas.</w:t>
      </w:r>
    </w:p>
    <w:p>
      <w:pPr>
        <w:pStyle w:val="Normal"/>
        <w:bidi w:val="0"/>
        <w:jc w:val="left"/>
        <w:rPr/>
      </w:pPr>
      <w:r>
        <w:rPr>
          <w:lang w:val="pt-PT"/>
        </w:rPr>
        <w:t xml:space="preserve">Fonte original: Biddiss, E., Beaton, D., &amp; Chau, T. (2007). Consumer design priorities for upper limb prosthetics. Disability and Rehabilitation: Assistive Technology, 2(6), 346-357. </w:t>
      </w:r>
      <w:hyperlink r:id="rId5">
        <w:r>
          <w:rPr>
            <w:rStyle w:val="Hyperlink"/>
            <w:lang w:val="pt-PT"/>
          </w:rPr>
          <w:t>https://doi.org/10.1080/17483100701714733</w:t>
        </w:r>
      </w:hyperlink>
    </w:p>
    <w:p>
      <w:pPr>
        <w:pStyle w:val="Normal"/>
        <w:bidi w:val="0"/>
        <w:jc w:val="left"/>
        <w:rPr>
          <w:lang w:val="pt-PT"/>
        </w:rPr>
      </w:pPr>
      <w:r>
        <w:rPr>
          <w:lang w:val="pt-PT"/>
        </w:rPr>
      </w:r>
    </w:p>
    <w:p>
      <w:pPr>
        <w:pStyle w:val="Heading3"/>
        <w:bidi w:val="0"/>
        <w:jc w:val="left"/>
        <w:rPr>
          <w:lang w:val="pt-PT"/>
        </w:rPr>
      </w:pPr>
      <w:r>
        <w:rPr>
          <w:lang w:val="pt-PT"/>
        </w:rPr>
        <w:t>Enquadramento regulatório enquanto dispositivo médico</w:t>
      </w:r>
    </w:p>
    <w:p>
      <w:pPr>
        <w:pStyle w:val="Normal"/>
        <w:bidi w:val="0"/>
        <w:jc w:val="left"/>
        <w:rPr>
          <w:lang w:val="pt-PT"/>
        </w:rPr>
      </w:pPr>
      <w:r>
        <w:rPr>
          <w:lang w:val="pt-PT"/>
        </w:rPr>
      </w:r>
    </w:p>
    <w:p>
      <w:pPr>
        <w:pStyle w:val="Normal"/>
        <w:bidi w:val="0"/>
        <w:jc w:val="left"/>
        <w:rPr>
          <w:lang w:val="pt-PT"/>
        </w:rPr>
      </w:pPr>
      <w:r>
        <w:rPr>
          <w:lang w:val="pt-PT"/>
        </w:rP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w:t>
      </w:r>
      <w:r>
        <w:rPr>
          <w:i/>
          <w:lang w:val="pt-PT"/>
        </w:rPr>
        <w:t>, que classifica os dispositivos nas Classes I, IIa, IIb e III. Dispositivos terapêuticos ativos, incluindo próteses mioelétricas, enquadram-se geralmente nas classes intermédias ou superiores, o que exige avaliação por um organismo notificado para efeitos de marcação CE[^3] (Parlamento Europeu e Conselho da União Europeia, 2017 (#ref-parlamento-europeu-2017)).</w:t>
      </w:r>
    </w:p>
    <w:p>
      <w:pPr>
        <w:pStyle w:val="Normal"/>
        <w:bidi w:val="0"/>
        <w:jc w:val="left"/>
        <w:rPr>
          <w:lang w:val="pt-PT"/>
        </w:rPr>
      </w:pPr>
      <w:r>
        <w:rPr>
          <w:lang w:val="pt-PT"/>
        </w:rP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mioelétricas avançadas, podem exigir controles , documentação técnica mais extensa e, em certos casos, evidência clínica adicional (Resnik et al., 2010 (#ref-resnik-2010)).</w:t>
      </w:r>
    </w:p>
    <w:p>
      <w:pPr>
        <w:pStyle w:val="Normal"/>
        <w:bidi w:val="0"/>
        <w:jc w:val="left"/>
        <w:rPr>
          <w:lang w:val="pt-PT"/>
        </w:rPr>
      </w:pPr>
      <w:r>
        <w:rPr>
          <w:lang w:val="pt-PT"/>
        </w:rPr>
        <w:t>A demonstração de segurança e desempenho implica avaliação clínica sistemática, testes de biocompatibilidade, avaliação da segurança mecânica e elétrica, validação de software e consideração explícita de fatores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(#ref-parlamento-europeu-2017); Resnik et al., 2010 (#ref-resnik-2010)).</w:t>
      </w:r>
    </w:p>
    <w:p>
      <w:pPr>
        <w:pStyle w:val="Normal"/>
        <w:bidi w:val="0"/>
        <w:jc w:val="left"/>
        <w:rPr>
          <w:lang w:val="pt-PT"/>
        </w:rPr>
      </w:pPr>
      <w:r>
        <w:rPr>
          <w:lang w:val="pt-PT"/>
        </w:rPr>
      </w:r>
    </w:p>
    <w:p>
      <w:pPr>
        <w:pStyle w:val="Heading3"/>
        <w:bidi w:val="0"/>
        <w:jc w:val="left"/>
        <w:rPr>
          <w:lang w:val="pt-PT"/>
        </w:rPr>
      </w:pPr>
      <w:r>
        <w:rPr>
          <w:lang w:val="pt-PT"/>
        </w:rPr>
        <w:t>2.2 Design Industrial, Design Inclusivo e Design Centrado no Utilizador</w:t>
      </w:r>
    </w:p>
    <w:p>
      <w:pPr>
        <w:pStyle w:val="Normal"/>
        <w:bidi w:val="0"/>
        <w:jc w:val="left"/>
        <w:rPr>
          <w:lang w:val="pt-PT"/>
        </w:rPr>
      </w:pPr>
      <w:r>
        <w:rPr>
          <w:lang w:val="pt-PT"/>
        </w:rPr>
      </w:r>
    </w:p>
    <w:p>
      <w:pPr>
        <w:pStyle w:val="Normal"/>
        <w:bidi w:val="0"/>
        <w:jc w:val="left"/>
        <w:rPr>
          <w:lang w:val="pt-PT"/>
        </w:rPr>
      </w:pPr>
      <w:r>
        <w:rPr>
          <w:lang w:val="pt-PT"/>
        </w:rPr>
        <w:t>O design industrial, no contexto da saúde e das tecnologias de apoio, é reconhecido progressivamente como uma disciplina mediadora entre as necessidades humanas, os contextos de utilização e os sistemas técnicos regulados.</w:t>
      </w:r>
    </w:p>
    <w:p>
      <w:pPr>
        <w:pStyle w:val="Normal"/>
        <w:bidi w:val="0"/>
        <w:jc w:val="left"/>
        <w:rPr>
          <w:lang w:val="pt-PT"/>
        </w:rPr>
      </w:pPr>
      <w:r>
        <w:rP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Normal"/>
        <w:bidi w:val="0"/>
        <w:jc w:val="left"/>
        <w:rPr>
          <w:lang w:val="pt-PT"/>
        </w:rPr>
      </w:pPr>
      <w:r>
        <w:rPr>
          <w:lang w:val="pt-PT"/>
        </w:rPr>
        <w:t xml:space="preserve"> </w:t>
      </w:r>
      <w:r>
        <w:rPr>
          <w:lang w:val="pt-PT"/>
        </w:rPr>
        <w:t>Em particular, nas tecnologias de apoio, o design é descrito como um elemento que medeia a interação entre os utilizadores e o seu meio envolvente, contribuindo para reduzir barreiras funcionais e sociais e, consequentemente, para melhorar os resultados de participação e a qualidade de vida (Clarkson &amp; Coleman, 2010 (#ref-clarkson-2010); Shah &amp; Robinson, 2006 (#ref-shah-2006)).</w:t>
      </w:r>
    </w:p>
    <w:p>
      <w:pPr>
        <w:pStyle w:val="Normal"/>
        <w:bidi w:val="0"/>
        <w:jc w:val="left"/>
        <w:rPr>
          <w:lang w:val="pt-PT"/>
        </w:rPr>
      </w:pPr>
      <w:r>
        <w:rPr>
          <w:lang w:val="pt-PT"/>
        </w:rPr>
        <w:t>Paralelamente, o design inclusivo é apresentado como um imperativo contemporâneo que visa minimizar a exclusão evitável decorrente de decisões projetuais que não consideram a diversidade populacional e a variabilidade de capacidades ao longo do tempo. Esta perspetiva alinha-se com a responsabilidade dos sistemas de saúde de responder a utilizadores heterogéneos, com diferentes condições físicas, cognitivas e contextuais (Clarkson &amp; Coleman, 2010 (#ref-clarkson-2010)).</w:t>
      </w:r>
    </w:p>
    <w:p>
      <w:pPr>
        <w:pStyle w:val="Heading3"/>
        <w:bidi w:val="0"/>
        <w:jc w:val="left"/>
        <w:rPr>
          <w:lang w:val="pt-PT"/>
        </w:rPr>
      </w:pPr>
      <w:r>
        <w:rPr>
          <w:lang w:val="pt-PT"/>
        </w:rPr>
      </w:r>
    </w:p>
    <w:p>
      <w:pPr>
        <w:pStyle w:val="Heading3"/>
        <w:bidi w:val="0"/>
        <w:jc w:val="left"/>
        <w:rPr>
          <w:lang w:val="pt-PT"/>
        </w:rPr>
      </w:pPr>
      <w:r>
        <w:rPr>
          <w:lang w:val="pt-PT"/>
        </w:rPr>
        <w:t>Design industrial em dispositivos médicos</w:t>
      </w:r>
    </w:p>
    <w:p>
      <w:pPr>
        <w:pStyle w:val="Normal"/>
        <w:bidi w:val="0"/>
        <w:jc w:val="left"/>
        <w:rPr>
          <w:lang w:val="pt-PT"/>
        </w:rPr>
      </w:pPr>
      <w:r>
        <w:rPr>
          <w:lang w:val="pt-PT"/>
        </w:rPr>
      </w:r>
    </w:p>
    <w:p>
      <w:pPr>
        <w:pStyle w:val="Normal"/>
        <w:bidi w:val="0"/>
        <w:jc w:val="left"/>
        <w:rPr>
          <w:lang w:val="pt-PT"/>
        </w:rPr>
      </w:pPr>
      <w:r>
        <w:rPr>
          <w:lang w:val="pt-PT"/>
        </w:rPr>
        <w:t>No domínio dos dispositivos médicos, o design industrial surge tanto como prática metodológica centrada no utilizador como também com um papel colaborativo integrado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otimizadas em termos de ergonomia, usabilidade ou integração na vida quotidiana (Fisher &amp; Johansen, 2020 (#ref-fisher-2020); Wilke et al., 2020 (#ref-wilke-2020)).</w:t>
      </w:r>
    </w:p>
    <w:p>
      <w:pPr>
        <w:pStyle w:val="Normal"/>
        <w:bidi w:val="0"/>
        <w:jc w:val="left"/>
        <w:rPr>
          <w:lang w:val="pt-PT"/>
        </w:rPr>
      </w:pPr>
      <w:r>
        <w:rPr>
          <w:lang w:val="pt-PT"/>
        </w:rPr>
        <w:t>Neste contexto, o design industrial assume relevância não apenas na fase de conceptualização, mas também na definição de requisitos de utilização, na tradução de necessidades clínicas em soluções tangíveis e na articulação entre requisitos regulatórios e experiência do utilizador (Fisher &amp; Johansen, 2020 (#ref-fisher-2020); Shah &amp; Robinson, 2006 (#ref-shah-2006)).</w:t>
      </w:r>
    </w:p>
    <w:p>
      <w:pPr>
        <w:pStyle w:val="Normal"/>
        <w:bidi w:val="0"/>
        <w:jc w:val="left"/>
        <w:rPr>
          <w:lang w:val="pt-PT"/>
        </w:rPr>
      </w:pPr>
      <w:r>
        <w:rPr>
          <w:lang w:val="pt-PT"/>
        </w:rP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setor, utilizadores peritos, mediadores entre domínios e profissionais clínicos ou investigadores, como sintetiza a Tabela 2.1.</w:t>
      </w:r>
    </w:p>
    <w:p>
      <w:pPr>
        <w:pStyle w:val="Normal"/>
        <w:bidi w:val="0"/>
        <w:jc w:val="left"/>
        <w:rPr>
          <w:lang w:val="pt-PT"/>
        </w:rPr>
      </w:pPr>
      <w:r>
        <w:rPr>
          <w:lang w:val="pt-PT"/>
        </w:rPr>
      </w:r>
    </w:p>
    <w:p>
      <w:pPr>
        <w:pStyle w:val="Normal"/>
        <w:bidi w:val="0"/>
        <w:jc w:val="left"/>
        <w:rPr>
          <w:lang w:val="pt-PT"/>
        </w:rPr>
      </w:pPr>
      <w:r>
        <w:rPr>
          <w:lang w:val="pt-PT"/>
        </w:rPr>
        <w:t>Tabela 2.1 — Papéis dos profissionais de saúde no desenvolvimento de dispositivos médicos</w:t>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Intervenientes do setor</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Identificam oportunidades, especificações e condicionantes regulatórias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Mercado, estratégia e processos de certificação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Utilizadores peritos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Fornecem experiência clínica situada e problemas de uso</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Experiência do utilizador e adequação funcional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Traduzem linguagem, necessidades e constrangimentos entre equipas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Problemas técnicos, terminologia e entendimento partilhado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Profissionais clínicos e investigadores</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Enquadram cuidados, testes e validação empírica</w:t>
            </w:r>
          </w:p>
        </w:tc>
        <w:tc>
          <w:tcPr>
            <w:tcW w:w="300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Resultados clínicos, ensaios e usabilidade</w:t>
            </w:r>
          </w:p>
        </w:tc>
      </w:tr>
    </w:tbl>
    <w:p>
      <w:pPr>
        <w:pStyle w:val="Normal"/>
        <w:bidi w:val="0"/>
        <w:jc w:val="left"/>
        <w:rPr/>
      </w:pPr>
      <w:r>
        <w:rPr>
          <w:lang w:val="pt-PT"/>
        </w:rPr>
        <w:t xml:space="preserve">Fonte adaptada. Referência original: Kaygan, H., &amp; Kaygan, P. (2025). Clients and carers: Healthcare professionals’ roles in medical device development processes in SMEs. The Design Journal, 28(2), 213-231. </w:t>
      </w:r>
      <w:hyperlink r:id="rId6">
        <w:r>
          <w:rPr>
            <w:rStyle w:val="Hyperlink"/>
            <w:lang w:val="pt-PT"/>
          </w:rPr>
          <w:t>https://doi.org/10.1080/14606925.2024.2420152</w:t>
        </w:r>
      </w:hyperlink>
    </w:p>
    <w:p>
      <w:pPr>
        <w:pStyle w:val="Normal"/>
        <w:bidi w:val="0"/>
        <w:jc w:val="left"/>
        <w:rPr>
          <w:lang w:val="pt-PT"/>
        </w:rPr>
      </w:pPr>
      <w:r>
        <w:rPr>
          <w:lang w:val="pt-PT"/>
        </w:rPr>
      </w:r>
    </w:p>
    <w:p>
      <w:pPr>
        <w:pStyle w:val="Heading3"/>
        <w:bidi w:val="0"/>
        <w:jc w:val="left"/>
        <w:rPr>
          <w:lang w:val="pt-PT"/>
        </w:rPr>
      </w:pPr>
      <w:r>
        <w:rPr>
          <w:lang w:val="pt-PT"/>
        </w:rPr>
        <w:t>Design Inclusivo e Design Universal</w:t>
      </w:r>
    </w:p>
    <w:p>
      <w:pPr>
        <w:pStyle w:val="Heading3"/>
        <w:bidi w:val="0"/>
        <w:jc w:val="left"/>
        <w:rPr>
          <w:lang w:val="pt-PT"/>
        </w:rPr>
      </w:pPr>
      <w:r>
        <w:rPr>
          <w:lang w:val="pt-PT"/>
        </w:rPr>
      </w:r>
    </w:p>
    <w:p>
      <w:pPr>
        <w:pStyle w:val="Normal"/>
        <w:bidi w:val="0"/>
        <w:jc w:val="left"/>
        <w:rPr>
          <w:lang w:val="pt-PT"/>
        </w:rPr>
      </w:pPr>
      <w:r>
        <w:rPr>
          <w:lang w:val="pt-PT"/>
        </w:rPr>
        <w:t>O design inclusivo representa uma mudança conceptual significativa ao deslocar o foco da deficiência enquanto atributo individual para a compreensão da deficiência como resultado de desajustes entre capacidades humanas e ambientes projetados (Clarkson &amp; Coleman, 2010 (#ref-clarkson-2010)).</w:t>
      </w:r>
    </w:p>
    <w:p>
      <w:pPr>
        <w:pStyle w:val="Normal"/>
        <w:bidi w:val="0"/>
        <w:jc w:val="left"/>
        <w:rPr>
          <w:lang w:val="pt-PT"/>
        </w:rPr>
      </w:pPr>
      <w:r>
        <w:rPr>
          <w:lang w:val="pt-PT"/>
        </w:rPr>
        <w:t>Esta perspetiva aproxima-se dos modelos sociais e relacionais da deficiência, enfatizando que a exclusão pode ser produzida por decisões de projeto que não contemplam a diversidade de utilizadores (Clarkson &amp; Coleman, 2010 (#ref-clarkson-2010)).</w:t>
      </w:r>
    </w:p>
    <w:p>
      <w:pPr>
        <w:pStyle w:val="Normal"/>
        <w:bidi w:val="0"/>
        <w:jc w:val="left"/>
        <w:rPr>
          <w:lang w:val="pt-PT"/>
        </w:rPr>
      </w:pPr>
      <w:r>
        <w:rPr>
          <w:lang w:val="pt-PT"/>
        </w:rPr>
        <w:t>Enquanto campo de prática e investigação, o design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 (#ref-clarkson-2010)).</w:t>
      </w:r>
    </w:p>
    <w:p>
      <w:pPr>
        <w:pStyle w:val="Normal"/>
        <w:bidi w:val="0"/>
        <w:jc w:val="left"/>
        <w:rPr>
          <w:lang w:val="pt-PT"/>
        </w:rPr>
      </w:pPr>
      <w:r>
        <w:rPr>
          <w:lang w:val="pt-PT"/>
        </w:rPr>
        <w:t>O design universal, por sua vez, é frequentemente enquadrado como uma abordagem amplamente aplicada no design industrial, tendo como princípio orientador a conceção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 (#ref-story-2006)).</w:t>
      </w:r>
    </w:p>
    <w:p>
      <w:pPr>
        <w:pStyle w:val="Normal"/>
        <w:bidi w:val="0"/>
        <w:jc w:val="left"/>
        <w:rPr>
          <w:lang w:val="pt-PT"/>
        </w:rPr>
      </w:pPr>
      <w:r>
        <w:rPr>
          <w:lang w:val="pt-PT"/>
        </w:rPr>
        <w:t>Na área da saúde, o design universal é associado a abordagens centradas no paciente e avaliado por meio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(#ref-story-2006); White &amp; Mosca, 2022 (#ref-white-2022)).</w:t>
      </w:r>
    </w:p>
    <w:p>
      <w:pPr>
        <w:pStyle w:val="Heading3"/>
        <w:bidi w:val="0"/>
        <w:jc w:val="left"/>
        <w:rPr>
          <w:lang w:val="pt-PT"/>
        </w:rPr>
      </w:pPr>
      <w:r>
        <w:rPr>
          <w:lang w:val="pt-PT"/>
        </w:rPr>
      </w:r>
    </w:p>
    <w:p>
      <w:pPr>
        <w:pStyle w:val="Heading3"/>
        <w:bidi w:val="0"/>
        <w:jc w:val="left"/>
        <w:rPr>
          <w:lang w:val="pt-PT"/>
        </w:rPr>
      </w:pPr>
      <w:r>
        <w:rPr>
          <w:lang w:val="pt-PT"/>
        </w:rPr>
        <w:t>Design Centrado no Utilizador e Design Centrado no Humano</w:t>
      </w:r>
    </w:p>
    <w:p>
      <w:pPr>
        <w:pStyle w:val="Normal"/>
        <w:bidi w:val="0"/>
        <w:jc w:val="left"/>
        <w:rPr>
          <w:lang w:val="pt-PT"/>
        </w:rPr>
      </w:pPr>
      <w:r>
        <w:rPr>
          <w:lang w:val="pt-PT"/>
        </w:rPr>
      </w:r>
    </w:p>
    <w:p>
      <w:pPr>
        <w:pStyle w:val="Normal"/>
        <w:bidi w:val="0"/>
        <w:jc w:val="left"/>
        <w:rPr>
          <w:lang w:val="pt-PT"/>
        </w:rPr>
      </w:pPr>
      <w:r>
        <w:rPr>
          <w:lang w:val="pt-PT"/>
        </w:rPr>
        <w:t>O design centrado no utilizador (User-Centred Design – UCD) é descrito como uma abordagem que envolve os utilizadores finais ao longo de todo o processo de desenvolvimento, com o objetivo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(#ref-fisher-2020); Shah &amp; Robinson, 2006 (#ref-shah-2006)).</w:t>
      </w:r>
    </w:p>
    <w:p>
      <w:pPr>
        <w:pStyle w:val="Normal"/>
        <w:bidi w:val="0"/>
        <w:jc w:val="left"/>
        <w:rPr>
          <w:lang w:val="pt-PT"/>
        </w:rPr>
      </w:pPr>
      <w:r>
        <w:rPr>
          <w:lang w:val="pt-PT"/>
        </w:rPr>
        <w:t>O design centrado no humano (Human-Centred Design – HCD) amplia esta perspetiva ao integrar dimensões culturais, contextuais e sistémicas. No desenvolvimento de dispositivos médicos, o HCD é associado a práticas como etnografia, design participativo, mapeamento de jornadas (journey maps), mapeamento de stakeholders e avaliação de fatores humanos. A norma ISO 62366 d</w:t>
      </w:r>
      <w:r>
        <w:rPr/>
        <w:t>efine requisitos específicos para a aplicação da engenharia de usabilidade a dispositivos médicos, reforçando a integração formal de avaliações formativas e sumativas no processo regulado de desenvolvimento.</w:t>
      </w:r>
      <w:r>
        <w:rPr>
          <w:lang w:val="pt-PT"/>
        </w:rPr>
        <w:t xml:space="preserve"> (Fisher &amp; Johansen, 2020 (#ref-fisher-2020); Millet et al., 2018 (#ref-millet-2018)).</w:t>
      </w:r>
      <w:r>
        <w:rPr/>
        <w:commentReference w:id="1"/>
      </w:r>
    </w:p>
    <w:p>
      <w:pPr>
        <w:pStyle w:val="Normal"/>
        <w:bidi w:val="0"/>
        <w:jc w:val="left"/>
        <w:rPr>
          <w:lang w:val="pt-PT"/>
        </w:rPr>
      </w:pPr>
      <w:r>
        <w:rPr>
          <w:lang w:val="pt-PT"/>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 (#ref-millet-2018)).</w:t>
      </w:r>
    </w:p>
    <w:p>
      <w:pPr>
        <w:pStyle w:val="Heading3"/>
        <w:bidi w:val="0"/>
        <w:jc w:val="left"/>
        <w:rPr>
          <w:lang w:val="pt-PT"/>
        </w:rPr>
      </w:pPr>
      <w:r>
        <w:rPr>
          <w:lang w:val="pt-PT"/>
        </w:rPr>
      </w:r>
    </w:p>
    <w:p>
      <w:pPr>
        <w:pStyle w:val="Heading3"/>
        <w:bidi w:val="0"/>
        <w:jc w:val="left"/>
        <w:rPr>
          <w:lang w:val="pt-PT"/>
        </w:rPr>
      </w:pPr>
      <w:r>
        <w:rPr>
          <w:lang w:val="pt-PT"/>
        </w:rPr>
        <w:t>Design Participativo e Co-design</w:t>
      </w:r>
    </w:p>
    <w:p>
      <w:pPr>
        <w:pStyle w:val="Heading3"/>
        <w:bidi w:val="0"/>
        <w:jc w:val="left"/>
        <w:rPr>
          <w:lang w:val="pt-PT"/>
        </w:rPr>
      </w:pPr>
      <w:r>
        <w:rPr>
          <w:lang w:val="pt-PT"/>
        </w:rPr>
      </w:r>
    </w:p>
    <w:p>
      <w:pPr>
        <w:pStyle w:val="Normal"/>
        <w:bidi w:val="0"/>
        <w:jc w:val="left"/>
        <w:rPr>
          <w:lang w:val="pt-PT"/>
        </w:rPr>
      </w:pPr>
      <w:r>
        <w:rPr>
          <w:lang w:val="pt-PT"/>
        </w:rPr>
        <w:t>O design participativo e o co-design representam um aprofundamento das abordagens centradas no utilizador, enfatizando a participação ativa e o empoderamento dos utilizadores no processo de projeto. Nestes modelos, os utilizadores não são apenas fontes de dados, mas também colaboradores na definição de problemas, na geração de soluções e na avaliação de protótipos (Chapman et al., 2025 (#ref-chapman-2025)).</w:t>
      </w:r>
    </w:p>
    <w:p>
      <w:pPr>
        <w:pStyle w:val="Normal"/>
        <w:bidi w:val="0"/>
        <w:jc w:val="left"/>
        <w:rPr>
          <w:lang w:val="pt-PT"/>
        </w:rPr>
      </w:pPr>
      <w:r>
        <w:rPr>
          <w:lang w:val="pt-PT"/>
        </w:rP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(#ref-chapman-2025)). Persistem tensões entre ideais participativos e contextos regulatórios altamente estruturados, nos quais a autoridade decisional permanece frequentemente concentrada em profissionais clínicos e em equipas técnicas (Chapman et al., 2025 (#ref-chapman-2025); Wilke et al., 2020 (#ref-wilke-2020)).</w:t>
      </w:r>
    </w:p>
    <w:p>
      <w:pPr>
        <w:pStyle w:val="Normal"/>
        <w:bidi w:val="0"/>
        <w:jc w:val="left"/>
        <w:rPr>
          <w:lang w:val="pt-PT"/>
        </w:rPr>
      </w:pPr>
      <w:r>
        <w:rPr>
          <w:lang w:val="pt-PT"/>
        </w:rPr>
      </w:r>
    </w:p>
    <w:p>
      <w:pPr>
        <w:pStyle w:val="Heading3"/>
        <w:bidi w:val="0"/>
        <w:jc w:val="left"/>
        <w:rPr>
          <w:lang w:val="pt-PT"/>
        </w:rPr>
      </w:pPr>
      <w:r>
        <w:rPr>
          <w:lang w:val="pt-PT"/>
        </w:rPr>
        <w:t>Metodologias, instrumentos e avaliação</w:t>
      </w:r>
    </w:p>
    <w:p>
      <w:pPr>
        <w:pStyle w:val="Normal"/>
        <w:bidi w:val="0"/>
        <w:jc w:val="left"/>
        <w:rPr>
          <w:lang w:val="pt-PT"/>
        </w:rPr>
      </w:pPr>
      <w:r>
        <w:rPr>
          <w:lang w:val="pt-PT"/>
        </w:rPr>
      </w:r>
    </w:p>
    <w:p>
      <w:pPr>
        <w:pStyle w:val="Normal"/>
        <w:bidi w:val="0"/>
        <w:jc w:val="left"/>
        <w:rPr>
          <w:lang w:val="pt-PT"/>
        </w:rPr>
      </w:pPr>
      <w:r>
        <w:rPr>
          <w:lang w:val="pt-PT"/>
        </w:rPr>
        <w:t>A literatura evidencia que as abordagens inclusivas e centradas no utilizador recorrem a repertórios metodológicos diversificados, incluindo personas, simulação de limitações, prototipagem iterativa, oficinas participativas e análise de ecossistemas de stakeholders (Fisher &amp; Johansen, 2020 (#ref-fisher-2020); Shah &amp; Robinson, 2006 (#ref-shah-2006)).</w:t>
      </w:r>
    </w:p>
    <w:p>
      <w:pPr>
        <w:pStyle w:val="Normal"/>
        <w:bidi w:val="0"/>
        <w:jc w:val="left"/>
        <w:rPr>
          <w:lang w:val="pt-PT"/>
        </w:rPr>
      </w:pPr>
      <w:r>
        <w:rPr>
          <w:lang w:val="pt-PT"/>
        </w:rP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 (#ref-white-2022)).</w:t>
      </w:r>
    </w:p>
    <w:p>
      <w:pPr>
        <w:pStyle w:val="Normal"/>
        <w:bidi w:val="0"/>
        <w:jc w:val="left"/>
        <w:rPr>
          <w:lang w:val="pt-PT"/>
        </w:rPr>
      </w:pPr>
      <w:r>
        <w:rPr>
          <w:lang w:val="pt-PT"/>
        </w:rPr>
        <w:t>Em contextos de tecnologias de apoio, modelos como o Matching Person and Technology (MPT)</w:t>
      </w:r>
      <w:r>
        <w:rPr>
          <w:rStyle w:val="FootnoteReference"/>
          <w:lang w:val="pt-PT"/>
        </w:rPr>
        <w:footnoteReference w:id="3"/>
      </w:r>
      <w:r>
        <w:rPr>
          <w:lang w:val="pt-PT"/>
        </w:rPr>
        <w:t xml:space="preserve"> e quadros conceptuais baseados na Classificação Internacional de Funcionalidade (ICF) são utilizados para apoiar decisões de seleção e de adequação tecnológica, promovendo o alinhamento entre as características do utilizador, do ambiente e do dispositivo (White &amp; Mosca, 2022 (#ref-white-2022)).</w:t>
      </w:r>
    </w:p>
    <w:p>
      <w:pPr>
        <w:pStyle w:val="Normal"/>
        <w:bidi w:val="0"/>
        <w:jc w:val="left"/>
        <w:rPr>
          <w:lang w:val="pt-PT"/>
        </w:rPr>
      </w:pPr>
      <w:r>
        <w:rPr>
          <w:lang w:val="pt-PT"/>
        </w:rPr>
        <w:t>A avaliação da evidência tem sido igualmente reforçada através do uso de protocolos sistemáticos, como o PRISMA</w:t>
      </w:r>
      <w:r>
        <w:rPr>
          <w:rStyle w:val="FootnoteReference"/>
          <w:lang w:val="pt-PT"/>
        </w:rPr>
        <w:footnoteReference w:id="4"/>
      </w:r>
      <w:r>
        <w:rPr>
          <w:lang w:val="pt-PT"/>
        </w:rPr>
        <w:t>, que orienta a identificação, seleção e apresentação transparente dos estudos analisados, bem como de instrumentos de avaliação crítica. Esta evolução reflete uma preocupação crescente em fundamentar decisões de design numa base empírica robusta. (Chapman et al., 2025 (#ref-chapman-2025)).</w:t>
      </w:r>
    </w:p>
    <w:p>
      <w:pPr>
        <w:pStyle w:val="Heading3"/>
        <w:bidi w:val="0"/>
        <w:jc w:val="left"/>
        <w:rPr>
          <w:lang w:val="pt-PT"/>
        </w:rPr>
      </w:pPr>
      <w:r>
        <w:rPr>
          <w:lang w:val="pt-PT"/>
        </w:rPr>
      </w:r>
    </w:p>
    <w:p>
      <w:pPr>
        <w:pStyle w:val="Heading3"/>
        <w:bidi w:val="0"/>
        <w:jc w:val="left"/>
        <w:rPr>
          <w:lang w:val="pt-PT"/>
        </w:rPr>
      </w:pPr>
      <w:r>
        <w:rPr>
          <w:lang w:val="pt-PT"/>
        </w:rPr>
        <w:t>Desafios e lacunas</w:t>
      </w:r>
    </w:p>
    <w:p>
      <w:pPr>
        <w:pStyle w:val="Normal"/>
        <w:bidi w:val="0"/>
        <w:jc w:val="left"/>
        <w:rPr>
          <w:lang w:val="pt-PT"/>
        </w:rPr>
      </w:pPr>
      <w:r>
        <w:rPr>
          <w:lang w:val="pt-PT"/>
        </w:rPr>
      </w:r>
    </w:p>
    <w:p>
      <w:pPr>
        <w:pStyle w:val="Normal"/>
        <w:bidi w:val="0"/>
        <w:jc w:val="left"/>
        <w:rPr>
          <w:lang w:val="pt-PT"/>
        </w:rPr>
      </w:pPr>
      <w:r>
        <w:rPr>
          <w:lang w:val="pt-PT"/>
        </w:rPr>
        <w:t xml:space="preserve">Entre os principais desafios identificados destacam-se: – a articulação entre padronização e personalização, particularmente relevante em dispositivos médicos sujeitos a regulamentação rigorosa; – a discrepância entre modelos teóricos de UCD ensinados academicamente e as restrições institucionais à prática em saúde; – a dificuldade de tradução de processos participativos para contextos de implementação e de expansão; – e a necessidade de integrar dimensões interseccionais (como género e fatores socioculturais) na investigação e no desenvolvimento (Privitera, 2017; </w:t>
      </w:r>
      <w:r>
        <w:rPr>
          <w:b w:val="false"/>
          <w:i w:val="false"/>
          <w:sz w:val="22"/>
        </w:rPr>
        <w:t xml:space="preserve"> Oldfrey</w:t>
      </w:r>
      <w:r>
        <w:rPr>
          <w:b w:val="false"/>
          <w:i w:val="false"/>
          <w:sz w:val="22"/>
          <w:lang w:val="pt-PT"/>
        </w:rPr>
        <w:t xml:space="preserve"> et al 2024; </w:t>
      </w:r>
      <w:r>
        <w:rPr>
          <w:b w:val="false"/>
          <w:i w:val="false"/>
          <w:sz w:val="22"/>
        </w:rPr>
        <w:t xml:space="preserve">  Mc Guinness et al</w:t>
      </w:r>
      <w:r>
        <w:rPr>
          <w:b w:val="false"/>
          <w:i w:val="false"/>
          <w:sz w:val="22"/>
          <w:lang w:val="pt-PT"/>
        </w:rPr>
        <w:t>, 2025</w:t>
      </w:r>
      <w:r>
        <w:rPr>
          <w:lang w:val="pt-PT"/>
        </w:rPr>
        <w:t>).</w:t>
      </w:r>
      <w:r>
        <w:rPr/>
        <w:commentReference w:id="2"/>
      </w:r>
    </w:p>
    <w:p>
      <w:pPr>
        <w:pStyle w:val="Normal"/>
        <w:bidi w:val="0"/>
        <w:jc w:val="left"/>
        <w:rPr>
          <w:lang w:val="pt-PT"/>
        </w:rPr>
      </w:pPr>
      <w:r>
        <w:rPr>
          <w:lang w:val="pt-PT"/>
        </w:rP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Normal"/>
        <w:bidi w:val="0"/>
        <w:jc w:val="left"/>
        <w:rPr>
          <w:lang w:val="pt-PT"/>
        </w:rPr>
      </w:pPr>
      <w:r>
        <w:rPr>
          <w:lang w:val="pt-PT"/>
        </w:rPr>
      </w:r>
    </w:p>
    <w:p>
      <w:pPr>
        <w:pStyle w:val="Heading3"/>
        <w:bidi w:val="0"/>
        <w:jc w:val="left"/>
        <w:rPr>
          <w:lang w:val="pt-PT"/>
        </w:rPr>
      </w:pPr>
      <w:r>
        <w:rPr>
          <w:lang w:val="pt-PT"/>
        </w:rPr>
        <w:t>2.3 Fabricação Aditiva e parametrização no design de produto</w:t>
      </w:r>
    </w:p>
    <w:p>
      <w:pPr>
        <w:pStyle w:val="Heading3"/>
        <w:bidi w:val="0"/>
        <w:jc w:val="left"/>
        <w:rPr>
          <w:lang w:val="pt-PT"/>
        </w:rPr>
      </w:pPr>
      <w:r>
        <w:rPr>
          <w:lang w:val="pt-PT"/>
        </w:rPr>
      </w:r>
    </w:p>
    <w:p>
      <w:pPr>
        <w:pStyle w:val="Normal"/>
        <w:bidi w:val="0"/>
        <w:jc w:val="left"/>
        <w:rPr>
          <w:lang w:val="pt-PT"/>
        </w:rPr>
      </w:pPr>
      <w:r>
        <w:rPr>
          <w:lang w:val="pt-PT"/>
        </w:rPr>
        <w:t>A convergência entre modelação paramétrica e fabricação aditiva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fabricação aditiva viabiliza a materialização de geometrias complexas sem necessidade de moldes ou ferramentas dedicadas (Lei et al., 2016 (#ref-lei-2016); Ozdemir et al., 2022 (#ref-ozdemir-2022); Stralen, 2018 (#ref-stralen-2018)).</w:t>
      </w:r>
    </w:p>
    <w:p>
      <w:pPr>
        <w:pStyle w:val="Normal"/>
        <w:bidi w:val="0"/>
        <w:jc w:val="left"/>
        <w:rPr>
          <w:lang w:val="pt-PT"/>
        </w:rPr>
      </w:pPr>
      <w:r>
        <w:rPr>
          <w:lang w:val="pt-PT"/>
        </w:rPr>
        <w:t>Esta articulação é representada com clareza na Figura 2.3, que resume o encadeamento entre aquisição digital, modelação/retificação e fabrico, evidenciando que a personalização depende menos de um único software ou de uma etapa isolada e mais de um workflow integrado.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924300"/>
            <wp:effectExtent l="0" t="0" r="0" b="0"/>
            <wp:docPr id="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7"/>
                    <a:stretch>
                      <a:fillRect/>
                    </a:stretch>
                  </pic:blipFill>
                  <pic:spPr bwMode="auto">
                    <a:xfrm>
                      <a:off x="0" y="0"/>
                      <a:ext cx="5715000" cy="3924300"/>
                    </a:xfrm>
                    <a:prstGeom prst="rect">
                      <a:avLst/>
                    </a:prstGeom>
                    <a:noFill/>
                  </pic:spPr>
                </pic:pic>
              </a:graphicData>
            </a:graphic>
          </wp:inline>
        </w:drawing>
      </w:r>
    </w:p>
    <w:p>
      <w:pPr>
        <w:pStyle w:val="Normal"/>
        <w:bidi w:val="0"/>
        <w:jc w:val="left"/>
        <w:rPr>
          <w:lang w:val="pt-PT"/>
        </w:rPr>
      </w:pPr>
      <w:r>
        <w:rPr>
          <w:lang w:val="pt-PT"/>
        </w:rPr>
        <w:t>Figura 2.3 — Fluxo digital entre aquisição, CAD/CAM e fabricação aditiva em próteses e ortóteses.</w:t>
      </w:r>
    </w:p>
    <w:p>
      <w:pPr>
        <w:pStyle w:val="Normal"/>
        <w:bidi w:val="0"/>
        <w:jc w:val="left"/>
        <w:rPr>
          <w:lang w:val="pt-PT"/>
        </w:rPr>
      </w:pPr>
      <w:r>
        <w:rPr>
          <w:lang w:val="pt-PT"/>
        </w:rPr>
        <w:t xml:space="preserve">Fonte original: Chainando, N., Faephu, C., Suwaphong, N., Bureerat, S., Limphirat, W., Thammajaruk, P., &amp; Syafrudin, M. (2025). Applying 3D scanning and printing techniques to produce upper limb prostheses: Bibliometric analysis and scoping review. Prosthesis, 7(2), 26. </w:t>
      </w:r>
      <w:hyperlink r:id="rId8">
        <w:r>
          <w:rPr>
            <w:rStyle w:val="Hyperlink"/>
            <w:lang w:val="pt-PT"/>
          </w:rPr>
          <w:t>https://www.mdpi.com/2673-1592/7/2/26/pdf?version=1740996517</w:t>
        </w:r>
      </w:hyperlink>
    </w:p>
    <w:p>
      <w:pPr>
        <w:pStyle w:val="Normal"/>
        <w:bidi w:val="0"/>
        <w:jc w:val="left"/>
        <w:rPr>
          <w:lang w:val="pt-PT"/>
        </w:rPr>
      </w:pPr>
      <w:r>
        <w:rPr>
          <w:lang w:val="pt-PT"/>
        </w:rPr>
      </w:r>
    </w:p>
    <w:p>
      <w:pPr>
        <w:pStyle w:val="Normal"/>
        <w:bidi w:val="0"/>
        <w:jc w:val="left"/>
        <w:rPr>
          <w:lang w:val="pt-PT"/>
        </w:rPr>
      </w:pPr>
      <w:r>
        <w:rPr>
          <w:lang w:val="pt-PT"/>
        </w:rPr>
        <w:t>Neste enquadramento, a personalização deixa de ser entendida como exceção e passa a constituir uma estratégia estruturada, operacionalizada por meio de “seed designs”</w:t>
      </w:r>
      <w:r>
        <w:rPr>
          <w:rStyle w:val="FootnoteReference"/>
          <w:lang w:val="pt-PT"/>
        </w:rPr>
        <w:footnoteReference w:id="5"/>
      </w:r>
      <w:r>
        <w:rPr>
          <w:lang w:val="pt-PT"/>
        </w:rPr>
        <w:t xml:space="preserve"> ou modelos-base parametrizados. Estes modelos preservam uma arquitetura estável, expondo simultaneamente um conjunto limitado de variáveis ajustáveis, frequentemente acessíveis por meio de interfaces digitais ou de configuradores destinados a utilizadores não especialistas (Ozdemir et al., 2022 (#ref-ozdemir-2022); Stralen, 2018 (#ref-stralen-2018)).</w:t>
      </w:r>
    </w:p>
    <w:p>
      <w:pPr>
        <w:pStyle w:val="Normal"/>
        <w:bidi w:val="0"/>
        <w:jc w:val="left"/>
        <w:rPr>
          <w:lang w:val="pt-PT"/>
        </w:rPr>
      </w:pPr>
      <w:r>
        <w:rPr>
          <w:lang w:val="pt-PT"/>
        </w:rPr>
      </w:r>
    </w:p>
    <w:p>
      <w:pPr>
        <w:pStyle w:val="Heading3"/>
        <w:bidi w:val="0"/>
        <w:jc w:val="left"/>
        <w:rPr>
          <w:lang w:val="pt-PT"/>
        </w:rPr>
      </w:pPr>
      <w:r>
        <w:rPr>
          <w:lang w:val="pt-PT"/>
        </w:rPr>
        <w:t>Modelação Paramétrica e Espaços de Variação</w:t>
      </w:r>
    </w:p>
    <w:p>
      <w:pPr>
        <w:pStyle w:val="Normal"/>
        <w:bidi w:val="0"/>
        <w:jc w:val="left"/>
        <w:rPr>
          <w:lang w:val="pt-PT"/>
        </w:rPr>
      </w:pPr>
      <w:r>
        <w:rPr>
          <w:lang w:val="pt-PT"/>
        </w:rPr>
      </w:r>
    </w:p>
    <w:p>
      <w:pPr>
        <w:pStyle w:val="Normal"/>
        <w:bidi w:val="0"/>
        <w:jc w:val="left"/>
        <w:rPr>
          <w:lang w:val="pt-PT"/>
        </w:rPr>
      </w:pPr>
      <w:r>
        <w:rPr>
          <w:lang w:val="pt-PT"/>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(#ref-lei-2016); Ozdemir et al., 2022 (#ref-ozdemir-2022)).</w:t>
      </w:r>
    </w:p>
    <w:p>
      <w:pPr>
        <w:pStyle w:val="Normal"/>
        <w:bidi w:val="0"/>
        <w:jc w:val="left"/>
        <w:rPr>
          <w:lang w:val="pt-PT"/>
        </w:rPr>
      </w:pPr>
      <w:r>
        <w:rPr>
          <w:lang w:val="pt-PT"/>
        </w:rPr>
        <w:t>No contexto da adaptação ao utilizador, a literatura destaca que a parametrização torna-se particularmente eficaz quando associada a dados mensuráveis, como a antropometria ou as digitalizações tridimensionais.</w:t>
      </w:r>
    </w:p>
    <w:p>
      <w:pPr>
        <w:pStyle w:val="Normal"/>
        <w:bidi w:val="0"/>
        <w:jc w:val="left"/>
        <w:rPr>
          <w:lang w:val="pt-PT"/>
        </w:rPr>
      </w:pPr>
      <w:r>
        <w:rPr>
          <w:lang w:val="pt-PT"/>
        </w:rP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 (#ref-lim-2018)).</w:t>
      </w:r>
    </w:p>
    <w:p>
      <w:pPr>
        <w:pStyle w:val="Normal"/>
        <w:bidi w:val="0"/>
        <w:jc w:val="left"/>
        <w:rPr>
          <w:lang w:val="pt-PT"/>
        </w:rPr>
      </w:pPr>
      <w:r>
        <w:rPr>
          <w:lang w:val="pt-PT"/>
        </w:rPr>
      </w:r>
    </w:p>
    <w:p>
      <w:pPr>
        <w:pStyle w:val="Heading3"/>
        <w:bidi w:val="0"/>
        <w:jc w:val="left"/>
        <w:rPr>
          <w:lang w:val="pt-PT"/>
        </w:rPr>
      </w:pPr>
      <w:r>
        <w:rPr>
          <w:lang w:val="pt-PT"/>
        </w:rPr>
        <w:t>Integração com Fabricação Aditiva e Design for Additive Manufacturing</w:t>
      </w:r>
    </w:p>
    <w:p>
      <w:pPr>
        <w:pStyle w:val="Normal"/>
        <w:bidi w:val="0"/>
        <w:jc w:val="left"/>
        <w:rPr>
          <w:lang w:val="pt-PT"/>
        </w:rPr>
      </w:pPr>
      <w:r>
        <w:rPr>
          <w:lang w:val="pt-PT"/>
        </w:rPr>
      </w:r>
    </w:p>
    <w:p>
      <w:pPr>
        <w:pStyle w:val="Normal"/>
        <w:bidi w:val="0"/>
        <w:jc w:val="left"/>
        <w:rPr>
          <w:lang w:val="pt-PT"/>
        </w:rPr>
      </w:pPr>
      <w:r>
        <w:rPr>
          <w:lang w:val="pt-PT"/>
        </w:rPr>
        <w:t>A eficácia da personalização depende da integração precoce dos constrangimentos do processo de fabricação aditiva no processo de projeto.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(#ref-chtioui-2023); Wiberg et al., 2019 (#ref-wiberg-2019)).</w:t>
      </w:r>
    </w:p>
    <w:p>
      <w:pPr>
        <w:pStyle w:val="Normal"/>
        <w:bidi w:val="0"/>
        <w:jc w:val="left"/>
        <w:rPr>
          <w:lang w:val="pt-PT"/>
        </w:rPr>
      </w:pPr>
      <w:r>
        <w:rPr>
          <w:lang w:val="pt-PT"/>
        </w:rPr>
        <w:t>Estudos aplicados demonstram que, ao determinar experimentalmente constrangimentos do processo e incorporá-los ao modelo paramétrico, é possível gerar milhares de variantes únicas com elevada taxa de sucesso funcional, minimizando as reimpressões (Wiberg et al., 2019 (#ref-wiberg-2019)). [^9]</w:t>
      </w:r>
    </w:p>
    <w:p>
      <w:pPr>
        <w:pStyle w:val="Normal"/>
        <w:bidi w:val="0"/>
        <w:jc w:val="left"/>
        <w:rPr>
          <w:lang w:val="pt-PT"/>
        </w:rPr>
      </w:pPr>
      <w:r>
        <w:rPr>
          <w:lang w:val="pt-PT"/>
        </w:rPr>
        <w:t>Esta evidência reforça a necessidade de uma ligação sistemática entre as fases de design e manufatura, contrariando abordagens que tratam a fabricação como etapa posterior e corretiva (Chtioui et al., 2023 (#ref-chtioui-2023); Wiberg et al., 2019 (#ref-wiberg-2019)).</w:t>
      </w:r>
    </w:p>
    <w:p>
      <w:pPr>
        <w:pStyle w:val="Normal"/>
        <w:bidi w:val="0"/>
        <w:jc w:val="left"/>
        <w:rPr>
          <w:lang w:val="pt-PT"/>
        </w:rPr>
      </w:pPr>
      <w:r>
        <w:rPr>
          <w:lang w:val="pt-PT"/>
        </w:rPr>
        <w:t>As tecnologias de fabricação aditiva (FA) utilizadas incluem FDM/FFF (extrusão de termoplásticos), SLS (fusão seletiva a laser), SLA (estereolitografia) e processos industriais metálicos, o que reflete a diversidade de rotas produtivas para componentes personalizados. Cada tecnologia implica requisitos específicos de projeto, reforçando a importância de integrar critérios técnicos no modelo paramétrico desde o início (Chtioui et al., 2023 (#ref-chtioui-2023); Wiberg et al., 2019 (#ref-wiberg-2019)).[^10]</w:t>
      </w:r>
    </w:p>
    <w:p>
      <w:pPr>
        <w:pStyle w:val="Normal"/>
        <w:bidi w:val="0"/>
        <w:jc w:val="left"/>
        <w:rPr>
          <w:lang w:val="pt-PT"/>
        </w:rPr>
      </w:pPr>
      <w:r>
        <w:rPr>
          <w:lang w:val="pt-PT"/>
        </w:rPr>
      </w:r>
    </w:p>
    <w:p>
      <w:pPr>
        <w:pStyle w:val="Heading3"/>
        <w:bidi w:val="0"/>
        <w:jc w:val="left"/>
        <w:rPr>
          <w:lang w:val="pt-PT"/>
        </w:rPr>
      </w:pPr>
      <w:r>
        <w:rPr>
          <w:lang w:val="pt-PT"/>
        </w:rPr>
        <w:t>Configuradores e Cocriação Digital</w:t>
      </w:r>
    </w:p>
    <w:p>
      <w:pPr>
        <w:pStyle w:val="Normal"/>
        <w:bidi w:val="0"/>
        <w:jc w:val="left"/>
        <w:rPr>
          <w:lang w:val="pt-PT"/>
        </w:rPr>
      </w:pPr>
      <w:r>
        <w:rPr>
          <w:lang w:val="pt-PT"/>
        </w:rPr>
      </w:r>
    </w:p>
    <w:p>
      <w:pPr>
        <w:pStyle w:val="Normal"/>
        <w:bidi w:val="0"/>
        <w:jc w:val="left"/>
        <w:rPr>
          <w:lang w:val="pt-PT"/>
        </w:rPr>
      </w:pPr>
      <w:r>
        <w:rPr>
          <w:lang w:val="pt-PT"/>
        </w:rP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(#ref-ozdemir-2022); Stralen, 2018 (#ref-stralen-2018)).</w:t>
      </w:r>
    </w:p>
    <w:p>
      <w:pPr>
        <w:pStyle w:val="Normal"/>
        <w:bidi w:val="0"/>
        <w:jc w:val="left"/>
        <w:rPr>
          <w:lang w:val="pt-PT"/>
        </w:rPr>
      </w:pPr>
      <w:r>
        <w:rPr>
          <w:lang w:val="pt-PT"/>
        </w:rP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direto de ferramentas CAD complexas.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019425"/>
            <wp:effectExtent l="0" t="0" r="0" b="0"/>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a:picLocks noChangeAspect="1" noChangeArrowheads="1"/>
                    </pic:cNvPicPr>
                  </pic:nvPicPr>
                  <pic:blipFill>
                    <a:blip r:embed="rId9"/>
                    <a:stretch>
                      <a:fillRect/>
                    </a:stretch>
                  </pic:blipFill>
                  <pic:spPr bwMode="auto">
                    <a:xfrm>
                      <a:off x="0" y="0"/>
                      <a:ext cx="5715000" cy="3019425"/>
                    </a:xfrm>
                    <a:prstGeom prst="rect">
                      <a:avLst/>
                    </a:prstGeom>
                    <a:noFill/>
                  </pic:spPr>
                </pic:pic>
              </a:graphicData>
            </a:graphic>
          </wp:inline>
        </w:drawing>
      </w:r>
    </w:p>
    <w:p>
      <w:pPr>
        <w:pStyle w:val="Normal"/>
        <w:bidi w:val="0"/>
        <w:jc w:val="left"/>
        <w:rPr>
          <w:lang w:val="pt-PT"/>
        </w:rPr>
      </w:pPr>
      <w:r>
        <w:rPr>
          <w:lang w:val="pt-PT"/>
        </w:rPr>
        <w:t>Figura 2.4 — Exemplo de configurador digital para personalização de uma prótese impressa em 3D.</w:t>
      </w:r>
    </w:p>
    <w:p>
      <w:pPr>
        <w:pStyle w:val="Normal"/>
        <w:bidi w:val="0"/>
        <w:jc w:val="left"/>
        <w:rPr>
          <w:lang w:val="pt-PT"/>
        </w:rPr>
      </w:pPr>
      <w:r>
        <w:rPr>
          <w:lang w:val="pt-PT"/>
        </w:rPr>
        <w:t>Fonte original: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Este modelo “</w:t>
      </w:r>
      <w:r>
        <w:rPr>
          <w:i/>
          <w:iCs/>
          <w:lang w:val="pt-PT"/>
        </w:rPr>
        <w:t>file-to-factory</w:t>
      </w:r>
      <w:r>
        <w:rPr>
          <w:lang w:val="pt-PT"/>
        </w:rPr>
        <w:t>”</w:t>
      </w:r>
      <w:r>
        <w:rPr>
          <w:rStyle w:val="FootnoteReference"/>
          <w:lang w:val="pt-PT"/>
        </w:rPr>
        <w:footnoteReference w:id="6"/>
      </w:r>
      <w:r>
        <w:rPr>
          <w:lang w:val="pt-PT"/>
        </w:rPr>
        <w:t xml:space="preserve"> viabiliza fluxos digitais em que o ficheiro parametrizado é convertido diretamente em instruções de fabrico, seja localmente (impressão 3D descentralizada) ou através de uma encomenda online[^11]. </w:t>
      </w:r>
      <w:r>
        <w:rPr/>
        <w:t>A literatura associa esta lógica à democratização do design e à expansão de estratégias de customização em massa (</w:t>
      </w:r>
      <w:r>
        <w:rPr>
          <w:rStyle w:val="Emphasis"/>
        </w:rPr>
        <w:t>mass customization</w:t>
      </w:r>
      <w:r>
        <w:rPr/>
        <w:t>) e personalização em massa (</w:t>
      </w:r>
      <w:r>
        <w:rPr>
          <w:rStyle w:val="Emphasis"/>
        </w:rPr>
        <w:t>mass personalization</w:t>
      </w:r>
      <w:r>
        <w:rPr/>
        <w:t>), reduzindo custos marginais ao dispensar moldes e dispositivos específicos de fabrico.[^12]</w:t>
      </w:r>
      <w:r>
        <w:rPr>
          <w:lang w:val="pt-PT"/>
        </w:rPr>
        <w:t xml:space="preserve"> (Lei et al., 2016 (#ref-lei-2016); Stralen, 2018 (#ref-stralen-2018)).</w:t>
      </w:r>
    </w:p>
    <w:p>
      <w:pPr>
        <w:pStyle w:val="Normal"/>
        <w:bidi w:val="0"/>
        <w:jc w:val="left"/>
        <w:rPr>
          <w:lang w:val="pt-PT"/>
        </w:rPr>
      </w:pPr>
      <w:r>
        <w:rPr>
          <w:lang w:val="pt-PT"/>
        </w:rPr>
      </w:r>
    </w:p>
    <w:p>
      <w:pPr>
        <w:pStyle w:val="Normal"/>
        <w:bidi w:val="0"/>
        <w:jc w:val="left"/>
        <w:rPr>
          <w:lang w:val="pt-PT"/>
        </w:rPr>
      </w:pPr>
      <w:r>
        <w:rPr>
          <w:lang w:val="pt-PT"/>
        </w:rPr>
        <w:t>Contudo, enfatiza-se que configuradores eficazes devem limitar o número de parâmetros expostos e fornecer orientação clara sobre os limites válidos, evitando complexidade excessiva ou escolhas superficiais (Ozdemir et al., 2022 (#ref-ozdemir-2022)).</w:t>
      </w:r>
    </w:p>
    <w:p>
      <w:pPr>
        <w:pStyle w:val="Heading3"/>
        <w:bidi w:val="0"/>
        <w:jc w:val="left"/>
        <w:rPr>
          <w:lang w:val="pt-PT"/>
        </w:rPr>
      </w:pPr>
      <w:r>
        <w:rPr>
          <w:lang w:val="pt-PT"/>
        </w:rPr>
      </w:r>
    </w:p>
    <w:p>
      <w:pPr>
        <w:pStyle w:val="Heading3"/>
        <w:bidi w:val="0"/>
        <w:jc w:val="left"/>
        <w:rPr>
          <w:lang w:val="pt-PT"/>
        </w:rPr>
      </w:pPr>
      <w:r>
        <w:rPr>
          <w:lang w:val="pt-PT"/>
        </w:rPr>
        <w:t>Otimização, Geração e Avaliação de Desempenho</w:t>
      </w:r>
    </w:p>
    <w:p>
      <w:pPr>
        <w:pStyle w:val="Normal"/>
        <w:bidi w:val="0"/>
        <w:jc w:val="left"/>
        <w:rPr>
          <w:lang w:val="pt-PT"/>
        </w:rPr>
      </w:pPr>
      <w:r>
        <w:rPr>
          <w:lang w:val="pt-PT"/>
        </w:rPr>
      </w:r>
    </w:p>
    <w:p>
      <w:pPr>
        <w:pStyle w:val="Normal"/>
        <w:bidi w:val="0"/>
        <w:jc w:val="left"/>
        <w:rPr>
          <w:lang w:val="pt-PT"/>
        </w:rPr>
      </w:pPr>
      <w:r>
        <w:rPr>
          <w:lang w:val="pt-PT"/>
        </w:rPr>
        <w:t>A parametrização é frequentemente combinada com métodos de otimização topológica, de geração de estruturas reticuladas e de abordagens multiobjetivo. Estas estratégias permitem gerir compromissos entre peso, resistência, custo e tempo de fabrico, explorando fronteiras de Pareto</w:t>
      </w:r>
      <w:r>
        <w:rPr>
          <w:rStyle w:val="FootnoteReference"/>
          <w:lang w:val="pt-PT"/>
        </w:rPr>
        <w:footnoteReference w:id="7"/>
      </w:r>
      <w:r>
        <w:rPr>
          <w:lang w:val="pt-PT"/>
        </w:rPr>
        <w:t xml:space="preserve"> para selecionar soluções alinhadas com objetivos específicos (Lei et al., 2016 (#ref-lei-2016); Yao et al., 2016 (#ref-yao-2016)).</w:t>
      </w:r>
    </w:p>
    <w:p>
      <w:pPr>
        <w:pStyle w:val="Normal"/>
        <w:bidi w:val="0"/>
        <w:jc w:val="left"/>
        <w:rPr>
          <w:lang w:val="pt-PT"/>
        </w:rPr>
      </w:pPr>
      <w:r>
        <w:rPr>
          <w:lang w:val="pt-PT"/>
        </w:rPr>
        <w:t>Em contextos médicos e assistivos, estudos demonstram a integração de modelos paramétricos com análises de elementos finitos (FEM) para validar o desempenho estrutural, bem como de algoritmos generativos que adaptam padrões e estruturas superficiais a geometrias individualizadas (Lei et al., 2016 (#ref-lei-2016); Lim et al., 2018 (#ref-lim-2018)).</w:t>
      </w:r>
    </w:p>
    <w:p>
      <w:pPr>
        <w:pStyle w:val="Normal"/>
        <w:bidi w:val="0"/>
        <w:jc w:val="left"/>
        <w:rPr>
          <w:lang w:val="pt-PT"/>
        </w:rPr>
      </w:pPr>
      <w:r>
        <w:rPr>
          <w:lang w:val="pt-PT"/>
        </w:rPr>
        <w:t>Este cruzamento entre parametrização, simulação e FA evidencia um ecossistema digital integrado que sustenta personalização técnica com base quantitativa (Lei et al., 2016 (#ref-lei-2016); Yao et al., 2016 (#ref-yao-2016)).</w:t>
      </w:r>
    </w:p>
    <w:p>
      <w:pPr>
        <w:pStyle w:val="Heading3"/>
        <w:bidi w:val="0"/>
        <w:jc w:val="left"/>
        <w:rPr>
          <w:lang w:val="pt-PT"/>
        </w:rPr>
      </w:pPr>
      <w:r>
        <w:rPr>
          <w:lang w:val="pt-PT"/>
        </w:rPr>
      </w:r>
    </w:p>
    <w:p>
      <w:pPr>
        <w:pStyle w:val="Heading3"/>
        <w:bidi w:val="0"/>
        <w:jc w:val="left"/>
        <w:rPr>
          <w:lang w:val="pt-PT"/>
        </w:rPr>
      </w:pPr>
      <w:r>
        <w:rPr>
          <w:lang w:val="pt-PT"/>
        </w:rPr>
        <w:t>Implicações para o Design Industrial</w:t>
      </w:r>
    </w:p>
    <w:p>
      <w:pPr>
        <w:pStyle w:val="Normal"/>
        <w:bidi w:val="0"/>
        <w:jc w:val="left"/>
        <w:rPr>
          <w:lang w:val="pt-PT"/>
        </w:rPr>
      </w:pPr>
      <w:r>
        <w:rPr>
          <w:lang w:val="pt-PT"/>
        </w:rPr>
      </w:r>
    </w:p>
    <w:p>
      <w:pPr>
        <w:pStyle w:val="Normal"/>
        <w:bidi w:val="0"/>
        <w:jc w:val="left"/>
        <w:rPr>
          <w:lang w:val="pt-PT"/>
        </w:rPr>
      </w:pPr>
      <w:r>
        <w:rPr>
          <w:lang w:val="pt-PT"/>
        </w:rPr>
        <w:t>A literatura converge para a ideia de que a robustez do modelo paramétrico é uma condição crítica para a personalização em escala. Modelos mal estruturados ou com dependências inconsistentes podem comprometer a simulação, a otimização e a configuração de famílias de produto (Lei et al., 2016 (#ref-lei-2016); Wiberg et al., 2019 (#ref-wiberg-2019)).</w:t>
      </w:r>
    </w:p>
    <w:p>
      <w:pPr>
        <w:pStyle w:val="Normal"/>
        <w:bidi w:val="0"/>
        <w:jc w:val="left"/>
        <w:rPr>
          <w:lang w:val="pt-PT"/>
        </w:rPr>
      </w:pPr>
      <w:r>
        <w:rPr>
          <w:lang w:val="pt-PT"/>
        </w:rPr>
        <w:t>Assim, a qualidade da definição paramétrica desempenha um papel estratégico para a viabilidade de sistemas adaptáveis (Ozdemir et al., 2022 (#ref-ozdemir-2022)).</w:t>
      </w:r>
    </w:p>
    <w:p>
      <w:pPr>
        <w:pStyle w:val="Normal"/>
        <w:bidi w:val="0"/>
        <w:jc w:val="left"/>
        <w:rPr>
          <w:lang w:val="pt-PT"/>
        </w:rPr>
      </w:pPr>
      <w:r>
        <w:rPr>
          <w:lang w:val="pt-PT"/>
        </w:rPr>
        <w:t>Em termos económicos, a Fabricação Aditiva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(#ref-lei-2016); Yao et al., 2016 (#ref-yao-2016)).</w:t>
      </w:r>
    </w:p>
    <w:p>
      <w:pPr>
        <w:pStyle w:val="Normal"/>
        <w:bidi w:val="0"/>
        <w:jc w:val="left"/>
        <w:rPr>
          <w:lang w:val="pt-PT"/>
        </w:rPr>
      </w:pPr>
      <w:r>
        <w:rPr>
          <w:lang w:val="pt-PT"/>
        </w:rPr>
        <w:t>No plano educativo e profissional, recomenda-se a integração de DfAM nos currículos de design industrial, promovendo competências que articulem a conceção, a simulação e a fabricação digital em fluxo contínuo (Kandikjan et al., 2022 (#ref-kandikjan-2022)).</w:t>
      </w:r>
    </w:p>
    <w:p>
      <w:pPr>
        <w:pStyle w:val="Heading3"/>
        <w:bidi w:val="0"/>
        <w:jc w:val="left"/>
        <w:rPr>
          <w:lang w:val="pt-PT"/>
        </w:rPr>
      </w:pPr>
      <w:r>
        <w:rPr>
          <w:lang w:val="pt-PT"/>
        </w:rPr>
        <w:t>2.4 Próteses open source de membro superior passíveis de impressão 3D</w:t>
      </w:r>
    </w:p>
    <w:p>
      <w:pPr>
        <w:pStyle w:val="Normal"/>
        <w:bidi w:val="0"/>
        <w:jc w:val="left"/>
        <w:rPr>
          <w:lang w:val="pt-PT"/>
        </w:rPr>
      </w:pPr>
      <w:r>
        <w:rPr>
          <w:lang w:val="pt-PT"/>
        </w:rPr>
        <w:t>As próteses open source de membro superior passíveis de impressão 3D constituem um caso particularmente relevante para esta investigação, porque tornam visível a articulação entre fabricação aditiva,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sua importância não reside apenas no baixo custo de fabrico, mas também na demonstração de que uma comunidade distribuída pode produzir, adaptar e disseminar soluções protésicas funcionais fora dos canais tradicionais da indústria médica (Manero et al., 2019 (#ref-manero-2019); Wendo et al., 2022 (#ref-wendo-2022)).</w:t>
      </w:r>
    </w:p>
    <w:p>
      <w:pPr>
        <w:pStyle w:val="Normal"/>
        <w:bidi w:val="0"/>
        <w:jc w:val="left"/>
        <w:rPr>
          <w:lang w:val="pt-PT"/>
        </w:rPr>
      </w:pPr>
      <w:r>
        <w:rPr>
          <w:lang w:val="pt-PT"/>
        </w:rPr>
        <w:t>O projeto e-NABLE é o exemplo mais influente deste movimento. A comunidade consolidou-se em torno da criação e partilha de dispositivos de assistência para diferenças de membro superior, em especial mãos mecânicas acionadas pelo corpo e braços impressos em 3D para crianças. O seu catálogo reúne modelos de mão, braço, dedos, polegares e dispositivos terminais, organizados de acordo com a anatomia disponível e o tipo de acionamento. Nos modelos de mão acionados pelo punho, a flexão dos dedos depende normalmente da flexão ativa do punho e de uma palma parcialmente preservada; quando essa condição anatómica não existe, a solução tende a deslocar-se para braços ou mecanismos acionados pelo cotovelo (Wendo et al., 2022 (#ref-wendo-2022)).</w:t>
      </w:r>
    </w:p>
    <w:p>
      <w:pPr>
        <w:pStyle w:val="Normal"/>
        <w:bidi w:val="0"/>
        <w:jc w:val="left"/>
        <w:rPr>
          <w:lang w:val="pt-PT"/>
        </w:rPr>
      </w:pPr>
      <w:r>
        <w:rPr>
          <w:lang w:val="pt-PT"/>
        </w:rPr>
        <w:t>Este enquadramento é importante porque vários modelos usados ou analisados nesta investigação pertencem diretamente a esta linhagem. O Cyborg Beast, o Raptor Reloaded, a Flexy Hand, o Flexy Beast, o Paraglider Hand/Flexible Flyer, a Phoenix Hand e a Unlimbited Phoenix Hand não devem ser entendidos como objetos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acionada pelo punho e ajustável por procedimentos remotos de medição e escala (Zuniga et al., 2015 (#ref-zuniga-2015)). Já modelos posteriores, como a Phoenix/Unlimbited Phoenix e derivados como o Paraglider, procuram simplificar a montagem, melhorar a manutenção e estabilizar geometrias recorrentes. Para o presente projeto, isto tem uma consequência direta: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Normal"/>
        <w:bidi w:val="0"/>
        <w:jc w:val="left"/>
        <w:rPr>
          <w:lang w:val="pt-PT"/>
        </w:rPr>
      </w:pPr>
      <w:r>
        <w:rPr>
          <w:lang w:val="pt-PT"/>
        </w:rP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seleção modular, a adaptação de encaixes e a circulação de feedback entre parceiros locais e equipa central funcionam como infraestrutura de aprendizagem contínua (Dechev et al., 2023 (#ref-dechev-2023)).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Normal"/>
        <w:bidi w:val="0"/>
        <w:jc w:val="left"/>
        <w:rPr>
          <w:lang w:val="pt-PT"/>
        </w:rPr>
      </w:pPr>
      <w:r>
        <w:rPr>
          <w:lang w:val="pt-PT"/>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(#ref-diment-2018)). Uma revisão mais recente sobre resultados clínicos de próteses impressas em 3D reforça a mesma cautela: há sinais de melhoria em destreza, satisfação e adequação, mas a qualidade da evidência permanece limitada e pouco comparável entre estudos (Atallah et al., 2025 (#ref-atallah-2025)).</w:t>
      </w:r>
    </w:p>
    <w:p>
      <w:pPr>
        <w:pStyle w:val="Normal"/>
        <w:bidi w:val="0"/>
        <w:jc w:val="left"/>
        <w:rPr>
          <w:lang w:val="pt-PT"/>
        </w:rPr>
      </w:pPr>
      <w:r>
        <w:rPr>
          <w:lang w:val="pt-PT"/>
        </w:rP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acionada pode ser útil para tarefas simples, mas permanece distante da diversidade de movimentos e preensões de uma mão humana (Cabibihan et al., 2021 (#ref-cabibihan-2021)).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Normal"/>
        <w:bidi w:val="0"/>
        <w:jc w:val="left"/>
        <w:rPr>
          <w:lang w:val="pt-PT"/>
        </w:rPr>
      </w:pPr>
      <w:r>
        <w:rPr>
          <w:lang w:val="pt-PT"/>
        </w:rPr>
        <w:t>Para esta investigação, o interesse das próteses open source impressas em 3D está precisamente nessa tensão. Por um lado, modelos como o Flexy Beast, o Paraglider Hand e a Unlimbited Phoenix Hand oferecem bases acessíveis, reproduzíveis e compatíveis com fabrico distribuído. Por outro lado, a sua personalização continua frequentemente dependente de escalonamento, adaptação manual e conhecimento tácito da comunidade. A proposta de um sistema paramétrico assistido por inteligência artificial situa-se nesse intervalo: procura transformar modelos abertos em objetos configuráveis com regras explícitas, limites dimensionais visíveis, apoio à escolha do modelo adequado e ligação mais clara entre dados antropométricos, geometria gerada e critérios de fabrico. Deste modo, o ecossistema e-NABLE e o Victoria Hand Project não são apenas antecedentes históricos, mas referências críticas para compreender o que a plataforma deve preservar, corrigir e tornar mais verificável.</w:t>
      </w:r>
    </w:p>
    <w:p>
      <w:pPr>
        <w:pStyle w:val="Heading3"/>
        <w:bidi w:val="0"/>
        <w:jc w:val="left"/>
        <w:rPr>
          <w:lang w:val="pt-PT"/>
        </w:rPr>
      </w:pPr>
      <w:r>
        <w:rPr>
          <w:lang w:val="pt-PT"/>
        </w:rPr>
      </w:r>
    </w:p>
    <w:p>
      <w:pPr>
        <w:pStyle w:val="Heading3"/>
        <w:bidi w:val="0"/>
        <w:jc w:val="left"/>
        <w:rPr>
          <w:lang w:val="pt-PT"/>
        </w:rPr>
      </w:pPr>
      <w:r>
        <w:rPr>
          <w:lang w:val="pt-PT"/>
        </w:rPr>
        <w:t>2.5 Antropometria aplicada ao design protésico</w:t>
      </w:r>
    </w:p>
    <w:p>
      <w:pPr>
        <w:pStyle w:val="Normal"/>
        <w:bidi w:val="0"/>
        <w:jc w:val="left"/>
        <w:rPr>
          <w:lang w:val="pt-PT"/>
        </w:rPr>
      </w:pPr>
      <w:r>
        <w:rPr>
          <w:lang w:val="pt-PT"/>
        </w:rPr>
      </w:r>
    </w:p>
    <w:p>
      <w:pPr>
        <w:pStyle w:val="Normal"/>
        <w:bidi w:val="0"/>
        <w:jc w:val="left"/>
        <w:rPr>
          <w:lang w:val="pt-PT"/>
        </w:rPr>
      </w:pPr>
      <w:r>
        <w:rPr>
          <w:lang w:val="pt-PT"/>
        </w:rPr>
        <w:t>A antropometria constitui um fundamento técnico e metodológico central no design protésico, na medida em que a adequação geométrica do dispositivo ao corpo do utilizador condiciona diretamente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fabricação aditiva.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 (#ref-chainando-2025)).</w:t>
      </w:r>
    </w:p>
    <w:p>
      <w:pPr>
        <w:pStyle w:val="Heading3"/>
        <w:bidi w:val="0"/>
        <w:jc w:val="left"/>
        <w:rPr>
          <w:lang w:val="pt-PT"/>
        </w:rPr>
      </w:pPr>
      <w:r>
        <w:rPr>
          <w:lang w:val="pt-PT"/>
        </w:rPr>
      </w:r>
    </w:p>
    <w:p>
      <w:pPr>
        <w:pStyle w:val="Heading3"/>
        <w:bidi w:val="0"/>
        <w:jc w:val="left"/>
        <w:rPr>
          <w:lang w:val="pt-PT"/>
        </w:rPr>
      </w:pPr>
      <w:r>
        <w:rPr>
          <w:lang w:val="pt-PT"/>
        </w:rPr>
        <w:t>Da dimensão linear à “forma” como dado de projeto</w:t>
      </w:r>
    </w:p>
    <w:p>
      <w:pPr>
        <w:pStyle w:val="Normal"/>
        <w:bidi w:val="0"/>
        <w:jc w:val="left"/>
        <w:rPr>
          <w:lang w:val="pt-PT"/>
        </w:rPr>
      </w:pPr>
      <w:r>
        <w:rPr>
          <w:lang w:val="pt-PT"/>
        </w:rPr>
      </w:r>
    </w:p>
    <w:p>
      <w:pPr>
        <w:pStyle w:val="Normal"/>
        <w:bidi w:val="0"/>
        <w:jc w:val="left"/>
        <w:rPr>
          <w:lang w:val="pt-PT"/>
        </w:rPr>
      </w:pPr>
      <w:r>
        <w:rPr>
          <w:lang w:val="pt-PT"/>
        </w:rP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(#ref-albin-2023); Young et al., 2023 (#ref-young-2023)).</w:t>
      </w:r>
    </w:p>
    <w:p>
      <w:pPr>
        <w:pStyle w:val="Normal"/>
        <w:bidi w:val="0"/>
        <w:jc w:val="left"/>
        <w:rPr>
          <w:lang w:val="pt-PT"/>
        </w:rPr>
      </w:pPr>
      <w:r>
        <w:rPr>
          <w:lang w:val="pt-PT"/>
        </w:rPr>
        <w:t>Assim, observa-se uma valorização crescente de métodos capazes de capturar geometria tridimensional de alta resolução e de traduzir essa informação em modelos CAD passíveis de retificação, parametrização e fabrico (Squibb et al., 2024 (#ref-squibb-2024)).</w:t>
      </w:r>
    </w:p>
    <w:p>
      <w:pPr>
        <w:pStyle w:val="Normal"/>
        <w:bidi w:val="0"/>
        <w:jc w:val="left"/>
        <w:rPr>
          <w:lang w:val="pt-PT"/>
        </w:rPr>
      </w:pPr>
      <w:r>
        <w:rPr>
          <w:lang w:val="pt-PT"/>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bidi w:val="0"/>
        <w:jc w:val="left"/>
        <w:rPr>
          <w:lang w:val="pt-PT"/>
        </w:rPr>
      </w:pPr>
      <w:r>
        <w:rPr/>
        <w:drawing>
          <wp:inline distT="0" distB="0" distL="0" distR="0">
            <wp:extent cx="5715000" cy="4219575"/>
            <wp:effectExtent l="0" t="0" r="0" b="0"/>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a:picLocks noChangeAspect="1" noChangeArrowheads="1"/>
                    </pic:cNvPicPr>
                  </pic:nvPicPr>
                  <pic:blipFill>
                    <a:blip r:embed="rId10"/>
                    <a:stretch>
                      <a:fillRect/>
                    </a:stretch>
                  </pic:blipFill>
                  <pic:spPr bwMode="auto">
                    <a:xfrm>
                      <a:off x="0" y="0"/>
                      <a:ext cx="5715000" cy="4219575"/>
                    </a:xfrm>
                    <a:prstGeom prst="rect">
                      <a:avLst/>
                    </a:prstGeom>
                    <a:noFill/>
                  </pic:spPr>
                </pic:pic>
              </a:graphicData>
            </a:graphic>
          </wp:inline>
        </w:drawing>
      </w:r>
    </w:p>
    <w:p>
      <w:pPr>
        <w:pStyle w:val="Normal"/>
        <w:bidi w:val="0"/>
        <w:jc w:val="left"/>
        <w:rPr>
          <w:lang w:val="pt-PT"/>
        </w:rPr>
      </w:pPr>
      <w:r>
        <w:rPr>
          <w:lang w:val="pt-PT"/>
        </w:rPr>
        <w:t>Figura 2.5 — Marcos anatómicos e medidas de referência da mão para fins de personalização.</w:t>
      </w:r>
    </w:p>
    <w:p>
      <w:pPr>
        <w:pStyle w:val="Normal"/>
        <w:bidi w:val="0"/>
        <w:jc w:val="left"/>
        <w:rPr>
          <w:lang w:val="pt-PT"/>
        </w:rPr>
      </w:pPr>
      <w:r>
        <w:rPr>
          <w:lang w:val="pt-PT"/>
        </w:rPr>
        <w:t>Fonte original: Yu, A., Yick, K. L., Ng, S. P., &amp; Yip, J. (2013). 2D and 3D anatomical analyses of hand dimensions for custom-made gloves. Applied Ergonomics, 44, 381-392.</w:t>
      </w:r>
    </w:p>
    <w:p>
      <w:pPr>
        <w:pStyle w:val="Heading3"/>
        <w:bidi w:val="0"/>
        <w:jc w:val="left"/>
        <w:rPr>
          <w:lang w:val="pt-PT"/>
        </w:rPr>
      </w:pPr>
      <w:r>
        <w:rPr>
          <w:lang w:val="pt-PT"/>
        </w:rPr>
      </w:r>
    </w:p>
    <w:p>
      <w:pPr>
        <w:pStyle w:val="Heading3"/>
        <w:bidi w:val="0"/>
        <w:jc w:val="left"/>
        <w:rPr>
          <w:lang w:val="pt-PT"/>
        </w:rPr>
      </w:pPr>
      <w:r>
        <w:rPr>
          <w:lang w:val="pt-PT"/>
        </w:rPr>
        <w:t>Métodos de recolha antropométrica em próteses e tecnologias de apoio</w:t>
      </w:r>
    </w:p>
    <w:p>
      <w:pPr>
        <w:pStyle w:val="Normal"/>
        <w:bidi w:val="0"/>
        <w:jc w:val="left"/>
        <w:rPr>
          <w:lang w:val="pt-PT"/>
        </w:rPr>
      </w:pPr>
      <w:r>
        <w:rPr>
          <w:lang w:val="pt-PT"/>
        </w:rPr>
      </w:r>
    </w:p>
    <w:p>
      <w:pPr>
        <w:pStyle w:val="Normal"/>
        <w:bidi w:val="0"/>
        <w:jc w:val="left"/>
        <w:rPr>
          <w:lang w:val="pt-PT"/>
        </w:rPr>
      </w:pPr>
      <w:r>
        <w:rPr>
          <w:lang w:val="pt-PT"/>
        </w:rPr>
        <w:t>A literatura organiza os métodos de recolha em famílias, cada uma com potencialidades e limitações específicas para o design protésico:</w:t>
      </w:r>
    </w:p>
    <w:p>
      <w:pPr>
        <w:pStyle w:val="BodyText"/>
        <w:rPr/>
      </w:pPr>
      <w:r>
        <w:rPr>
          <w:lang w:val="pt-PT"/>
        </w:rPr>
        <w:t xml:space="preserve">1. </w:t>
      </w:r>
      <w:r>
        <w:rP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coto. Contudo, estas medidas podem representar de forma limitada as alterações reais de volume, uma vez que dependem da geometria do segmento e da distribuição dos tecidos, o que reduz a sua fiabilidade em decisões de ajuste fino.</w:t>
      </w:r>
      <w:r>
        <w:rPr>
          <w:lang w:val="pt-PT"/>
        </w:rPr>
        <w:t xml:space="preserve"> (Ibrahim et al., 2024 (#ref-ibrahim-2024)).</w:t>
      </w:r>
    </w:p>
    <w:p>
      <w:pPr>
        <w:pStyle w:val="BodyText"/>
        <w:rPr/>
      </w:pPr>
      <w:r>
        <w:rPr>
          <w:lang w:val="pt-PT"/>
        </w:rPr>
        <w:t xml:space="preserve">2. </w:t>
      </w:r>
      <w:r>
        <w:rPr/>
        <w:t>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w:t>
      </w:r>
      <w:r>
        <w:rPr>
          <w:lang w:val="pt-PT"/>
        </w:rPr>
        <w:t xml:space="preserve"> (Squibb et al., 2024 (#ref-squibb-2024)).</w:t>
      </w:r>
    </w:p>
    <w:p>
      <w:pPr>
        <w:pStyle w:val="BodyText"/>
        <w:rPr/>
      </w:pPr>
      <w:r>
        <w:rPr>
          <w:lang w:val="pt-PT"/>
        </w:rPr>
        <w:t>3. Fotogrametria reconstrói modelos 3D a partir de fotografias 2D, incluindo soluções baseadas em smartphones.É apresentada como um método promissor pela rapidez na captura e pelo potencial de democratização, embora possa exigir mais tempo de processamento e cuidados com a iluminação e a cobertura da imagem. (Silva et al., 2024 (#ref-silva-2024)).</w:t>
      </w:r>
    </w:p>
    <w:p>
      <w:pPr>
        <w:pStyle w:val="BodyText"/>
        <w:rPr/>
      </w:pPr>
      <w:r>
        <w:rPr>
          <w:lang w:val="pt-PT"/>
        </w:rPr>
        <w:t xml:space="preserve">4. </w:t>
      </w:r>
      <w:r>
        <w:rPr/>
        <w:t>As imagens médicas, como tomografia computorizada (CT) ou</w:t>
      </w:r>
      <w:r>
        <w:rPr>
          <w:b w:val="false"/>
          <w:bCs w:val="false"/>
          <w:u w:val="none"/>
        </w:rPr>
        <w:t xml:space="preserve"> </w:t>
      </w:r>
      <w:r>
        <w:rPr>
          <w:rStyle w:val="Strong"/>
          <w:b w:val="false"/>
          <w:bCs w:val="false"/>
          <w:u w:val="none"/>
        </w:rPr>
        <w:t>ressonância magnética</w:t>
      </w:r>
      <w:r>
        <w:rPr>
          <w:b w:val="false"/>
          <w:bCs w:val="false"/>
          <w:u w:val="none"/>
        </w:rPr>
        <w:t xml:space="preserve"> </w:t>
      </w:r>
      <w:r>
        <w:rPr/>
        <w:t xml:space="preserve">(MRI: </w:t>
      </w:r>
      <w:r>
        <w:rPr>
          <w:rStyle w:val="Emphasi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8"/>
      </w:r>
      <w:r>
        <w:rPr/>
        <w:t>. Contudo, estas técnicas implicam maior custo e menor acessibilidade e, no caso do CT, exigem ainda considerar a exposição à radiação e a dependência de contexto hospitalar.</w:t>
      </w:r>
    </w:p>
    <w:p>
      <w:pPr>
        <w:pStyle w:val="BodyText"/>
        <w:rPr/>
      </w:pPr>
      <w:r>
        <w:rPr>
          <w:lang w:val="pt-PT"/>
        </w:rPr>
        <w:t xml:space="preserve">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w:t>
      </w:r>
      <w:r>
        <w:rPr/>
        <w:t>zonas de aquecimento localizado (</w:t>
      </w:r>
      <w:r>
        <w:rPr>
          <w:i/>
          <w:iCs/>
        </w:rPr>
        <w:t>Thermal hot spots</w:t>
      </w:r>
      <w:r>
        <w:rPr/>
        <w:t>)</w:t>
      </w:r>
      <w:r>
        <w:rPr>
          <w:lang w:val="pt-PT"/>
        </w:rPr>
        <w:t xml:space="preserve"> e flutuações de volume do membro residual. Estes métodos ajudam a ligar decisões de forma/retificação a desfechos de conforto e segurança, embora, em muitos casos, sejam descritos como ainda experimentais e com barreiras à adoção clínica (Ibrahim et al., 2024 (#ref-ibrahim-2024); Young et al., 2023 (#ref-young-2023)).</w:t>
      </w:r>
    </w:p>
    <w:p>
      <w:pPr>
        <w:pStyle w:val="Heading3"/>
        <w:bidi w:val="0"/>
        <w:jc w:val="left"/>
        <w:rPr>
          <w:lang w:val="pt-PT"/>
        </w:rPr>
      </w:pPr>
      <w:r>
        <w:rPr>
          <w:lang w:val="pt-PT"/>
        </w:rPr>
      </w:r>
    </w:p>
    <w:p>
      <w:pPr>
        <w:pStyle w:val="Heading3"/>
        <w:bidi w:val="0"/>
        <w:jc w:val="left"/>
        <w:rPr>
          <w:lang w:val="pt-PT"/>
        </w:rPr>
      </w:pPr>
      <w:r>
        <w:rPr>
          <w:lang w:val="pt-PT"/>
        </w:rPr>
        <w:t>Interpretação e aplicação de dados antropométricos no projeto</w:t>
      </w:r>
    </w:p>
    <w:p>
      <w:pPr>
        <w:pStyle w:val="Normal"/>
        <w:bidi w:val="0"/>
        <w:jc w:val="left"/>
        <w:rPr>
          <w:lang w:val="pt-PT"/>
        </w:rPr>
      </w:pPr>
      <w:r>
        <w:rPr>
          <w:lang w:val="pt-PT"/>
        </w:rPr>
      </w:r>
    </w:p>
    <w:p>
      <w:pPr>
        <w:pStyle w:val="Normal"/>
        <w:bidi w:val="0"/>
        <w:jc w:val="left"/>
        <w:rPr>
          <w:lang w:val="pt-PT"/>
        </w:rPr>
      </w:pPr>
      <w:r>
        <w:rPr>
          <w:lang w:val="pt-PT"/>
        </w:rPr>
        <w:t>A passagem de dados antropométricos para critérios de projeto ocorre por diferentes vias analíticas:</w:t>
      </w:r>
    </w:p>
    <w:p>
      <w:pPr>
        <w:pStyle w:val="Normal"/>
        <w:bidi w:val="0"/>
        <w:jc w:val="left"/>
        <w:rPr>
          <w:lang w:val="pt-PT"/>
        </w:rPr>
      </w:pPr>
      <w:r>
        <w:rPr>
          <w:lang w:val="pt-PT"/>
        </w:rPr>
        <w:t xml:space="preserve">– </w:t>
      </w:r>
      <w:r>
        <w:rPr>
          <w:lang w:val="pt-PT"/>
        </w:rPr>
        <w:t>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Normal"/>
        <w:bidi w:val="0"/>
        <w:jc w:val="left"/>
        <w:rPr>
          <w:lang w:val="pt-PT"/>
        </w:rPr>
      </w:pPr>
      <w:r>
        <w:rPr>
          <w:lang w:val="pt-PT"/>
        </w:rPr>
        <w:t xml:space="preserve"> – </w:t>
      </w:r>
      <w:r>
        <w:rPr>
          <w:lang w:val="pt-PT"/>
        </w:rPr>
        <w:t xml:space="preserve">Métodos multivariados e aprendizagem estatística: usados quando se trabalha com dados de alta dimensionalidade (malhas, secções, nuvens de pontos), permitindo extrair padrões de retificação ou modos de variação. </w:t>
      </w:r>
    </w:p>
    <w:p>
      <w:pPr>
        <w:pStyle w:val="Normal"/>
        <w:bidi w:val="0"/>
        <w:jc w:val="left"/>
        <w:rPr>
          <w:lang w:val="pt-PT"/>
        </w:rPr>
      </w:pPr>
      <w:r>
        <w:rPr>
          <w:lang w:val="pt-PT"/>
        </w:rPr>
        <w:t xml:space="preserve">– </w:t>
      </w:r>
      <w:r>
        <w:rPr>
          <w:lang w:val="pt-PT"/>
        </w:rPr>
        <w:t>Modelos preditivos e modelação estatística de forma (SSM): aplicados para reconstruir a geometria a partir de medições reduzidas e inferir relações entre a superfície e a anatomia interna, com a</w:t>
      </w:r>
      <w:r>
        <w:rPr>
          <w:rStyle w:val="Strong"/>
          <w:b w:val="false"/>
          <w:bCs w:val="false"/>
        </w:rPr>
        <w:t>nálise de componentes principais (</w:t>
      </w:r>
      <w:r>
        <w:rPr>
          <w:lang w:val="pt-PT"/>
        </w:rPr>
        <w:t>PCA)</w:t>
      </w:r>
      <w:r>
        <w:rPr>
          <w:rStyle w:val="FootnoteReference"/>
          <w:lang w:val="pt-PT"/>
        </w:rPr>
        <w:footnoteReference w:id="9"/>
      </w:r>
      <w:r>
        <w:rPr>
          <w:lang w:val="pt-PT"/>
        </w:rPr>
        <w:t xml:space="preserve"> e regressões como ferramentas frequentes, embora limitados por tamanhos amostrais reduzidos em vários estudos (Sunderland et al., 2024 (#ref-sunderland-2024)).</w:t>
      </w:r>
    </w:p>
    <w:p>
      <w:pPr>
        <w:pStyle w:val="Normal"/>
        <w:bidi w:val="0"/>
        <w:jc w:val="left"/>
        <w:rPr>
          <w:lang w:val="pt-PT"/>
        </w:rPr>
      </w:pPr>
      <w:r>
        <w:rPr>
          <w:lang w:val="pt-PT"/>
        </w:rP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coto como etapa decisiva para a qualidade do encaixe (Kannenberg et al., 2024 (#ref-kannenberg-2024); Young et al., 2023 (#ref-young-2023)).</w:t>
      </w:r>
    </w:p>
    <w:p>
      <w:pPr>
        <w:pStyle w:val="Heading3"/>
        <w:bidi w:val="0"/>
        <w:jc w:val="left"/>
        <w:rPr>
          <w:lang w:val="pt-PT"/>
        </w:rPr>
      </w:pPr>
      <w:r>
        <w:rPr>
          <w:lang w:val="pt-PT"/>
        </w:rPr>
      </w:r>
    </w:p>
    <w:p>
      <w:pPr>
        <w:pStyle w:val="Heading3"/>
        <w:bidi w:val="0"/>
        <w:jc w:val="left"/>
        <w:rPr>
          <w:lang w:val="pt-PT"/>
        </w:rPr>
      </w:pPr>
      <w:r>
        <w:rPr>
          <w:lang w:val="pt-PT"/>
        </w:rPr>
        <w:t>Evidência por tipo de dispositivo</w:t>
      </w:r>
    </w:p>
    <w:p>
      <w:pPr>
        <w:pStyle w:val="Normal"/>
        <w:bidi w:val="0"/>
        <w:jc w:val="left"/>
        <w:rPr>
          <w:lang w:val="pt-PT"/>
        </w:rPr>
      </w:pPr>
      <w:r>
        <w:rPr>
          <w:lang w:val="pt-PT"/>
        </w:rPr>
      </w:r>
    </w:p>
    <w:p>
      <w:pPr>
        <w:pStyle w:val="Normal"/>
        <w:bidi w:val="0"/>
        <w:jc w:val="left"/>
        <w:rPr>
          <w:lang w:val="pt-PT"/>
        </w:rPr>
      </w:pPr>
      <w:r>
        <w:rPr>
          <w:lang w:val="pt-PT"/>
        </w:rPr>
        <w:t>Embora os princípios sejam transversais, a literatura evidencia diferenças por tipo de dispositivo:</w:t>
      </w:r>
    </w:p>
    <w:p>
      <w:pPr>
        <w:pStyle w:val="Normal"/>
        <w:bidi w:val="0"/>
        <w:jc w:val="left"/>
        <w:rPr>
          <w:lang w:val="pt-PT"/>
        </w:rPr>
      </w:pPr>
      <w:r>
        <w:rPr>
          <w:lang w:val="pt-PT"/>
        </w:rPr>
        <w:t xml:space="preserve">– </w:t>
      </w:r>
      <w:r>
        <w:rPr/>
        <w:t xml:space="preserve">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w:t>
      </w:r>
      <w:r>
        <w:rPr>
          <w:lang w:val="pt-PT"/>
        </w:rPr>
        <w:t xml:space="preserve">(Kannenberg et al., 2024 (#ref-kannenberg-2024); Silva et al., 2024 (#ref-silva-2024)). </w:t>
      </w:r>
    </w:p>
    <w:p>
      <w:pPr>
        <w:pStyle w:val="Normal"/>
        <w:bidi w:val="0"/>
        <w:jc w:val="left"/>
        <w:rPr>
          <w:lang w:val="pt-PT"/>
        </w:rPr>
      </w:pPr>
      <w:r>
        <w:rPr>
          <w:lang w:val="pt-PT"/>
        </w:rPr>
        <w:t xml:space="preserve">– </w:t>
      </w:r>
      <w:r>
        <w:rPr/>
        <w:t xml:space="preserve">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w:t>
      </w:r>
      <w:r>
        <w:rPr>
          <w:lang w:val="pt-PT"/>
        </w:rPr>
        <w:t xml:space="preserve">(Chainando et al., 2025 (#ref-chainando-2025); Çıklaçandır et al., 2022 (#ref-cklacandr-2022)). </w:t>
      </w:r>
    </w:p>
    <w:p>
      <w:pPr>
        <w:pStyle w:val="Normal"/>
        <w:bidi w:val="0"/>
        <w:jc w:val="left"/>
        <w:rPr>
          <w:lang w:val="pt-PT"/>
        </w:rPr>
      </w:pPr>
      <w:r>
        <w:rPr>
          <w:lang w:val="pt-PT"/>
        </w:rPr>
        <w:t xml:space="preserve">– </w:t>
      </w:r>
      <w:r>
        <w:rPr>
          <w:lang w:val="pt-PT"/>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Heading3"/>
        <w:bidi w:val="0"/>
        <w:jc w:val="left"/>
        <w:rPr>
          <w:lang w:val="pt-PT"/>
        </w:rPr>
      </w:pPr>
      <w:r>
        <w:rPr>
          <w:lang w:val="pt-PT"/>
        </w:rPr>
      </w:r>
    </w:p>
    <w:p>
      <w:pPr>
        <w:pStyle w:val="Heading3"/>
        <w:bidi w:val="0"/>
        <w:jc w:val="left"/>
        <w:rPr>
          <w:lang w:val="pt-PT"/>
        </w:rPr>
      </w:pPr>
      <w:r>
        <w:rPr>
          <w:lang w:val="pt-PT"/>
        </w:rPr>
        <w:t>Limitações, lacunas e recomendações</w:t>
      </w:r>
    </w:p>
    <w:p>
      <w:pPr>
        <w:pStyle w:val="Normal"/>
        <w:bidi w:val="0"/>
        <w:jc w:val="left"/>
        <w:rPr>
          <w:lang w:val="pt-PT"/>
        </w:rPr>
      </w:pPr>
      <w:r>
        <w:rPr>
          <w:lang w:val="pt-PT"/>
        </w:rPr>
      </w:r>
    </w:p>
    <w:p>
      <w:pPr>
        <w:pStyle w:val="Normal"/>
        <w:bidi w:val="0"/>
        <w:jc w:val="left"/>
        <w:rPr>
          <w:lang w:val="pt-PT"/>
        </w:rPr>
      </w:pPr>
      <w:r>
        <w:rPr>
          <w:lang w:val="pt-PT"/>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Normal"/>
        <w:bidi w:val="0"/>
        <w:jc w:val="left"/>
        <w:rPr>
          <w:lang w:val="pt-PT"/>
        </w:rPr>
      </w:pPr>
      <w:r>
        <w:rPr>
          <w:lang w:val="pt-PT"/>
        </w:rP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 (#ref-bradtmiller-2022)).</w:t>
      </w:r>
    </w:p>
    <w:p>
      <w:pPr>
        <w:pStyle w:val="Normal"/>
        <w:bidi w:val="0"/>
        <w:jc w:val="left"/>
        <w:rPr>
          <w:lang w:val="pt-PT"/>
        </w:rPr>
      </w:pPr>
      <w:r>
        <w:rPr>
          <w:lang w:val="pt-PT"/>
        </w:rPr>
        <w:t>Como orientação prática, emergem recomendações claras: selecionar o método de medição em função da questão de design (captura de forma, monitorização de volume, validação de interface), garantir a repetibilidade através de posturas e de uma marcação consistente dos pontos de referência anatómicos, e utilizar bases de dados antropométricas alinhadas com a população-alvo quando se pretende definir critérios de acomodação e ajuste (ASTM International, 2024 (#ref-astm-international-2024); Ibrahim et al., 2024 (#ref-ibrahim-2024)).</w:t>
      </w:r>
    </w:p>
    <w:p>
      <w:pPr>
        <w:pStyle w:val="Normal"/>
        <w:bidi w:val="0"/>
        <w:jc w:val="left"/>
        <w:rPr>
          <w:lang w:val="pt-PT"/>
        </w:rPr>
      </w:pPr>
      <w:r>
        <w:rPr>
          <w:lang w:val="pt-PT"/>
        </w:rPr>
        <w:t>Acresce a recomendação de distinguir o ajuste estático (em posturas padronizadas) do ajuste dinâmico (durante a amplitude de movimento funcional), reconhecendo que ajuste e conforto são conceitos relacionados, mas não equivalentes (ASTM International, 2024 (#ref-astm-international-2024)).</w:t>
      </w:r>
    </w:p>
    <w:p>
      <w:pPr>
        <w:pStyle w:val="Heading3"/>
        <w:bidi w:val="0"/>
        <w:jc w:val="left"/>
        <w:rPr>
          <w:lang w:val="pt-PT"/>
        </w:rPr>
      </w:pPr>
      <w:r>
        <w:rPr>
          <w:lang w:val="pt-PT"/>
        </w:rPr>
      </w:r>
    </w:p>
    <w:p>
      <w:pPr>
        <w:pStyle w:val="Heading3"/>
        <w:bidi w:val="0"/>
        <w:jc w:val="left"/>
        <w:rPr>
          <w:lang w:val="pt-PT"/>
        </w:rPr>
      </w:pPr>
      <w:r>
        <w:rPr>
          <w:lang w:val="pt-PT"/>
        </w:rPr>
        <w:t>Estruturação de dados</w:t>
      </w:r>
    </w:p>
    <w:p>
      <w:pPr>
        <w:pStyle w:val="Normal"/>
        <w:bidi w:val="0"/>
        <w:jc w:val="left"/>
        <w:rPr>
          <w:lang w:val="pt-PT"/>
        </w:rPr>
      </w:pPr>
      <w:r>
        <w:rPr>
          <w:lang w:val="pt-PT"/>
        </w:rPr>
      </w:r>
    </w:p>
    <w:p>
      <w:pPr>
        <w:pStyle w:val="Normal"/>
        <w:bidi w:val="0"/>
        <w:jc w:val="left"/>
        <w:rPr>
          <w:lang w:val="pt-PT"/>
        </w:rPr>
      </w:pPr>
      <w:r>
        <w:rPr>
          <w:lang w:val="pt-PT"/>
        </w:rPr>
        <w:t>A antropometria aplicada ao design protésico evoluiu para um paradigma digital centrado na captura e na interpretação tridimensionais, complementado por métricas de interface que aproximam a medição do desempenho real de uso. Esta abordagem permite maior precisão na personalização, na integração com CAD, na parametrização e no fabrico aditivo, abrindo caminho para fluxos de adaptação parcialmente automatizados. Contudo, a consolidação destas práticas exige procedimentos mais padronizados, amostras mais amplas e bases de dados antropométricas representativas, para que a personalização não dependa apenas da capacidade tecnológica, mas também de evidências robustas, rastreáveis e acessíveis (Bradtmiller, 2022 (#ref-bradtmiller-2022); Sunderland et al., 2024 (#ref-sunderland-2024)).</w:t>
      </w:r>
    </w:p>
    <w:p>
      <w:pPr>
        <w:pStyle w:val="Normal"/>
        <w:bidi w:val="0"/>
        <w:jc w:val="left"/>
        <w:rPr>
          <w:lang w:val="pt-PT"/>
        </w:rPr>
      </w:pPr>
      <w:r>
        <w:rPr>
          <w:lang w:val="pt-PT"/>
        </w:rPr>
        <w:t>No contexto desta investigação, esta necessidade foi operacionalizada através da construção de uma base local consolidada de medidas da mão e do membro superior distal. A descrição detalhada da seleção das fontes, da extração dos valores, da normalização dos dados e da sua tradução para parâmetros de projeto é retomada no Capítulo 4, onde esses dados deixam de funcionar apenas como enquadramento teórico e passam a integrar a metodologia de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2.6 Inteligência Artificial no processo de design</w:t>
      </w:r>
    </w:p>
    <w:p>
      <w:pPr>
        <w:pStyle w:val="Normal"/>
        <w:bidi w:val="0"/>
        <w:jc w:val="left"/>
        <w:rPr>
          <w:lang w:val="pt-PT"/>
        </w:rPr>
      </w:pPr>
      <w:r>
        <w:rPr>
          <w:lang w:val="pt-PT"/>
        </w:rPr>
      </w:r>
    </w:p>
    <w:p>
      <w:pPr>
        <w:pStyle w:val="Normal"/>
        <w:bidi w:val="0"/>
        <w:jc w:val="left"/>
        <w:rPr>
          <w:lang w:val="pt-PT"/>
        </w:rPr>
      </w:pPr>
      <w:r>
        <w:rPr>
          <w:lang w:val="pt-PT"/>
        </w:rPr>
        <w:t>A integração de Inteligência Artificial (IA) no design tornou-se um tema central não apenas pelo surgimento de novas ferramentas, mas também por ter alterado a forma como se concebe a relação entre criatividade, análise, decisão e automatização. Contudo, a rápida disseminação do termo “IA” também gerou alguma imprecisão conceptual. Em muitos contextos, a mesma designação é usada para sistemas de previsão, algoritmos de otimização, modelos generativos e interfaces conversacionais, apesar desses mecanismos terem funções e modos de operação distintos. Numa dissertação de Design Industrial, importa por isso começar por uma clarificação introdutória: o objetivo desta secção é explicar, de forma acessível, o que é a IA, como funciona em termos gerais, que formas assume no design e porque razão deve ser entendida como instrumento assistivo, e não como substituto autónomo do designer (Choudhury et al., 2025 (#ref-choudhury-2025); Saeidnia &amp; Ausloos, 2024 (#ref-saeidnia-2024); Yüksel et al., 2023 (#ref-yuksel-2023)).</w:t>
      </w:r>
    </w:p>
    <w:p>
      <w:pPr>
        <w:pStyle w:val="Normal"/>
        <w:bidi w:val="0"/>
        <w:jc w:val="left"/>
        <w:rPr>
          <w:lang w:val="pt-PT"/>
        </w:rPr>
      </w:pPr>
      <w:r>
        <w:rPr>
          <w:lang w:val="pt-PT"/>
        </w:rPr>
        <w:t>Para efeitos de enquadramento, a Figura 2.6 é útil porque mostra a IA não como um bloco monolítico, mas como uma camada integrada num fluxo CAD mais amplo, em que a recolha de dados, a modelação, a otimização e a avaliação permanecem articuladas com a decisão projetual.</w:t>
      </w:r>
    </w:p>
    <w:p>
      <w:pPr>
        <w:pStyle w:val="Normal"/>
        <w:bidi w:val="0"/>
        <w:jc w:val="left"/>
        <w:rPr>
          <w:lang w:val="pt-PT"/>
        </w:rPr>
      </w:pPr>
      <w:r>
        <w:rPr/>
        <w:drawing>
          <wp:inline distT="0" distB="0" distL="0" distR="0">
            <wp:extent cx="5715000" cy="2638425"/>
            <wp:effectExtent l="0" t="0" r="0" b="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a:picLocks noChangeAspect="1" noChangeArrowheads="1"/>
                    </pic:cNvPicPr>
                  </pic:nvPicPr>
                  <pic:blipFill>
                    <a:blip r:embed="rId11"/>
                    <a:stretch>
                      <a:fillRect/>
                    </a:stretch>
                  </pic:blipFill>
                  <pic:spPr bwMode="auto">
                    <a:xfrm>
                      <a:off x="0" y="0"/>
                      <a:ext cx="5715000" cy="2638425"/>
                    </a:xfrm>
                    <a:prstGeom prst="rect">
                      <a:avLst/>
                    </a:prstGeom>
                    <a:noFill/>
                  </pic:spPr>
                </pic:pic>
              </a:graphicData>
            </a:graphic>
          </wp:inline>
        </w:drawing>
      </w:r>
    </w:p>
    <w:p>
      <w:pPr>
        <w:pStyle w:val="Normal"/>
        <w:bidi w:val="0"/>
        <w:jc w:val="left"/>
        <w:rPr>
          <w:lang w:val="pt-PT"/>
        </w:rPr>
      </w:pPr>
      <w:r>
        <w:rPr>
          <w:lang w:val="pt-PT"/>
        </w:rPr>
        <w:t>Figura 2.6 — Enquadramento de um fluxo de CAD assistido por IA para desenvolvimento de produto.</w:t>
      </w:r>
    </w:p>
    <w:p>
      <w:pPr>
        <w:pStyle w:val="Normal"/>
        <w:bidi w:val="0"/>
        <w:jc w:val="left"/>
        <w:rPr>
          <w:lang w:val="pt-PT"/>
        </w:rPr>
      </w:pPr>
      <w:r>
        <w:rPr>
          <w:lang w:val="pt-PT"/>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r>
    </w:p>
    <w:p>
      <w:pPr>
        <w:pStyle w:val="Heading3"/>
        <w:bidi w:val="0"/>
        <w:jc w:val="left"/>
        <w:rPr>
          <w:lang w:val="pt-PT"/>
        </w:rPr>
      </w:pPr>
      <w:r>
        <w:rPr>
          <w:lang w:val="pt-PT"/>
        </w:rPr>
        <w:t>O que é a Inteligência Artificial</w:t>
      </w:r>
    </w:p>
    <w:p>
      <w:pPr>
        <w:pStyle w:val="Normal"/>
        <w:bidi w:val="0"/>
        <w:jc w:val="left"/>
        <w:rPr>
          <w:lang w:val="pt-PT"/>
        </w:rPr>
      </w:pPr>
      <w:r>
        <w:rPr>
          <w:lang w:val="pt-PT"/>
        </w:rPr>
      </w:r>
    </w:p>
    <w:p>
      <w:pPr>
        <w:pStyle w:val="Normal"/>
        <w:bidi w:val="0"/>
        <w:jc w:val="left"/>
        <w:rPr>
          <w:lang w:val="pt-PT"/>
        </w:rPr>
      </w:pPr>
      <w:r>
        <w:rPr>
          <w:lang w:val="pt-PT"/>
        </w:rP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plausível. Esta definição é útil porque evita tratar a IA como uma entidade única ou como sinónimo de inteligência humana generalizada. O que caracteriza a maioria dos sistemas atuais não é uma capacidade abstrata de “pensar” em qualquer domínio, mas a aptidão para operar sobre tipos específicos de problemas a partir de exemplos, regularidades e relações estatísticas aprendidas durante o treino. (Choudhury et al., 2025 (#ref-choudhury-2025); Yüksel et al., 2023 (#ref-yuksel-2023)).</w:t>
      </w:r>
    </w:p>
    <w:p>
      <w:pPr>
        <w:pStyle w:val="Normal"/>
        <w:bidi w:val="0"/>
        <w:jc w:val="left"/>
        <w:rPr>
          <w:lang w:val="pt-PT"/>
        </w:rPr>
      </w:pPr>
      <w:r>
        <w:rPr>
          <w:lang w:val="pt-PT"/>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lang w:val="pt-PT"/>
        </w:rPr>
        <w:footnoteReference w:id="10"/>
      </w:r>
      <w:r>
        <w:rPr>
          <w:lang w:val="pt-PT"/>
        </w:rPr>
        <w:t xml:space="preserve"> com múltiplas camadas, particularmente adequadas para tratar dados complexos, como imagens, texto ou som. Já a IA generativa refere-se a modelos capazes de produzir novos conteúdos — por exemplo, texto, imagens, composições formais ou variantes de projeto — com base nos padrões que aprenderam. Esta distinção é particularmente importante para o design, pois diferentes tipos de IA apoiam diferentes tipos de tarefas: algumas ajudam a analisar, outras a prever, outras a otimizar e outras ainda a gerar alternativas (Khanolkar et al., 2023 (#ref-khanolkar-2023); Krahe et al., 2020 (#ref-krahe-2020); Li et al., 2021 (#ref-li-2021)).</w:t>
      </w:r>
    </w:p>
    <w:p>
      <w:pPr>
        <w:pStyle w:val="Heading3"/>
        <w:bidi w:val="0"/>
        <w:jc w:val="left"/>
        <w:rPr>
          <w:lang w:val="pt-PT"/>
        </w:rPr>
      </w:pPr>
      <w:r>
        <w:rPr>
          <w:lang w:val="pt-PT"/>
        </w:rPr>
      </w:r>
    </w:p>
    <w:p>
      <w:pPr>
        <w:pStyle w:val="Heading3"/>
        <w:bidi w:val="0"/>
        <w:jc w:val="left"/>
        <w:rPr>
          <w:lang w:val="pt-PT"/>
        </w:rPr>
      </w:pPr>
      <w:r>
        <w:rPr>
          <w:lang w:val="pt-PT"/>
        </w:rPr>
        <w:t>Como funciona: dados, treino, inferência e geração</w:t>
      </w:r>
    </w:p>
    <w:p>
      <w:pPr>
        <w:pStyle w:val="Normal"/>
        <w:bidi w:val="0"/>
        <w:jc w:val="left"/>
        <w:rPr>
          <w:lang w:val="pt-PT"/>
        </w:rPr>
      </w:pPr>
      <w:r>
        <w:rPr>
          <w:lang w:val="pt-PT"/>
        </w:rPr>
      </w:r>
    </w:p>
    <w:p>
      <w:pPr>
        <w:pStyle w:val="Normal"/>
        <w:bidi w:val="0"/>
        <w:jc w:val="left"/>
        <w:rPr>
          <w:lang w:val="pt-PT"/>
        </w:rPr>
      </w:pPr>
      <w:r>
        <w:rPr>
          <w:lang w:val="pt-PT"/>
        </w:rPr>
        <w:t>O funcionamento básico da maioria dos sistemas atuais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treinamento,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(#ref-ao-2025); Menaka et al., 2025 (#ref-menaka-2025); Panchal et al., 2019 (#ref-panchal-2019)).</w:t>
      </w:r>
    </w:p>
    <w:p>
      <w:pPr>
        <w:pStyle w:val="Normal"/>
        <w:bidi w:val="0"/>
        <w:jc w:val="left"/>
        <w:rPr>
          <w:lang w:val="pt-PT"/>
        </w:rPr>
      </w:pPr>
      <w:r>
        <w:rPr>
          <w:lang w:val="pt-PT"/>
        </w:rPr>
        <w:t>Esta lógica distingue a IA contemporânea dos sistemas puramente baseados em regras. Num sistema baseado em regras, o comportamento é prescrito antecipadamente: se ocorrer determinada condição, executa-se determinada ação. Num sistema treinado com dados, pelo contrário, o comportamento emerge da exposição a exemplos. Esta diferença ajuda a explicar, simultaneamente, a sua força e a sua fragilidade. A força reside na capacidade de lidar com grande complexidade, variabilidade e volume de informação. A fragilidade reside no facto do sistema depender dos dados com que foi treinado, podendo reproduzir enviesamentos, simplificações e erros já presentes nesses dados (Panchal et al., 2019 (#ref-panchal-2019); Yüksel et al., 2023 (#ref-yuksel-2023)).</w:t>
      </w:r>
    </w:p>
    <w:p>
      <w:pPr>
        <w:pStyle w:val="Normal"/>
        <w:bidi w:val="0"/>
        <w:jc w:val="left"/>
        <w:rPr>
          <w:lang w:val="pt-PT"/>
        </w:rPr>
      </w:pPr>
      <w:r>
        <w:rPr>
          <w:lang w:val="pt-PT"/>
        </w:rPr>
        <w:t>Nos modelos generativos, este processo torna-se particularmente visível. O sistema aprende distribuições de forma, linguagem, composição ou estilo e, a partir daí, produz novas saídas em resposta a condições ou prompts</w:t>
      </w:r>
      <w:r>
        <w:rPr>
          <w:rStyle w:val="FootnoteReference"/>
          <w:lang w:val="pt-PT"/>
        </w:rPr>
        <w:footnoteReference w:id="11"/>
      </w:r>
      <w:r>
        <w:rPr>
          <w:lang w:val="pt-PT"/>
        </w:rPr>
        <w:t>. Isto permite criar imagens, textos ou alternativas formais que não existiam previamente naquela forma exata, mas também significa que o resultado pode ser apenas plausível, e não necessariamente adequado, original ou tecnicamente robusto. Para o design, esta distinção é decisiva: gerar muitas alternativas não equivale a resolver bem o problema de projeto (Burnap et al., 2019 (#ref-burnap-2019); Choudhury et al., 2025 (#ref-choudhury-2025); Li et al., 2021 (#ref-li-2021)).</w:t>
      </w:r>
    </w:p>
    <w:p>
      <w:pPr>
        <w:pStyle w:val="Heading3"/>
        <w:bidi w:val="0"/>
        <w:jc w:val="left"/>
        <w:rPr>
          <w:lang w:val="pt-PT"/>
        </w:rPr>
      </w:pPr>
      <w:r>
        <w:rPr>
          <w:lang w:val="pt-PT"/>
        </w:rPr>
      </w:r>
    </w:p>
    <w:p>
      <w:pPr>
        <w:pStyle w:val="Heading3"/>
        <w:bidi w:val="0"/>
        <w:jc w:val="left"/>
        <w:rPr>
          <w:lang w:val="pt-PT"/>
        </w:rPr>
      </w:pPr>
      <w:r>
        <w:rPr>
          <w:lang w:val="pt-PT"/>
        </w:rPr>
        <w:t>Formas de IA mais relevantes para o design</w:t>
      </w:r>
    </w:p>
    <w:p>
      <w:pPr>
        <w:pStyle w:val="Normal"/>
        <w:bidi w:val="0"/>
        <w:jc w:val="left"/>
        <w:rPr>
          <w:lang w:val="pt-PT"/>
        </w:rPr>
      </w:pPr>
      <w:r>
        <w:rPr>
          <w:lang w:val="pt-PT"/>
        </w:rPr>
      </w:r>
    </w:p>
    <w:p>
      <w:pPr>
        <w:pStyle w:val="Normal"/>
        <w:bidi w:val="0"/>
        <w:jc w:val="left"/>
        <w:rPr>
          <w:lang w:val="pt-PT"/>
        </w:rPr>
      </w:pPr>
      <w:r>
        <w:rPr>
          <w:lang w:val="pt-PT"/>
        </w:rPr>
        <w:t>A literatura identifica várias famílias de aplicações da IA com relevância direta para o design. Uma primeira família é a do apoio à decisão, na qual sistemas analíticos ajudam a interpretar grandes volumes de informação, a comparar alternativas e a reduzir a carga cognitiva em problemas multivariados. Uma segunda é a otimização,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projeto em resposta a condições de entrada (Ao et al., 2025 (#ref-ao-2025); Khanolkar et al., 2023 (#ref-khanolkar-2023); Wang &amp; Hu, 2024 (#ref-wang-2024)).</w:t>
      </w:r>
    </w:p>
    <w:p>
      <w:pPr>
        <w:pStyle w:val="Normal"/>
        <w:bidi w:val="0"/>
        <w:jc w:val="left"/>
        <w:rPr>
          <w:lang w:val="pt-PT"/>
        </w:rPr>
      </w:pPr>
      <w:r>
        <w:rPr>
          <w:lang w:val="pt-PT"/>
        </w:rPr>
        <w:t>Para o Design Industrial, estas famílias não têm exatamente o mesmo peso. A IA generativa tornou-se especialmente relevante na ideação, na comunicação visual e na rápida exploração de alternativas. A otimização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(#ref-ao-2025); Menaka et al., 2025 (#ref-menaka-2025); Wang &amp; Hu, 2024 (#ref-wang-2024)).</w:t>
      </w:r>
    </w:p>
    <w:p>
      <w:pPr>
        <w:pStyle w:val="Heading3"/>
        <w:bidi w:val="0"/>
        <w:jc w:val="left"/>
        <w:rPr>
          <w:lang w:val="pt-PT"/>
        </w:rPr>
      </w:pPr>
      <w:r>
        <w:rPr>
          <w:lang w:val="pt-PT"/>
        </w:rPr>
      </w:r>
    </w:p>
    <w:p>
      <w:pPr>
        <w:pStyle w:val="Heading3"/>
        <w:bidi w:val="0"/>
        <w:jc w:val="left"/>
        <w:rPr>
          <w:lang w:val="pt-PT"/>
        </w:rPr>
      </w:pPr>
      <w:r>
        <w:rPr>
          <w:lang w:val="pt-PT"/>
        </w:rPr>
        <w:t>IA ao longo do processo de design</w:t>
      </w:r>
    </w:p>
    <w:p>
      <w:pPr>
        <w:pStyle w:val="Normal"/>
        <w:bidi w:val="0"/>
        <w:jc w:val="left"/>
        <w:rPr>
          <w:lang w:val="pt-PT"/>
        </w:rPr>
      </w:pPr>
      <w:r>
        <w:rPr>
          <w:lang w:val="pt-PT"/>
        </w:rPr>
      </w:r>
    </w:p>
    <w:p>
      <w:pPr>
        <w:pStyle w:val="Normal"/>
        <w:bidi w:val="0"/>
        <w:jc w:val="left"/>
        <w:rPr>
          <w:lang w:val="pt-PT"/>
        </w:rPr>
      </w:pPr>
      <w:r>
        <w:rPr>
          <w:lang w:val="pt-PT"/>
        </w:rPr>
        <w:t>Uma das conclusões mais consistentes da literatura é que a IA não atua apenas numa fase isolada do processo projetual.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(#ref-khanolkar-2023); Saeidnia &amp; Ausloos, 2024 (#ref-saeidnia-2024); Verganti et al., 2020 (#ref-verganti-2020)).</w:t>
      </w:r>
    </w:p>
    <w:p>
      <w:pPr>
        <w:pStyle w:val="Normal"/>
        <w:bidi w:val="0"/>
        <w:jc w:val="left"/>
        <w:rPr>
          <w:lang w:val="pt-PT"/>
        </w:rPr>
      </w:pPr>
      <w:r>
        <w:rPr>
          <w:lang w:val="pt-PT"/>
        </w:rP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(#ref-ao-2025); Choudhury et al., 2025 (#ref-choudhury-2025); Virós-i-Martin &amp; Selva, 2021 (#ref-viros-i-martin-2021)).</w:t>
      </w:r>
    </w:p>
    <w:p>
      <w:pPr>
        <w:pStyle w:val="Heading3"/>
        <w:bidi w:val="0"/>
        <w:jc w:val="left"/>
        <w:rPr>
          <w:lang w:val="pt-PT"/>
        </w:rPr>
      </w:pPr>
      <w:r>
        <w:rPr>
          <w:lang w:val="pt-PT"/>
        </w:rPr>
      </w:r>
    </w:p>
    <w:p>
      <w:pPr>
        <w:pStyle w:val="Heading3"/>
        <w:bidi w:val="0"/>
        <w:jc w:val="left"/>
        <w:rPr>
          <w:lang w:val="pt-PT"/>
        </w:rPr>
      </w:pPr>
      <w:r>
        <w:rPr>
          <w:lang w:val="pt-PT"/>
        </w:rPr>
        <w:t>Papel do designer, riscos e necessidade de supervisão humana</w:t>
      </w:r>
    </w:p>
    <w:p>
      <w:pPr>
        <w:pStyle w:val="Normal"/>
        <w:bidi w:val="0"/>
        <w:jc w:val="left"/>
        <w:rPr>
          <w:lang w:val="pt-PT"/>
        </w:rPr>
      </w:pPr>
      <w:r>
        <w:rPr>
          <w:lang w:val="pt-PT"/>
        </w:rPr>
      </w:r>
    </w:p>
    <w:p>
      <w:pPr>
        <w:pStyle w:val="Normal"/>
        <w:bidi w:val="0"/>
        <w:jc w:val="left"/>
        <w:rPr>
          <w:lang w:val="pt-PT"/>
        </w:rPr>
      </w:pPr>
      <w:r>
        <w:rPr>
          <w:lang w:val="pt-PT"/>
        </w:rP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seleção entre alternativas e a justificação das decisões. Esta transformação é especialmente relevante em domínios sensíveis, nos quais a adequação ao utilizador, a responsabilidade técnica e a aceitabilidade ética exigem supervisão humana qualificada (Figoli et al., 2022 (#ref-figoli-2022); Kadenhe et al., 2025 (#ref-kadenhe-2025); Virós-i-Martin &amp; Selva, 2021 (#ref-viros-i-martin-2021)).</w:t>
      </w:r>
    </w:p>
    <w:p>
      <w:pPr>
        <w:pStyle w:val="Normal"/>
        <w:bidi w:val="0"/>
        <w:jc w:val="left"/>
        <w:rPr>
          <w:lang w:val="pt-PT"/>
        </w:rPr>
      </w:pPr>
      <w:r>
        <w:rPr>
          <w:lang w:val="pt-PT"/>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plausíveis, mas incorretas, simplificações abusivas e sugestões sem robustez técnica suficiente. A estes somam-se riscos de dependência excessiva, homogeneização formal, enfraquecimento de competências críticas e incerteza quanto à autoria e originalidade dos resultados produzidos com assistência algorítmica (Burnap et al., 2019 (#ref-burnap-2019); Panchal et al., 2019 (#ref-panchal-2019); Yüksel et al., 2023 (#ref-yuksel-2023)).</w:t>
      </w:r>
    </w:p>
    <w:p>
      <w:pPr>
        <w:pStyle w:val="Normal"/>
        <w:bidi w:val="0"/>
        <w:jc w:val="left"/>
        <w:rPr>
          <w:lang w:val="pt-PT"/>
        </w:rPr>
      </w:pPr>
      <w:r>
        <w:rPr>
          <w:lang w:val="pt-PT"/>
        </w:rPr>
        <w:t>Por estas razões, a literatura converge para a defesa de modelos com supervisão humana explícita. A integração mais robusta da IA não assenta em autonomia plena, mas em ciclos assistidos,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projetual e não em fonte acrítica de soluções aparentes (Ao et al., 2025 (#ref-ao-2025); Kadenhe et al., 2025 (#ref-kadenhe-2025); Verganti et al., 2020 (#ref-verganti-2020)).</w:t>
      </w:r>
    </w:p>
    <w:p>
      <w:pPr>
        <w:pStyle w:val="Normal"/>
        <w:bidi w:val="0"/>
        <w:jc w:val="left"/>
        <w:rPr>
          <w:lang w:val="pt-PT"/>
        </w:rPr>
      </w:pPr>
      <w:r>
        <w:rPr>
          <w:lang w:val="pt-PT"/>
        </w:rPr>
      </w:r>
    </w:p>
    <w:p>
      <w:pPr>
        <w:pStyle w:val="Heading3"/>
        <w:bidi w:val="0"/>
        <w:jc w:val="left"/>
        <w:rPr>
          <w:lang w:val="pt-PT"/>
        </w:rPr>
      </w:pPr>
      <w:r>
        <w:rPr>
          <w:lang w:val="pt-PT"/>
        </w:rPr>
        <w:t>2.7 Plataformas digitais e sistemas configuráveis</w:t>
      </w:r>
    </w:p>
    <w:p>
      <w:pPr>
        <w:pStyle w:val="Normal"/>
        <w:bidi w:val="0"/>
        <w:jc w:val="left"/>
        <w:rPr>
          <w:lang w:val="pt-PT"/>
        </w:rPr>
      </w:pPr>
      <w:r>
        <w:rPr>
          <w:lang w:val="pt-PT"/>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projeto. (Fischer et al., 2004 (#ref-fischer-2004); Hippel &amp; Katz, 2002 (#ref-hippel-2002); Howard et al., 2022 (#ref-howard-2022)).</w:t>
      </w:r>
    </w:p>
    <w:p>
      <w:pPr>
        <w:pStyle w:val="Normal"/>
        <w:bidi w:val="0"/>
        <w:jc w:val="left"/>
        <w:rPr>
          <w:lang w:val="pt-PT"/>
        </w:rPr>
      </w:pPr>
      <w:r>
        <w:rPr>
          <w:lang w:val="pt-PT"/>
        </w:rPr>
        <w:t>Em domínios como a reabilitação e as tecnologias de assistência, a personalização é frequentemente descrita como uma necessidade funcional, e não apenas como uma diferenciação de mercado. Isso significa que a adequação do produto ao utilizador pode ser determinante para a segurança, a usabilidade e a adoção sustentada, deslocando o foco do design de uma solução “média” para sistemas capazes de acomodar a variabilidade individual de forma controlada (Fischer et al., 2017 (#ref-fischer-2017); Kerr et al., 2024 (#ref-kerr-2024); Zhu &amp; Zhong, 2022 (#ref-zhu-2022)).</w:t>
      </w:r>
    </w:p>
    <w:p>
      <w:pPr>
        <w:pStyle w:val="Heading3"/>
        <w:bidi w:val="0"/>
        <w:jc w:val="left"/>
        <w:rPr>
          <w:lang w:val="pt-PT"/>
        </w:rPr>
      </w:pPr>
      <w:r>
        <w:rPr>
          <w:lang w:val="pt-PT"/>
        </w:rPr>
      </w:r>
    </w:p>
    <w:p>
      <w:pPr>
        <w:pStyle w:val="Heading3"/>
        <w:bidi w:val="0"/>
        <w:jc w:val="left"/>
        <w:rPr>
          <w:lang w:val="pt-PT"/>
        </w:rPr>
      </w:pPr>
      <w:r>
        <w:rPr>
          <w:lang w:val="pt-PT"/>
        </w:rPr>
        <w:t>Fundamentos conceptuais: toolkits, meta-design e end-user development.</w:t>
      </w:r>
    </w:p>
    <w:p>
      <w:pPr>
        <w:pStyle w:val="Normal"/>
        <w:bidi w:val="0"/>
        <w:jc w:val="left"/>
        <w:rPr>
          <w:highlight w:val="none"/>
          <w:shd w:fill="FFFF00" w:val="clear"/>
        </w:rPr>
      </w:pPr>
      <w:r>
        <w:rPr>
          <w:shd w:fill="FFFF00" w:val="clear"/>
          <w:lang w:val="pt-PT"/>
        </w:rP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selecionar opções, e toolkits, centrados em desenhar dentro de um espaço de projeto delimitado, é central: a participação pode variar entre escolher alternativas pré-definidas e efetivamente criar configurações em um ambiente com regras e feedback (Franke &amp; Hippel, 2002 (#ref-franke-2002); Hippel &amp; Katz, 2002 (#ref-hippel-2002)).</w:t>
      </w:r>
    </w:p>
    <w:p>
      <w:pPr>
        <w:pStyle w:val="Normal"/>
        <w:bidi w:val="0"/>
        <w:jc w:val="left"/>
        <w:rPr>
          <w:lang w:val="pt-PT"/>
        </w:rPr>
      </w:pPr>
      <w:r>
        <w:rPr>
          <w:shd w:fill="FFFF00" w:val="clear"/>
          <w:lang w:val="pt-PT"/>
        </w:rPr>
        <w:t>O meta-design aprofunda esta lógica ao defender a participação “em uso”,</w:t>
      </w:r>
      <w:r>
        <w:rPr/>
        <w:commentReference w:id="3"/>
      </w:r>
      <w:r>
        <w:rPr>
          <w:shd w:fill="FFFF00" w:val="clear"/>
          <w:lang w:val="pt-PT"/>
        </w:rPr>
        <w:t xml:space="preserve">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w:t>
      </w:r>
      <w:r>
        <w:rPr/>
        <w:commentReference w:id="4"/>
      </w:r>
      <w:r>
        <w:rPr>
          <w:lang w:val="pt-PT"/>
        </w:rPr>
        <w:t xml:space="preserve"> (Costabile et al., 2007 (#ref-costabile-2007); Fischer et al., 2004 (#ref-fischer-2004)).</w:t>
      </w:r>
    </w:p>
    <w:p>
      <w:pPr>
        <w:pStyle w:val="Normal"/>
        <w:bidi w:val="0"/>
        <w:jc w:val="left"/>
        <w:rPr>
          <w:lang w:val="pt-PT"/>
        </w:rPr>
      </w:pPr>
      <w:r>
        <w:rPr>
          <w:lang w:val="pt-PT"/>
        </w:rP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bidi w:val="0"/>
        <w:jc w:val="left"/>
        <w:rPr>
          <w:lang w:val="pt-PT"/>
        </w:rPr>
      </w:pPr>
      <w:r>
        <w:rPr/>
        <w:drawing>
          <wp:inline distT="0" distB="0" distL="0" distR="0">
            <wp:extent cx="5715000" cy="2990850"/>
            <wp:effectExtent l="0" t="0" r="0" b="0"/>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a:picLocks noChangeAspect="1" noChangeArrowheads="1"/>
                    </pic:cNvPicPr>
                  </pic:nvPicPr>
                  <pic:blipFill>
                    <a:blip r:embed="rId12"/>
                    <a:stretch>
                      <a:fillRect/>
                    </a:stretch>
                  </pic:blipFill>
                  <pic:spPr bwMode="auto">
                    <a:xfrm>
                      <a:off x="0" y="0"/>
                      <a:ext cx="5715000" cy="2990850"/>
                    </a:xfrm>
                    <a:prstGeom prst="rect">
                      <a:avLst/>
                    </a:prstGeom>
                    <a:noFill/>
                  </pic:spPr>
                </pic:pic>
              </a:graphicData>
            </a:graphic>
          </wp:inline>
        </w:drawing>
      </w:r>
    </w:p>
    <w:p>
      <w:pPr>
        <w:pStyle w:val="Normal"/>
        <w:bidi w:val="0"/>
        <w:jc w:val="left"/>
        <w:rPr>
          <w:lang w:val="pt-PT"/>
        </w:rPr>
      </w:pPr>
      <w:r>
        <w:rPr>
          <w:lang w:val="pt-PT"/>
        </w:rPr>
        <w:t>Figura 2.7 — Modelo de processo para configurar participação em ecossistemas de inovação e cocriação.</w:t>
      </w:r>
    </w:p>
    <w:p>
      <w:pPr>
        <w:pStyle w:val="Normal"/>
        <w:bidi w:val="0"/>
        <w:jc w:val="left"/>
        <w:rPr>
          <w:lang w:val="pt-PT"/>
        </w:rPr>
      </w:pPr>
      <w:r>
        <w:rPr>
          <w:lang w:val="pt-PT"/>
        </w:rPr>
        <w:t xml:space="preserve">Fonte original: Akasaka, M., Veeckman, C., Georges, A., Schuurman, D., &amp; Coorevits, L. (2022). A framework for configuring participation in living labs. </w:t>
      </w:r>
      <w:hyperlink r:id="rId13">
        <w:r>
          <w:rPr>
            <w:rStyle w:val="Hyperlink"/>
            <w:lang w:val="pt-PT"/>
          </w:rPr>
          <w:t>https://www.semanticscholar.org/paper/305d55af5fda06b4d1b33e7d29c1f16d1b7ea488</w:t>
        </w:r>
      </w:hyperlink>
    </w:p>
    <w:p>
      <w:pPr>
        <w:pStyle w:val="Normal"/>
        <w:bidi w:val="0"/>
        <w:jc w:val="left"/>
        <w:rPr>
          <w:lang w:val="pt-PT"/>
        </w:rPr>
      </w:pPr>
      <w:r>
        <w:rPr>
          <w:lang w:val="pt-PT"/>
        </w:rPr>
      </w:r>
    </w:p>
    <w:p>
      <w:pPr>
        <w:pStyle w:val="Normal"/>
        <w:bidi w:val="0"/>
        <w:jc w:val="left"/>
        <w:rPr>
          <w:lang w:val="pt-PT"/>
        </w:rPr>
      </w:pPr>
      <w:r>
        <w:rPr>
          <w:lang w:val="pt-PT"/>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 (#ref-fischer-2017)).</w:t>
      </w:r>
    </w:p>
    <w:p>
      <w:pPr>
        <w:pStyle w:val="Normal"/>
        <w:bidi w:val="0"/>
        <w:jc w:val="left"/>
        <w:rPr>
          <w:lang w:val="pt-PT"/>
        </w:rPr>
      </w:pPr>
      <w:r>
        <w:rPr>
          <w:lang w:val="pt-PT"/>
        </w:rPr>
        <w:t xml:space="preserve">Em paralelo, o conceito de </w:t>
      </w:r>
      <w:r>
        <w:rPr>
          <w:rStyle w:val="Emphasis"/>
          <w:lang w:val="pt-PT"/>
        </w:rPr>
        <w:t>Software Shaping Workshop</w:t>
      </w:r>
      <w:r>
        <w:rPr>
          <w:lang w:val="pt-PT"/>
        </w:rPr>
        <w:t xml:space="preserve"> operacionaliza o meta-design, entendido como uma abordagem que cria condições técnicas e sociais para que utilizadores finais participem ativamente na adaptação e evolução dos sistemas que utilizam. Neste enquadramento, o </w:t>
      </w:r>
      <w:r>
        <w:rPr>
          <w:rStyle w:val="Emphasis"/>
          <w:lang w:val="pt-PT"/>
        </w:rPr>
        <w:t>Software Shaping Workshop</w:t>
      </w:r>
      <w:r>
        <w:rPr>
          <w:lang w:val="pt-PT"/>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(#ref-costabile-2007); Fischer et al., 2017 (#ref-fischer-2017)).</w:t>
      </w:r>
    </w:p>
    <w:p>
      <w:pPr>
        <w:pStyle w:val="Normal"/>
        <w:bidi w:val="0"/>
        <w:jc w:val="left"/>
        <w:rPr>
          <w:lang w:val="pt-PT"/>
        </w:rPr>
      </w:pPr>
      <w:r>
        <w:rPr>
          <w:lang w:val="pt-PT"/>
        </w:rPr>
      </w:r>
    </w:p>
    <w:p>
      <w:pPr>
        <w:pStyle w:val="Normal"/>
        <w:bidi w:val="0"/>
        <w:jc w:val="left"/>
        <w:rPr>
          <w:lang w:val="pt-PT"/>
        </w:rPr>
      </w:pPr>
      <w:r>
        <w:rPr>
          <w:lang w:val="pt-PT"/>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Normal"/>
        <w:bidi w:val="0"/>
        <w:jc w:val="left"/>
        <w:rPr>
          <w:lang w:val="pt-PT"/>
        </w:rPr>
      </w:pPr>
      <w:r>
        <w:rPr>
          <w:lang w:val="pt-PT"/>
        </w:rPr>
      </w:r>
    </w:p>
    <w:p>
      <w:pPr>
        <w:pStyle w:val="Normal"/>
        <w:bidi w:val="0"/>
        <w:jc w:val="left"/>
        <w:rPr>
          <w:highlight w:val="none"/>
          <w:shd w:fill="auto" w:val="clear"/>
        </w:rPr>
      </w:pPr>
      <w:r>
        <w:rPr>
          <w:shd w:fill="auto" w:val="clear"/>
          <w:lang w:val="pt-PT"/>
        </w:rPr>
        <w:t>Tabela 2.2 — Elementos centrais na configuração da participação em sistemas configuráveis</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Fase e propósito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Em que momento participa o utilizador e com que objetivo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Participantes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perfis participam, em que número e com que papel</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Formato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canais, espaços e métodos suportam a colaboração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Contacto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Como se recrutam participantes e como se mantém a relação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Gestão da motivação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highlight w:val="none"/>
                <w:shd w:fill="auto" w:val="clear"/>
              </w:rPr>
            </w:pPr>
            <w:r>
              <w:rPr>
                <w:shd w:fill="auto" w:val="clear"/>
                <w:lang w:val="pt-PT"/>
              </w:rPr>
              <w:t>Que fatores promovem adesão e que barreiras dificultam continuidade</w:t>
            </w:r>
          </w:p>
        </w:tc>
      </w:tr>
    </w:tbl>
    <w:p>
      <w:pPr>
        <w:pStyle w:val="Normal"/>
        <w:bidi w:val="0"/>
        <w:jc w:val="left"/>
        <w:rPr>
          <w:highlight w:val="none"/>
          <w:shd w:fill="auto" w:val="clear"/>
        </w:rPr>
      </w:pPr>
      <w:r>
        <w:rPr>
          <w:shd w:fill="auto" w:val="clear"/>
        </w:rPr>
      </w:r>
    </w:p>
    <w:p>
      <w:pPr>
        <w:pStyle w:val="Normal"/>
        <w:bidi w:val="0"/>
        <w:jc w:val="left"/>
        <w:rPr/>
      </w:pPr>
      <w:r>
        <w:rPr>
          <w:shd w:fill="auto" w:val="clear"/>
          <w:lang w:val="pt-PT"/>
        </w:rPr>
        <w:t xml:space="preserve">Fonte adaptada. Referência original: Akasaka, M., Veeckman, C., Georges, A., Schuurman, D., &amp; Coorevits, L. (2022). A framework for configuring participation in living labs. </w:t>
      </w:r>
      <w:hyperlink r:id="rId14">
        <w:r>
          <w:rPr>
            <w:rStyle w:val="Hyperlink"/>
            <w:shd w:fill="auto" w:val="clear"/>
            <w:lang w:val="pt-PT"/>
          </w:rPr>
          <w:t>https://www.semanticscholar.org/paper/305d55af5fda06b4d1b33e7d29c1f16d1b7ea488</w:t>
        </w:r>
      </w:hyperlink>
    </w:p>
    <w:p>
      <w:pPr>
        <w:pStyle w:val="Normal"/>
        <w:bidi w:val="0"/>
        <w:jc w:val="left"/>
        <w:rPr>
          <w:highlight w:val="none"/>
          <w:shd w:fill="auto" w:val="clear"/>
          <w:lang w:val="pt-PT"/>
        </w:rPr>
      </w:pPr>
      <w:r>
        <w:rPr>
          <w:shd w:fill="auto" w:val="clear"/>
          <w:lang w:val="pt-PT"/>
        </w:rPr>
      </w:r>
    </w:p>
    <w:p>
      <w:pPr>
        <w:pStyle w:val="Heading3"/>
        <w:bidi w:val="0"/>
        <w:jc w:val="left"/>
        <w:rPr>
          <w:lang w:val="pt-PT"/>
        </w:rPr>
      </w:pPr>
      <w:r>
        <w:rPr>
          <w:lang w:val="pt-PT"/>
        </w:rPr>
        <w:t>Mecanismos de personalização: modularidade, parametrização e adaptação individualizada</w:t>
      </w:r>
    </w:p>
    <w:p>
      <w:pPr>
        <w:pStyle w:val="Normal"/>
        <w:bidi w:val="0"/>
        <w:jc w:val="left"/>
        <w:rPr>
          <w:lang w:val="pt-PT"/>
        </w:rPr>
      </w:pPr>
      <w:r>
        <w:rPr>
          <w:lang w:val="pt-PT"/>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Normal"/>
        <w:bidi w:val="0"/>
        <w:jc w:val="left"/>
        <w:rPr>
          <w:lang w:val="pt-PT"/>
        </w:rPr>
      </w:pPr>
      <w:r>
        <w:rPr>
          <w:lang w:val="pt-PT"/>
        </w:rPr>
      </w:r>
    </w:p>
    <w:p>
      <w:pPr>
        <w:pStyle w:val="BodyText"/>
        <w:rPr>
          <w:lang w:val="pt-PT"/>
        </w:rPr>
      </w:pPr>
      <w:r>
        <w:rPr/>
        <w:t>1. Seleção modular de componentes: a personalização é obtida por meio da combinação de módulos interoperáveis, permitindo adaptar a funcionalidade por meio de combinações e substituições. A modularidade surge como estratégia para conciliar personalização, reutilização e expansão em ecossistemas de produto (Dechev et al., 2023 (#ref-dechev-2023); Peters &amp; Richter, 2023 (#ref-peters-2023)).</w:t>
      </w:r>
    </w:p>
    <w:p>
      <w:pPr>
        <w:pStyle w:val="BodyText"/>
        <w:rPr>
          <w:lang w:val="pt-PT"/>
        </w:rPr>
      </w:pPr>
      <w:r>
        <w:rP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diretamente dados antropométricos e cinemáticos a variáveis de projeto (Kuhl et al., 2020 (#ref-kuhl-2020); Zhu &amp; Zhong, 2022 (#ref-zhu-2022)).</w:t>
      </w:r>
    </w:p>
    <w:p>
      <w:pPr>
        <w:pStyle w:val="BodyText"/>
        <w:rPr>
          <w:lang w:val="pt-PT"/>
        </w:rPr>
      </w:pPr>
      <w:r>
        <w:rP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objetivos faz parte do cuidado contínuo (Cole, 2011 (#ref-cole-2011); Fischer et al., 2017 (#ref-fischer-2017)).</w:t>
      </w:r>
    </w:p>
    <w:p>
      <w:pPr>
        <w:pStyle w:val="Normal"/>
        <w:bidi w:val="0"/>
        <w:jc w:val="left"/>
        <w:rPr>
          <w:lang w:val="pt-PT"/>
        </w:rPr>
      </w:pPr>
      <w:r>
        <w:rPr>
          <w:lang w:val="pt-PT"/>
        </w:rPr>
        <w:t>A seleção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projeto; e os kits de ferramentas são particularmente relevantes quando a adaptação contínua em contexto é crítica e quando o utilizador ou um intermediário dispõe de conhecimento situado para ajustar o sistema. (Hippel &amp; Katz, 2002 (#ref-hippel-2002); Peters &amp; Richter, 2023 (#ref-peters-2023); Zhu &amp; Zhong, 2022 (#ref-zhu-2022)).</w:t>
      </w:r>
    </w:p>
    <w:p>
      <w:pPr>
        <w:pStyle w:val="Normal"/>
        <w:bidi w:val="0"/>
        <w:jc w:val="left"/>
        <w:rPr>
          <w:lang w:val="pt-PT"/>
        </w:rPr>
      </w:pPr>
      <w:r>
        <w:rPr>
          <w:lang w:val="pt-PT"/>
        </w:rPr>
      </w:r>
    </w:p>
    <w:p>
      <w:pPr>
        <w:pStyle w:val="Heading3"/>
        <w:bidi w:val="0"/>
        <w:jc w:val="left"/>
        <w:rPr>
          <w:lang w:val="pt-PT"/>
        </w:rPr>
      </w:pPr>
      <w:r>
        <w:rPr>
          <w:lang w:val="pt-PT"/>
        </w:rPr>
        <w:t>Workflows participativos e infraestruturas remotas</w:t>
      </w:r>
    </w:p>
    <w:p>
      <w:pPr>
        <w:pStyle w:val="Normal"/>
        <w:bidi w:val="0"/>
        <w:jc w:val="left"/>
        <w:rPr>
          <w:lang w:val="pt-PT"/>
        </w:rPr>
      </w:pPr>
      <w:r>
        <w:rPr>
          <w:lang w:val="pt-PT"/>
        </w:rPr>
        <w:t>Uma característica transversal é o recurso crescente à participação remota e aos workflows digitalmente mediados. A literatura documenta sessões de co-design por videoconferência, workshops online e processos de co-manufactura à distância, em que o ciclo “definir → prototipar → fabricar → testar” ocorre com envio de protótipos para experimentação no contexto real do utilizador. Estes modelos são particularmente relevantes em tecnologias assistivas, nas quais a avaliação em contexto e a adaptação iterativa são determinantes para a adequação funcional e a aceitação (Dexter et al., 2013 (#ref-dexter-2013); Thorsen et al., 2023 (#ref-thorsen-2023)).</w:t>
      </w:r>
    </w:p>
    <w:p>
      <w:pPr>
        <w:pStyle w:val="Normal"/>
        <w:bidi w:val="0"/>
        <w:jc w:val="left"/>
        <w:rPr>
          <w:lang w:val="pt-PT"/>
        </w:rPr>
      </w:pPr>
      <w:r>
        <w:rPr>
          <w:lang w:val="pt-PT"/>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(#ref-frangos-2016); Hussaini et al., 2023 (#ref-hussaini-2023); Kerr et al., 2024 (#ref-kerr-2024)).</w:t>
      </w:r>
    </w:p>
    <w:p>
      <w:pPr>
        <w:pStyle w:val="Normal"/>
        <w:bidi w:val="0"/>
        <w:jc w:val="left"/>
        <w:rPr>
          <w:lang w:val="pt-PT"/>
        </w:rPr>
      </w:pPr>
      <w:r>
        <w:rPr>
          <w:lang w:val="pt-PT"/>
        </w:rPr>
      </w:r>
    </w:p>
    <w:p>
      <w:pPr>
        <w:pStyle w:val="Heading3"/>
        <w:bidi w:val="0"/>
        <w:jc w:val="left"/>
        <w:rPr>
          <w:lang w:val="pt-PT"/>
        </w:rPr>
      </w:pPr>
      <w:r>
        <w:rPr>
          <w:lang w:val="pt-PT"/>
        </w:rPr>
        <w:t>Aplicações em saúde, reabilitação e próteses</w:t>
      </w:r>
    </w:p>
    <w:p>
      <w:pPr>
        <w:pStyle w:val="Normal"/>
        <w:bidi w:val="0"/>
        <w:jc w:val="left"/>
        <w:rPr>
          <w:lang w:val="pt-PT"/>
        </w:rPr>
      </w:pPr>
      <w:r>
        <w:rPr>
          <w:lang w:val="pt-PT"/>
        </w:rPr>
        <w:t>Em saúde, plataformas baseadas em</w:t>
      </w:r>
      <w:r>
        <w:rPr>
          <w:i/>
          <w:iCs/>
          <w:lang w:val="pt-PT"/>
        </w:rPr>
        <w:t xml:space="preserve"> digital twins</w:t>
      </w:r>
      <w:r>
        <w:rPr>
          <w:rStyle w:val="FootnoteReference"/>
          <w:i/>
          <w:iCs/>
          <w:lang w:val="pt-PT"/>
        </w:rPr>
        <w:footnoteReference w:id="12"/>
      </w:r>
      <w:r>
        <w:rPr>
          <w:lang w:val="pt-PT"/>
        </w:rPr>
        <w:t xml:space="preserve"> são descritas como sistemas de serviço personalizados que conectam participantes por meio da nuvem, integrando sensores, parâmetros de movimento e métricas de desempenho. Embora apresentem correlações elevadas em cenários controlados, a literatura assinala degradação de desempenho em contextos mais complexos, revelando limites entre modelos e a variabilidade real do movimento humano. Estes sistemas mostram o potencial de integrar personalização, fabrico digital e monitorização remota, mas também deixam claro que a robustez do modelo depende da qualidade dos dados e da diversidade dos cenários de uso (Mikołajewski et al., 2023 (#ref-mikoajewski-2023); Zhu &amp; Zhong, 2022 (#ref-zhu-2022)).</w:t>
      </w:r>
    </w:p>
    <w:p>
      <w:pPr>
        <w:pStyle w:val="Normal"/>
        <w:bidi w:val="0"/>
        <w:jc w:val="left"/>
        <w:rPr>
          <w:lang w:val="pt-PT"/>
        </w:rPr>
      </w:pPr>
      <w:r>
        <w:rPr>
          <w:lang w:val="pt-PT"/>
        </w:rPr>
        <w:t>Na reabilitação, plataformas de virtual coaching, serious games configuráveis e modelos de cocriação tecnológica são apresentados como formas de personalizar os tratamentos com base no estado clínico, nos objetivos terapêuticos e no feedback do utilizador. As avaliações indicam boa usabilidade e experiência do utilizador quando a participação é integrada no ciclo de desenvolvimento e mostram que a personalização não se limita à interface, estendendo-se à seleção de exercícios, ao ritmo do programa e à mediação por profissionais de saúde (Cole, 2011 (#ref-cole-2011); Kerr et al., 2024 (#ref-kerr-2024); Seregni et al., 2021 (#ref-seregni-2021)).</w:t>
      </w:r>
    </w:p>
    <w:p>
      <w:pPr>
        <w:pStyle w:val="Normal"/>
        <w:bidi w:val="0"/>
        <w:jc w:val="left"/>
        <w:rPr>
          <w:lang w:val="pt-PT"/>
        </w:rPr>
      </w:pPr>
      <w:r>
        <w:rPr>
          <w:lang w:val="pt-PT"/>
        </w:rPr>
        <w:t>No contexto protésico e assistivo, evidencia-se a relevância dos ecossistemas modulares e das cadeias de aprendizagem distribuída. Estudos sobre próteses pediátricas, serviços de reabilitação assistiva e modelos como o Victoria Hand Project</w:t>
      </w:r>
      <w:r>
        <w:rPr/>
        <w:commentReference w:id="5"/>
      </w:r>
      <w:r>
        <w:rPr>
          <w:lang w:val="pt-PT"/>
        </w:rPr>
        <w:t xml:space="preserve"> mostram que a personalização pode combinar prototipagem iterativa, módulos intercambiáveis, criação digital de encaixes e circulação de feedback entre locais clínicos e equipas centrais de desenvolvimento. Neste enquadramento, a plataforma deixa de ser apenas uma interface de configuração e passa a funcionar como infraestrutura organizacional de aprendizagem e de atualização contínua (Dechev et al., 2023 (#ref-dechev-2023); Howard et al., 2022 (#ref-howard-2022); Sims et al., 2017 (#ref-sims-2017)).</w:t>
      </w:r>
    </w:p>
    <w:p>
      <w:pPr>
        <w:pStyle w:val="Normal"/>
        <w:bidi w:val="0"/>
        <w:jc w:val="left"/>
        <w:rPr>
          <w:lang w:val="pt-PT"/>
        </w:rPr>
      </w:pPr>
      <w:r>
        <w:rPr>
          <w:lang w:val="pt-PT"/>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adoção sustentada, pelo que os modelos participativos e a mediação local assumem um papel determinante na tradução do potencial técnico em valor real para os utilizadores (Hussaini et al., 2023 (#ref-hussaini-2023); Thorsen et al., 2023 (#ref-thorsen-2023)).</w:t>
      </w:r>
    </w:p>
    <w:p>
      <w:pPr>
        <w:pStyle w:val="Normal"/>
        <w:bidi w:val="0"/>
        <w:jc w:val="left"/>
        <w:rPr>
          <w:lang w:val="pt-PT"/>
        </w:rPr>
      </w:pPr>
      <w:r>
        <w:rPr>
          <w:lang w:val="pt-PT"/>
        </w:rPr>
      </w:r>
    </w:p>
    <w:p>
      <w:pPr>
        <w:pStyle w:val="Heading3"/>
        <w:bidi w:val="0"/>
        <w:jc w:val="left"/>
        <w:rPr>
          <w:lang w:val="pt-PT"/>
        </w:rPr>
      </w:pPr>
      <w:r>
        <w:rPr>
          <w:lang w:val="pt-PT"/>
        </w:rPr>
        <w:t>Limitações e lacunas: sustentabilidade, adoção e equilíbrio entre normalização e improviso</w:t>
      </w:r>
    </w:p>
    <w:p>
      <w:pPr>
        <w:pStyle w:val="Heading3"/>
        <w:bidi w:val="0"/>
        <w:jc w:val="left"/>
        <w:rPr>
          <w:lang w:val="pt-PT"/>
        </w:rPr>
      </w:pPr>
      <w:r>
        <w:rPr>
          <w:lang w:val="pt-PT"/>
        </w:rPr>
      </w:r>
    </w:p>
    <w:p>
      <w:pPr>
        <w:pStyle w:val="BodyText"/>
        <w:bidi w:val="0"/>
        <w:spacing w:lineRule="auto" w:line="276" w:before="0" w:after="140"/>
        <w:jc w:val="left"/>
        <w:rPr>
          <w:lang w:val="pt-PT"/>
        </w:rPr>
      </w:pPr>
      <w:r>
        <w:rPr>
          <w:lang w:val="pt-PT"/>
        </w:rPr>
        <w:t>Apesar do potencial das plataformas configuráveis e dos workflows participativos para apoiar a personalização de dispositivos médicos e tecnologias de apoio, a evidência empírica disponível baseia-se frequentemente em amostras reduzidas e em estudos de caso, o que limita a generalização dos resultados (Frangos et al., 2016 (#ref-frangos-2016); Howard et al., 2022 (#ref-howard-2022); Thorsen et al., 2023 (#ref-thorsen-2023)). Para além disso, a literatura identifica três tensões estruturais relevantes.</w:t>
      </w:r>
    </w:p>
    <w:p>
      <w:pPr>
        <w:pStyle w:val="BodyText"/>
        <w:bidi w:val="0"/>
        <w:spacing w:lineRule="auto" w:line="276" w:before="0" w:after="140"/>
        <w:jc w:val="left"/>
        <w:rPr>
          <w:lang w:val="pt-PT"/>
        </w:rPr>
      </w:pPr>
      <w:r>
        <w:rPr>
          <w:lang w:val="pt-PT"/>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 (#ref-fischer-2017)).</w:t>
      </w:r>
    </w:p>
    <w:p>
      <w:pPr>
        <w:pStyle w:val="BodyText"/>
        <w:bidi w:val="0"/>
        <w:spacing w:lineRule="auto" w:line="276" w:before="0" w:after="140"/>
        <w:jc w:val="left"/>
        <w:rPr>
          <w:lang w:val="pt-PT"/>
        </w:rPr>
      </w:pPr>
      <w:r>
        <w:rPr>
          <w:lang w:val="pt-PT"/>
        </w:rPr>
        <w:t>A segunda tensão situa-se entre normalização e personalização. Em domínios regulados, a adaptação individualizada deve preservar rastreabilidade, segurança e qualidade, o que pode entrar em conflito com ajustamentos locais necessários para responder a necessidades específicas ou contextuais (Costabile et al., 2007 (#ref-costabile-2007); Fischer et al., 2004 (#ref-fischer-2004)).</w:t>
      </w:r>
    </w:p>
    <w:p>
      <w:pPr>
        <w:pStyle w:val="BodyText"/>
        <w:bidi w:val="0"/>
        <w:spacing w:lineRule="auto" w:line="276" w:before="0" w:after="140"/>
        <w:jc w:val="left"/>
        <w:rPr>
          <w:lang w:val="pt-PT"/>
        </w:rPr>
      </w:pPr>
      <w:r>
        <w:rPr>
          <w:lang w:val="pt-PT"/>
        </w:rPr>
        <w:t>A terceira tensão relaciona-se com a adoção e o valor efetivamente realizado. A literatura sobre personalização em massa regista dificuldades recorrentes na conversão e adoção de configuradores; por analogia, em contextos de saúde e de tecnologias de apoio, a configurabilidade não garante aceitação sem alinhamento com expectativas, confiança dos intervenientes e integração nos serviços existentes (Akasaka et al., 2022 (#ref-akasaka-2022); Frangos et al., 2016 (#ref-frangos-2016)).</w:t>
      </w:r>
    </w:p>
    <w:p>
      <w:pPr>
        <w:pStyle w:val="Heading3"/>
        <w:bidi w:val="0"/>
        <w:jc w:val="left"/>
        <w:rPr>
          <w:lang w:val="pt-PT"/>
        </w:rPr>
      </w:pPr>
      <w:r>
        <w:rPr>
          <w:lang w:val="pt-PT"/>
        </w:rPr>
        <w:t>2.8 Análise crítica do estado da arte e lacunas identificadas</w:t>
      </w:r>
    </w:p>
    <w:p>
      <w:pPr>
        <w:pStyle w:val="Heading3"/>
        <w:bidi w:val="0"/>
        <w:jc w:val="left"/>
        <w:rPr>
          <w:lang w:val="pt-PT"/>
        </w:rPr>
      </w:pPr>
      <w:r>
        <w:rPr>
          <w:lang w:val="pt-PT"/>
        </w:rPr>
      </w:r>
    </w:p>
    <w:p>
      <w:pPr>
        <w:pStyle w:val="Normal"/>
        <w:bidi w:val="0"/>
        <w:jc w:val="left"/>
        <w:rPr>
          <w:lang w:val="pt-PT"/>
        </w:rPr>
      </w:pPr>
      <w:r>
        <w:rPr>
          <w:lang w:val="pt-PT"/>
        </w:rPr>
        <w:t xml:space="preserve">A distância entre o potencial técnico destas abordagens e a sua consolidação prática torna-se particularmente visível quando se analisam os níveis de prontidão tecnológica descritos na literatura. A Figura 2.8 apresenta a distribuição dos estudos </w:t>
      </w:r>
      <w:r>
        <w:rPr>
          <w:shd w:fill="FFFF00" w:val="clear"/>
          <w:lang w:val="pt-PT"/>
        </w:rPr>
        <w:t>por nível de prontidão tecnológica, ou Technology Readiness Level (TRL)</w:t>
      </w:r>
      <w:r>
        <w:rPr>
          <w:rStyle w:val="FootnoteReference"/>
          <w:shd w:fill="FFFF00" w:val="clear"/>
          <w:lang w:val="pt-PT"/>
        </w:rPr>
        <w:footnoteReference w:id="13"/>
      </w:r>
      <w:r>
        <w:rPr>
          <w:shd w:fill="FFFF00" w:val="clear"/>
          <w:lang w:val="pt-PT"/>
        </w:rPr>
        <w:t>,</w:t>
      </w:r>
      <w:r>
        <w:rPr>
          <w:lang w:val="pt-PT"/>
        </w:rPr>
        <w:t xml:space="preserve"> evidenciando que muitos contributos permanecem concentrados em fases ainda afastadas de uma adoção ampla e sustentada.</w:t>
      </w:r>
    </w:p>
    <w:p>
      <w:pPr>
        <w:pStyle w:val="Normal"/>
        <w:bidi w:val="0"/>
        <w:jc w:val="left"/>
        <w:rPr>
          <w:lang w:val="pt-PT"/>
        </w:rPr>
      </w:pPr>
      <w:r>
        <w:rPr/>
        <w:drawing>
          <wp:inline distT="0" distB="0" distL="0" distR="0">
            <wp:extent cx="5715000" cy="4067175"/>
            <wp:effectExtent l="0" t="0" r="0" b="0"/>
            <wp:docPr id="9" name="Image 9"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15"/>
                    <a:stretch>
                      <a:fillRect/>
                    </a:stretch>
                  </pic:blipFill>
                  <pic:spPr bwMode="auto">
                    <a:xfrm>
                      <a:off x="0" y="0"/>
                      <a:ext cx="5715000" cy="4067175"/>
                    </a:xfrm>
                    <a:prstGeom prst="rect">
                      <a:avLst/>
                    </a:prstGeom>
                    <a:noFill/>
                  </pic:spPr>
                </pic:pic>
              </a:graphicData>
            </a:graphic>
          </wp:inline>
        </w:drawing>
      </w:r>
    </w:p>
    <w:p>
      <w:pPr>
        <w:pStyle w:val="Normal"/>
        <w:bidi w:val="0"/>
        <w:jc w:val="left"/>
        <w:rPr>
          <w:lang w:val="pt-PT"/>
        </w:rPr>
      </w:pPr>
      <w:r>
        <w:rPr>
          <w:lang w:val="pt-PT"/>
        </w:rP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Normal"/>
        <w:bidi w:val="0"/>
        <w:jc w:val="left"/>
        <w:rPr>
          <w:lang w:val="pt-PT"/>
        </w:rPr>
      </w:pPr>
      <w:r>
        <w:rPr>
          <w:lang w:val="pt-PT"/>
        </w:rPr>
        <w:t>Fonte original: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r>
    </w:p>
    <w:p>
      <w:pPr>
        <w:pStyle w:val="Normal"/>
        <w:bidi w:val="0"/>
        <w:jc w:val="left"/>
        <w:rPr>
          <w:lang w:val="pt-PT"/>
        </w:rPr>
      </w:pPr>
      <w:r>
        <w:rPr>
          <w:lang w:val="pt-PT"/>
        </w:rPr>
        <w:t>A síntese das secções anteriores evidencia um panorama marcado por avanços técnicos significativos, mas também por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(#ref-chadwell-2020); Samuelsson et al., 2012 (#ref-samuelsson-2012); Windrich et al., 2016 (#ref-windrich-2016)).</w:t>
      </w:r>
    </w:p>
    <w:p>
      <w:pPr>
        <w:pStyle w:val="Normal"/>
        <w:bidi w:val="0"/>
        <w:jc w:val="left"/>
        <w:rPr>
          <w:lang w:val="pt-PT"/>
        </w:rPr>
      </w:pPr>
      <w:r>
        <w:rPr>
          <w:lang w:val="pt-PT"/>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(#ref-hafner-2016); Samuelsson et al., 2012 (#ref-samuelsson-2012)).</w:t>
      </w:r>
    </w:p>
    <w:p>
      <w:pPr>
        <w:pStyle w:val="Heading3"/>
        <w:bidi w:val="0"/>
        <w:jc w:val="left"/>
        <w:rPr>
          <w:lang w:val="pt-PT"/>
        </w:rPr>
      </w:pPr>
      <w:r>
        <w:rPr>
          <w:lang w:val="pt-PT"/>
        </w:rPr>
      </w:r>
    </w:p>
    <w:p>
      <w:pPr>
        <w:pStyle w:val="Heading3"/>
        <w:bidi w:val="0"/>
        <w:jc w:val="left"/>
        <w:rPr>
          <w:lang w:val="pt-PT"/>
        </w:rPr>
      </w:pPr>
      <w:r>
        <w:rPr>
          <w:lang w:val="pt-PT"/>
        </w:rPr>
        <w:t>Lacuna 1 — Validação empírica limitada e fraca transposição para contextos reais de utilização</w:t>
      </w:r>
    </w:p>
    <w:p>
      <w:pPr>
        <w:pStyle w:val="BodyText"/>
        <w:bidi w:val="0"/>
        <w:spacing w:lineRule="auto" w:line="276" w:before="0" w:after="140"/>
        <w:jc w:val="left"/>
        <w:rPr>
          <w:lang w:val="pt-PT"/>
        </w:rPr>
      </w:pPr>
      <w:r>
        <w:rPr>
          <w:lang w:val="pt-PT"/>
        </w:rPr>
        <w:t>A revisão da literatura aponta repetidamente para a ausência de estudos comparativos consistentes e de ensaios clínicos que confrontem dispositivos avançados com soluções convencionalmente prescritas, particularmente no caso de próteses ativas e externamente alimentadas. Em vários subdomínios, observa-se uma dependência significativa de protótipos e de amostras reduzidas, o que limita as inferências sobre eficácia, segurança e valor clínico. Em paralelo, verifica-se a predominância de avaliações laboratoriais e de tarefas pouco representativas, que não captam adequadamente o desempenho em contextos reais de utilização, marcados pela variabilidade dos ambientes, dos objetos manipulados e das exigências funcionais (Ghillebert et al., 2019 (#ref-ghillebert-2019); Samuelsson et al., 2012 (#ref-samuelsson-2012); Windrich et al., 2016 (#ref-windrich-2016)).</w:t>
      </w:r>
    </w:p>
    <w:p>
      <w:pPr>
        <w:pStyle w:val="BodyText"/>
        <w:bidi w:val="0"/>
        <w:spacing w:lineRule="auto" w:line="276" w:before="0" w:after="140"/>
        <w:jc w:val="left"/>
        <w:rPr>
          <w:lang w:val="pt-PT"/>
        </w:rPr>
      </w:pPr>
      <w:r>
        <w:rPr>
          <w:lang w:val="pt-PT"/>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adoção, padrões de uso e o surgimento progressivo de problemas relacionados com conforto, manutenção ou integração funcional (Chadwell et al., 2020 (#ref-chadwell-2020); Samuelsson et al., 2012 (#ref-samuelsson-2012)).</w:t>
      </w:r>
    </w:p>
    <w:p>
      <w:pPr>
        <w:pStyle w:val="Heading3"/>
        <w:bidi w:val="0"/>
        <w:jc w:val="left"/>
        <w:rPr>
          <w:lang w:val="pt-PT"/>
        </w:rPr>
      </w:pPr>
      <w:r>
        <w:rPr>
          <w:lang w:val="pt-PT"/>
        </w:rPr>
        <w:t>Lacuna 2 — Desalinhamento entre necessidades identificadas, métricas objetivas, e qualidade de vida</w:t>
      </w:r>
    </w:p>
    <w:p>
      <w:pPr>
        <w:pStyle w:val="BodyText"/>
        <w:bidi w:val="0"/>
        <w:jc w:val="left"/>
        <w:rPr>
          <w:lang w:val="pt-PT"/>
        </w:rPr>
      </w:pPr>
      <w:r>
        <w:rPr>
          <w:lang w:val="pt-PT"/>
        </w:rPr>
        <w:t>A literatura evidencia uma articulação insuficiente entre as necessidades expressas pelos utilizadores, como conforto, controlo intuitivo, aparência e participação social; os indicadores objetivos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refletem tarefas relevantes do quotidiano, contribuindo para contradições entre resultados subjetivos e objetivos (Cordella et al., 2016 (#ref-cordella-2016); Manz et al., 2022 (#ref-manz-2022)).</w:t>
      </w:r>
    </w:p>
    <w:p>
      <w:pPr>
        <w:pStyle w:val="BodyText"/>
        <w:bidi w:val="0"/>
        <w:jc w:val="left"/>
        <w:rPr>
          <w:lang w:val="pt-PT"/>
        </w:rPr>
      </w:pPr>
      <w:r>
        <w:rPr>
          <w:lang w:val="pt-PT"/>
        </w:rPr>
        <w:t>Esta desarticulação tem implicações diretas para o design. A existência de métricas ecologicamente válidas e sensíveis às prioridades do utilizador é essencial para orientar decisões de projeto para benefícios significativos e sustentados. Como consequência, melhorias técnicas isoladas podem produzir ganhos limitados em termos de aceitação, integração funcional ou uso continuado da prótese (Manz et al., 2022 (#ref-manz-2022); Samuelsson et al., 2012 (#ref-samuelsson-2012)).</w:t>
      </w:r>
    </w:p>
    <w:p>
      <w:pPr>
        <w:pStyle w:val="Normal"/>
        <w:bidi w:val="0"/>
        <w:jc w:val="left"/>
        <w:rPr>
          <w:lang w:val="pt-PT"/>
        </w:rPr>
      </w:pPr>
      <w:r>
        <w:rPr>
          <w:lang w:val="pt-PT"/>
        </w:rPr>
      </w:r>
    </w:p>
    <w:p>
      <w:pPr>
        <w:pStyle w:val="Heading3"/>
        <w:bidi w:val="0"/>
        <w:jc w:val="left"/>
        <w:rPr>
          <w:lang w:val="pt-PT"/>
        </w:rPr>
      </w:pPr>
      <w:r>
        <w:rPr>
          <w:lang w:val="pt-PT"/>
        </w:rPr>
        <w:t>Lacuna 3 — Persistência de problemas na interface corpo–prótese e no ajuste individualizado</w:t>
      </w:r>
    </w:p>
    <w:p>
      <w:pPr>
        <w:pStyle w:val="BodyText"/>
        <w:bidi w:val="0"/>
        <w:spacing w:lineRule="auto" w:line="276" w:before="0" w:after="140"/>
        <w:jc w:val="left"/>
        <w:rPr>
          <w:lang w:val="pt-PT"/>
        </w:rPr>
      </w:pPr>
      <w:r>
        <w:rPr>
          <w:lang w:val="pt-PT"/>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fatores determinantes de insatisfação e abandono. Nas revisões analisadas, a personalização é frequentemente descrita como insuficiente ou metodologicamente frágil, sendo a evidência difícil de sintetizar devido à variabilidade das intervenções e ao registo incompleto dos processos e resultados (Alluhydan et al., 2023 (#ref-alluhydan-2023); Baldock et al., 2023 (#ref-baldock-2023); Richardson &amp; Dillon, 2017 (#ref-richardson-2017)).</w:t>
      </w:r>
    </w:p>
    <w:p>
      <w:pPr>
        <w:pStyle w:val="BodyText"/>
        <w:bidi w:val="0"/>
        <w:spacing w:lineRule="auto" w:line="276" w:before="0" w:after="140"/>
        <w:jc w:val="left"/>
        <w:rPr>
          <w:lang w:val="pt-PT"/>
        </w:rPr>
      </w:pPr>
      <w:r>
        <w:rPr>
          <w:lang w:val="pt-PT"/>
        </w:rPr>
        <w:t>Um aspeto estruturante desta lacuna é a ausência de fluxos metodológicos consistentes e acessíveis que articulem medição, decisão de projeto e validação. Esta ausência dificulta a utilização de dados objetivos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adoção como prática clínica regular (Chadwell et al., 2020 (#ref-chadwell-2020); Richardson &amp; Dillon, 2017 (#ref-richardson-2017)).</w:t>
      </w:r>
    </w:p>
    <w:p>
      <w:pPr>
        <w:pStyle w:val="Heading3"/>
        <w:bidi w:val="0"/>
        <w:jc w:val="left"/>
        <w:rPr>
          <w:lang w:val="pt-PT"/>
        </w:rPr>
      </w:pPr>
      <w:r>
        <w:rPr>
          <w:lang w:val="pt-PT"/>
        </w:rPr>
        <w:t>Lacuna 4 — Evolução limitada das estratégias de controlo e da interação utilizador–prótese</w:t>
      </w:r>
    </w:p>
    <w:p>
      <w:pPr>
        <w:pStyle w:val="BodyText"/>
        <w:bidi w:val="0"/>
        <w:spacing w:lineRule="auto" w:line="276" w:before="0" w:after="140"/>
        <w:jc w:val="left"/>
        <w:rPr>
          <w:lang w:val="pt-PT"/>
        </w:rPr>
      </w:pPr>
      <w:r>
        <w:rPr>
          <w:lang w:val="pt-PT"/>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(#ref-cordella-2016); Marinelli et al., 2022 (#ref-marinelli-2022)).</w:t>
      </w:r>
    </w:p>
    <w:p>
      <w:pPr>
        <w:pStyle w:val="BodyText"/>
        <w:bidi w:val="0"/>
        <w:spacing w:lineRule="auto" w:line="276" w:before="0" w:after="140"/>
        <w:jc w:val="left"/>
        <w:rPr>
          <w:lang w:val="pt-PT"/>
        </w:rPr>
      </w:pPr>
      <w:r>
        <w:rPr>
          <w:lang w:val="pt-PT"/>
        </w:rPr>
        <w:t>Esta lacuna não é apenas técnica. Reflete também uma conceptualização ainda insuficiente da interação utilizador–prótese enquanto sistema integrado, no qual controlo, informação sensorial, treino e contexto de uso devem ser considerados de forma articulada (Domínguez-Ruiz et al., 2023 (#ref-dominguez-ruiz-2023); Marinelli et al., 2022 (#ref-marinelli-2022)).</w:t>
      </w:r>
    </w:p>
    <w:p>
      <w:pPr>
        <w:pStyle w:val="Normal"/>
        <w:bidi w:val="0"/>
        <w:jc w:val="left"/>
        <w:rPr>
          <w:lang w:val="pt-PT"/>
        </w:rPr>
      </w:pPr>
      <w:r>
        <w:rPr>
          <w:lang w:val="pt-PT"/>
        </w:rPr>
      </w:r>
    </w:p>
    <w:p>
      <w:pPr>
        <w:pStyle w:val="Heading3"/>
        <w:bidi w:val="0"/>
        <w:jc w:val="left"/>
        <w:rPr>
          <w:lang w:val="pt-PT"/>
        </w:rPr>
      </w:pPr>
      <w:r>
        <w:rPr>
          <w:lang w:val="pt-PT"/>
        </w:rPr>
        <w:t>Lacuna 5 — Acesso, custo, manutenção e inequidades sistémicas</w:t>
      </w:r>
    </w:p>
    <w:p>
      <w:pPr>
        <w:pStyle w:val="Normal"/>
        <w:bidi w:val="0"/>
        <w:jc w:val="left"/>
        <w:rPr>
          <w:lang w:val="pt-PT"/>
        </w:rPr>
      </w:pPr>
      <w:r>
        <w:rPr>
          <w:lang w:val="pt-PT"/>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(#ref-alluhydan-2023); Andrysek, 2010 (#ref-andrysek-2010); Baumann &amp; Maria, 2023 (#ref-baumann-2023)).</w:t>
      </w:r>
    </w:p>
    <w:p>
      <w:pPr>
        <w:pStyle w:val="Normal"/>
        <w:bidi w:val="0"/>
        <w:jc w:val="left"/>
        <w:rPr>
          <w:lang w:val="pt-PT"/>
        </w:rPr>
      </w:pPr>
      <w:r>
        <w:rPr>
          <w:lang w:val="pt-PT"/>
        </w:rPr>
        <w:t>Assim, a inovação pode agravar as inequidades ao introduzir dependências de infraestrutura, de apoio técnico e de cadeias de fornecimento indisponíveis para uma parcela significativa da população (Andrysek, 2010 (#ref-andrysek-2010); Segura et al., 2024 (#ref-segura-2024)).</w:t>
      </w:r>
    </w:p>
    <w:p>
      <w:pPr>
        <w:pStyle w:val="Normal"/>
        <w:bidi w:val="0"/>
        <w:jc w:val="left"/>
        <w:rPr>
          <w:lang w:val="pt-PT"/>
        </w:rPr>
      </w:pPr>
      <w:r>
        <w:rPr>
          <w:lang w:val="pt-PT"/>
        </w:rPr>
      </w:r>
    </w:p>
    <w:p>
      <w:pPr>
        <w:pStyle w:val="Heading3"/>
        <w:bidi w:val="0"/>
        <w:jc w:val="left"/>
        <w:rPr>
          <w:lang w:val="pt-PT"/>
        </w:rPr>
      </w:pPr>
      <w:r>
        <w:rPr>
          <w:lang w:val="pt-PT"/>
        </w:rPr>
        <w:t>Lacuna 6 — Envolvimento do utilizador e registo metodológico insuficiente</w:t>
      </w:r>
    </w:p>
    <w:p>
      <w:pPr>
        <w:pStyle w:val="BodyText"/>
        <w:bidi w:val="0"/>
        <w:spacing w:lineRule="auto" w:line="276" w:before="0" w:after="140"/>
        <w:jc w:val="left"/>
        <w:rPr>
          <w:lang w:val="pt-PT"/>
        </w:rPr>
      </w:pPr>
      <w:r>
        <w:rPr>
          <w:lang w:val="pt-PT"/>
        </w:rPr>
        <w:t>O envolvimento do utilizador permanece uma fragilidade metodológica e ética no desenvolvimento de próteses. As revisões relacionam explicitamente processos pouco ajustados às necessidades individuais dos pacientes com o abandono dos dispositivos e com a dificuldade em responder a prioridades relevantes de uso. Em várias áreas, identifica-se ainda a ausência de métodos qualitativos sistemáticos para captar a experiência, a aceitabilidade e os fatores de rejeição, mesmo em componentes diretamente associados ao conforto, como os liners. Esta limitação reduz a compreensão dos fatores que condicionam a adoção, a continuidade de uso e a adequação da prótese à vida quotidiana (Marinelli et al., 2022 (#ref-marinelli-2022); Richardson &amp; Dillon, 2017 (#ref-richardson-2017); Walker et al., 2019 (#ref-walker-2019)).</w:t>
      </w:r>
    </w:p>
    <w:p>
      <w:pPr>
        <w:pStyle w:val="BodyText"/>
        <w:bidi w:val="0"/>
        <w:spacing w:lineRule="auto" w:line="276" w:before="0" w:after="140"/>
        <w:jc w:val="left"/>
        <w:rPr>
          <w:lang w:val="pt-PT"/>
        </w:rPr>
      </w:pPr>
      <w:r>
        <w:rPr>
          <w:lang w:val="pt-PT"/>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(#ref-cordella-2016); Hafner &amp; Sawers, 2016 (#ref-hafner-2016); Richardson &amp; Dillon, 2017 (#ref-richardson-2017)).</w:t>
      </w:r>
    </w:p>
    <w:p>
      <w:pPr>
        <w:pStyle w:val="Normal"/>
        <w:bidi w:val="0"/>
        <w:jc w:val="left"/>
        <w:rPr>
          <w:lang w:val="pt-PT"/>
        </w:rPr>
      </w:pPr>
      <w:r>
        <w:rPr>
          <w:lang w:val="pt-PT"/>
        </w:rPr>
      </w:r>
    </w:p>
    <w:p>
      <w:pPr>
        <w:pStyle w:val="Heading3"/>
        <w:bidi w:val="0"/>
        <w:jc w:val="left"/>
        <w:rPr>
          <w:lang w:val="pt-PT"/>
        </w:rPr>
      </w:pPr>
      <w:r>
        <w:rPr>
          <w:lang w:val="pt-PT"/>
        </w:rPr>
        <w:t>Implicações para esta investigação</w:t>
      </w:r>
    </w:p>
    <w:p>
      <w:pPr>
        <w:pStyle w:val="BodyText"/>
        <w:bidi w:val="0"/>
        <w:spacing w:lineRule="auto" w:line="276" w:before="0" w:after="140"/>
        <w:jc w:val="left"/>
        <w:rPr>
          <w:lang w:val="pt-PT"/>
        </w:rPr>
      </w:pPr>
      <w:r>
        <w:rPr>
          <w:lang w:val="pt-PT"/>
        </w:rPr>
        <w:t>Em conjunto, estas lacunas apontam para a necessidade de abordagens que:</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reforcem a ligação entre personalização e validação empírica, através de fluxos integrados de aquisição de dados, geração de variantes e avaliação;</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privilegiem avaliações ecologicamente válidas e longitudinais, aproximando as métricas de desempenho dos resultados relacionados com participação, autonomia e qualidade de vida;</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tratem a interface corpo–prótese e o conforto como requisitos estruturantes do processo de projeto, e não como ajustes posteriores;</w:t>
      </w:r>
    </w:p>
    <w:p>
      <w:pPr>
        <w:pStyle w:val="BodyText"/>
        <w:numPr>
          <w:ilvl w:val="0"/>
          <w:numId w:val="1"/>
        </w:numPr>
        <w:tabs>
          <w:tab w:val="clear" w:pos="709"/>
          <w:tab w:val="left" w:pos="0" w:leader="none"/>
        </w:tabs>
        <w:bidi w:val="0"/>
        <w:spacing w:before="0" w:after="0"/>
        <w:ind w:hanging="283" w:left="709"/>
        <w:jc w:val="left"/>
        <w:rPr>
          <w:lang w:val="pt-PT"/>
        </w:rPr>
      </w:pPr>
      <w:r>
        <w:rPr>
          <w:lang w:val="pt-PT"/>
        </w:rPr>
        <w:t>incorporem o envolvimento do utilizador como elemento contínuo, documentável e passível de análise, articulando métodos qualitativos e quantitativos;</w:t>
      </w:r>
    </w:p>
    <w:p>
      <w:pPr>
        <w:pStyle w:val="BodyText"/>
        <w:numPr>
          <w:ilvl w:val="0"/>
          <w:numId w:val="1"/>
        </w:numPr>
        <w:tabs>
          <w:tab w:val="clear" w:pos="709"/>
          <w:tab w:val="left" w:pos="0" w:leader="none"/>
        </w:tabs>
        <w:bidi w:val="0"/>
        <w:ind w:hanging="283" w:left="709"/>
        <w:jc w:val="left"/>
        <w:rPr>
          <w:lang w:val="pt-PT"/>
        </w:rPr>
      </w:pPr>
      <w:r>
        <w:rPr>
          <w:lang w:val="pt-PT"/>
        </w:rPr>
        <w:t>considerem a acessibilidade, a manutenção e o contexto de serviço como dimensões constitutivas do problema de design (Anderson et al., 2024 (#ref-anderson-2024); Baumann &amp; Maria, 2023 (#ref-baumann-2023); Chadwell et al., 2020 (#ref-chadwell-2020)).</w:t>
      </w:r>
    </w:p>
    <w:p>
      <w:pPr>
        <w:pStyle w:val="Normal"/>
        <w:bidi w:val="0"/>
        <w:jc w:val="left"/>
        <w:rPr>
          <w:lang w:val="pt-PT"/>
        </w:rPr>
      </w:pPr>
      <w:r>
        <w:rPr>
          <w:lang w:val="pt-PT"/>
        </w:rPr>
      </w:r>
    </w:p>
    <w:p>
      <w:pPr>
        <w:pStyle w:val="Heading2"/>
        <w:bidi w:val="0"/>
        <w:jc w:val="left"/>
        <w:rPr>
          <w:lang w:val="pt-PT"/>
        </w:rPr>
      </w:pPr>
      <w:r>
        <w:rPr>
          <w:lang w:val="pt-PT"/>
        </w:rPr>
        <w:t>Capítulo 3 — Metodologia de Investigação</w:t>
      </w:r>
    </w:p>
    <w:p>
      <w:pPr>
        <w:pStyle w:val="Heading2"/>
        <w:bidi w:val="0"/>
        <w:jc w:val="left"/>
        <w:rPr>
          <w:lang w:val="pt-PT"/>
        </w:rPr>
      </w:pPr>
      <w:r>
        <w:rPr>
          <w:lang w:val="pt-PT"/>
        </w:rPr>
      </w:r>
    </w:p>
    <w:p>
      <w:pPr>
        <w:pStyle w:val="Heading3"/>
        <w:bidi w:val="0"/>
        <w:jc w:val="left"/>
        <w:rPr>
          <w:lang w:val="pt-PT"/>
        </w:rPr>
      </w:pPr>
      <w:r>
        <w:rPr>
          <w:lang w:val="pt-PT"/>
        </w:rPr>
        <w:t>3.1 Enquadramento metodológico e abordagem Research Through Design</w:t>
      </w:r>
    </w:p>
    <w:p>
      <w:pPr>
        <w:pStyle w:val="Normal"/>
        <w:bidi w:val="0"/>
        <w:jc w:val="left"/>
        <w:rPr>
          <w:lang w:val="pt-PT"/>
        </w:rPr>
      </w:pPr>
      <w:r>
        <w:rPr>
          <w:lang w:val="pt-PT"/>
        </w:rPr>
      </w:r>
    </w:p>
    <w:p>
      <w:pPr>
        <w:pStyle w:val="Normal"/>
        <w:bidi w:val="0"/>
        <w:jc w:val="left"/>
        <w:rPr>
          <w:lang w:val="pt-PT"/>
        </w:rPr>
      </w:pPr>
      <w:r>
        <w:rPr>
          <w:lang w:val="pt-PT"/>
        </w:rPr>
        <w:t>A presente investigação inscreve-se numa metodologia de natureza aplicada, estruturada no enquadramento do Research Through Design (RTD). Esta abordagem reconhece o design não apenas como prática projetual, mas também como meio de produção de conhecimento, no qual conceber, experimentar, prototipar e refletir constituem simultaneamente atos de criação e de investigação (Frayling, 1994 (#ref-frayling-1994); Zimmerman et al., 2007 (#ref-zimmerman-2007)).</w:t>
      </w:r>
    </w:p>
    <w:p>
      <w:pPr>
        <w:pStyle w:val="Normal"/>
        <w:bidi w:val="0"/>
        <w:jc w:val="left"/>
        <w:rPr>
          <w:lang w:val="pt-PT"/>
        </w:rPr>
      </w:pPr>
      <w:r>
        <w:rPr>
          <w:lang w:val="pt-PT"/>
        </w:rPr>
        <w:t>O objetivo principal do projeto é gerar conhecimento por meio da prática do design industrial, articulando o processo criativo, o desenvolvimento técnico e a reflexão crítica sobre o papel do design como mediador entre a tecnologia e a experiência humana. Neste contexto, propõe-se o desenvolvimento de um sistema de design paramétrico assistido por inteligência artificial para a criação de próteses personalizadas de membros superiores, explorando a interligação entre design industrial, design para a fabricação aditiva (DfAM) e metodologias de design inclusivo.</w:t>
      </w:r>
    </w:p>
    <w:p>
      <w:pPr>
        <w:pStyle w:val="Normal"/>
        <w:bidi w:val="0"/>
        <w:jc w:val="left"/>
        <w:rPr>
          <w:lang w:val="pt-PT"/>
        </w:rPr>
      </w:pPr>
      <w:r>
        <w:rPr>
          <w:lang w:val="pt-PT"/>
        </w:rPr>
        <w:t>A pertinência da abordagem RTD justifica-se pela natureza exploratória e iterativa do problema em estudo. A personalização de próteses envolve variáveis anatómicas, funcionais, simbólicas e técnicas que dificilmente podem ser plenamente compreendidas apenas por via teórica. A produção de protótipos, a modelação paramétrica e a integração de algoritmos de apoio ao design constituem, neste projeto, instrumentos epistemológicos que permitem testar hipóteses, revelar constrangimentos e reformular decisões projetuais. Neste sentido, o artefacto não é entendido apenas como resultado final, mas como um veículo de investigação, tornando visíveis decisões, compromissos e relações entre requisitos que dificilmente emergiriam num modelo exclusivamente descritivo ou analítico (Zimmerman et al., 2007 (#ref-zimmerman-2007)).</w:t>
      </w:r>
    </w:p>
    <w:p>
      <w:pPr>
        <w:pStyle w:val="Normal"/>
        <w:bidi w:val="0"/>
        <w:jc w:val="left"/>
        <w:rPr>
          <w:lang w:val="pt-PT"/>
        </w:rPr>
      </w:pPr>
      <w:r>
        <w:rPr>
          <w:lang w:val="pt-PT"/>
        </w:rPr>
      </w:r>
    </w:p>
    <w:p>
      <w:pPr>
        <w:pStyle w:val="Normal"/>
        <w:bidi w:val="0"/>
        <w:jc w:val="left"/>
        <w:rPr>
          <w:lang w:val="pt-PT"/>
        </w:rPr>
      </w:pPr>
      <w:r>
        <w:rPr>
          <w:lang w:val="pt-PT"/>
        </w:rPr>
        <w:t>A investigação é igualmente estruturada segundo a lógica processual do modelo Double Diamond, articulando momentos de divergência e de convergência nas fases de descoberta, definição, desenvolvimento e entrega. Esta estrutura não é aplicada de forma linear, mas como orientação para ciclos iterativos de exploração, síntese e validação, coerentes com a combinação entre pesquisa, formulação do problema, geração de alternativas, prototipagem e teste que caracteriza a prática do design contemporâneo (Design Council, 2020 (#ref-design-council-2020)).</w:t>
      </w:r>
    </w:p>
    <w:p>
      <w:pPr>
        <w:pStyle w:val="Normal"/>
        <w:bidi w:val="0"/>
        <w:jc w:val="left"/>
        <w:rPr>
          <w:lang w:val="pt-PT"/>
        </w:rPr>
      </w:pPr>
      <w:r>
        <w:rPr>
          <w:lang w:val="pt-PT"/>
        </w:rPr>
        <w:t>Esta articulação entre investigação, prototipagem e participação encontra um precedente relevante em processos interdisciplinares de desenvolvimento de próteses impressas em 3D. A Figura 3.1 sintetiza um fluxo de desenvolvimento em que avaliação clínica, definição de requisitos, prototipagem e teste com utilizador são tratados como etapas interdependentes, aproximando a metodologia do presente projeto de uma lógica iterativa e situada de Research Through Design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181225"/>
            <wp:effectExtent l="0" t="0" r="0" b="0"/>
            <wp:docPr id="10" name="Image 10"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16"/>
                    <a:stretch>
                      <a:fillRect/>
                    </a:stretch>
                  </pic:blipFill>
                  <pic:spPr bwMode="auto">
                    <a:xfrm>
                      <a:off x="0" y="0"/>
                      <a:ext cx="5715000" cy="2181225"/>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3.1 — Processo interdisciplinar de desenvolvimento de uma prótese de membro superior impressa em 3D.</w:t>
      </w:r>
    </w:p>
    <w:p>
      <w:pPr>
        <w:pStyle w:val="Normal"/>
        <w:bidi w:val="0"/>
        <w:jc w:val="left"/>
        <w:rPr>
          <w:lang w:val="pt-PT"/>
        </w:rPr>
      </w:pPr>
      <w:r>
        <w:rPr>
          <w:lang w:val="pt-PT"/>
        </w:rPr>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r>
        <w:rPr/>
        <w:commentReference w:id="6"/>
      </w:r>
      <w:r>
        <w:br w:type="page"/>
      </w:r>
    </w:p>
    <w:p>
      <w:pPr>
        <w:pStyle w:val="Normal"/>
        <w:bidi w:val="0"/>
        <w:spacing w:before="0" w:after="0"/>
        <w:jc w:val="left"/>
        <w:rPr>
          <w:lang w:val="pt-PT"/>
        </w:rPr>
      </w:pPr>
      <w:r>
        <w:rPr>
          <w:lang w:val="pt-PT"/>
        </w:rPr>
      </w:r>
    </w:p>
    <w:p>
      <w:pPr>
        <w:pStyle w:val="Heading3"/>
        <w:bidi w:val="0"/>
        <w:jc w:val="left"/>
        <w:rPr>
          <w:lang w:val="pt-PT"/>
        </w:rPr>
      </w:pPr>
      <w:r>
        <w:rPr>
          <w:lang w:val="pt-PT"/>
        </w:rPr>
        <w:t>3.2 O design industrial como prática investigativa</w:t>
      </w:r>
    </w:p>
    <w:p>
      <w:pPr>
        <w:pStyle w:val="Heading3"/>
        <w:bidi w:val="0"/>
        <w:jc w:val="left"/>
        <w:rPr>
          <w:lang w:val="pt-PT"/>
        </w:rPr>
      </w:pPr>
      <w:r>
        <w:rPr>
          <w:lang w:val="pt-PT"/>
        </w:rPr>
      </w:r>
    </w:p>
    <w:p>
      <w:pPr>
        <w:pStyle w:val="Normal"/>
        <w:bidi w:val="0"/>
        <w:jc w:val="left"/>
        <w:rPr>
          <w:lang w:val="pt-PT"/>
        </w:rPr>
      </w:pPr>
      <w:r>
        <w:rPr>
          <w:lang w:val="pt-PT"/>
        </w:rPr>
        <w:t>O projeto parte do entendimento do design industrial como campo de prática e investigação, de natureza técnica e social, capaz de mediar entre a inovação tecnológica e a experiência humana. No domínio das próteses de membros superiores, esta mediação assume particular relevância, uma vez que o objeto projetado intervém diretamente na corporeidade, na autonomia e na identidade do utilizador. Esta perspetiva relaciona-se com a noção de designerly ways of knowing, formulada por Nigel Cross para reconhecer o design como uma disciplina com modos próprios de conhecer, formular problemas e desenvolver soluções através da prática projetual. Neste sentido, o conhecimento produzido pelo design não resulta apenas da análise externa do problema, mas também da experimentação material, da geração de alternativas, da prototipagem e da articulação entre exigências funcionais, formais, técnicas e humanas (Cross, 1982 (#ref-cross-1982)).</w:t>
      </w:r>
    </w:p>
    <w:p>
      <w:pPr>
        <w:pStyle w:val="Normal"/>
        <w:bidi w:val="0"/>
        <w:jc w:val="left"/>
        <w:rPr/>
      </w:pPr>
      <w:r>
        <w:rPr>
          <w:lang w:val="pt-PT"/>
        </w:rPr>
        <w:t xml:space="preserve">Partindo deste enquadramento, a investigação assume o desenvolvimento de um sistema paramétrico assistido por inteligência artificial como meio para explorar formas mais configuráveis, reprodutíveis e acessíveis de personalização protésica. </w:t>
      </w:r>
      <w:r>
        <w:rPr/>
        <w:t>O contributo de investigação do projeto não reside apenas na obtenção de uma solução funcional, mas também na explicitação dos critérios, das relações paramétricas e dos mecanismos de decisão que estruturam o processo, tornando-o analisável, aberto à revisão crítica e potencialmente transferível para outros contextos de desenvolvimento.</w:t>
      </w:r>
    </w:p>
    <w:p>
      <w:pPr>
        <w:pStyle w:val="Normal"/>
        <w:bidi w:val="0"/>
        <w:jc w:val="left"/>
        <w:rPr>
          <w:lang w:val="pt-PT"/>
        </w:rPr>
      </w:pPr>
      <w:r>
        <w:rPr>
          <w:lang w:val="pt-PT"/>
        </w:rP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DfAM e processos participativos pode melhorar a usabilidade, o conforto e a aceitação, ao mesmo tempo que reduz a dependência de especialistas.</w:t>
      </w:r>
    </w:p>
    <w:p>
      <w:pPr>
        <w:pStyle w:val="Normal"/>
        <w:bidi w:val="0"/>
        <w:jc w:val="left"/>
        <w:rPr>
          <w:lang w:val="pt-PT"/>
        </w:rPr>
      </w:pPr>
      <w:r>
        <w:rPr>
          <w:lang w:val="pt-PT"/>
        </w:rPr>
      </w:r>
    </w:p>
    <w:p>
      <w:pPr>
        <w:pStyle w:val="Heading3"/>
        <w:bidi w:val="0"/>
        <w:jc w:val="left"/>
        <w:rPr>
          <w:lang w:val="pt-PT"/>
        </w:rPr>
      </w:pPr>
      <w:r>
        <w:rPr>
          <w:lang w:val="pt-PT"/>
        </w:rPr>
        <w:t>3.3 Estrutura metodológica do projeto</w:t>
      </w:r>
    </w:p>
    <w:p>
      <w:pPr>
        <w:pStyle w:val="Heading3"/>
        <w:bidi w:val="0"/>
        <w:jc w:val="left"/>
        <w:rPr>
          <w:lang w:val="pt-PT"/>
        </w:rPr>
      </w:pPr>
      <w:r>
        <w:rPr>
          <w:lang w:val="pt-PT"/>
        </w:rPr>
      </w:r>
    </w:p>
    <w:p>
      <w:pPr>
        <w:pStyle w:val="Normal"/>
        <w:bidi w:val="0"/>
        <w:jc w:val="left"/>
        <w:rPr>
          <w:lang w:val="pt-PT"/>
        </w:rPr>
      </w:pPr>
      <w:r>
        <w:rPr>
          <w:lang w:val="pt-PT"/>
        </w:rPr>
        <w:t>A metodologia organiza-se em três fases interligadas — conceptual, metodológica e empírica — que se desenvolvem de forma sequencial, mantendo, contudo, a natureza iterativa própria do processo de design. Esta estrutura funciona como uma adaptação do enquadramento de Research Through Design a um problema de design de produto com forte componente digital e experimental, preservando a alternância entre abertura exploratória e convergência projetual orientada por critérios, característica do modelo Double Diamond. (Design Council, 2020 (#ref-design-council-2020); Zimmerman et al., 2007 (#ref-zimmerman-2007)).</w:t>
      </w:r>
    </w:p>
    <w:p>
      <w:pPr>
        <w:pStyle w:val="Normal"/>
        <w:bidi w:val="0"/>
        <w:jc w:val="left"/>
        <w:rPr>
          <w:lang w:val="pt-PT"/>
        </w:rPr>
      </w:pPr>
      <w:r>
        <w:rPr>
          <w:lang w:val="pt-PT"/>
        </w:rPr>
        <w:t>A fase conceptual corresponde ao momento de enquadramento teórico e de problematização. Neste estágio, procede-se à revisão crítica da literatura nas áreas de design paramétrico, fabrico aditivo, design inclusivo, antropometria aplicada e integração de inteligência artificial no processo de design. Paralelamente, realiza-se uma análise comparativa de soluções open-source existentes no domínio das próteses impressas em 3D, identificando abordagens formais, estruturais e tecnológicas, bem como limitações quanto à personalização e à reprodutibilidade. Foi também nesta fase que se estruturou uma base local consolidada de dados antropométricos da mão, a partir de medições publicadas e de bases de dados antropométricas, de modo a apoiar a definição dos parâmetros iniciais do sistema e a comparação entre perfis populacionais. O resultado desta fase é a consolidação de um quadro conceptual alinhado com as questões de investigação e com a hipótese central.</w:t>
      </w:r>
    </w:p>
    <w:p>
      <w:pPr>
        <w:pStyle w:val="Normal"/>
        <w:bidi w:val="0"/>
        <w:jc w:val="left"/>
        <w:rPr>
          <w:lang w:val="pt-PT"/>
        </w:rPr>
      </w:pPr>
      <w:r>
        <w:rPr>
          <w:lang w:val="pt-PT"/>
        </w:rPr>
        <w:t>A fase metodológica corresponde à definição e implementação do sistema paramétrico assistido por IA. Nesta etapa especifica-se a arquitetura da plataforma digital, integrando módulos de configuração paramétrica, bases de dados antropométricas e algoritmos de apoio à interpretação de medidas e à otimização geométrica. Desenvolvem-se protótipos digitais iterativos, testando relações formais e funcionais e avaliando a viabilidade de fabrico segundo os princípios de DfAM. É nesta fase que a investigação se aproxima mais claramente de uma lógica de research by making, em que as decisões de modelação, parametrização e iteração constituem simultaneamente desenvolvimento técnico e produção de conhecimento metodológico.</w:t>
      </w:r>
    </w:p>
    <w:p>
      <w:pPr>
        <w:pStyle w:val="Normal"/>
        <w:bidi w:val="0"/>
        <w:jc w:val="left"/>
        <w:rPr>
          <w:lang w:val="pt-PT"/>
        </w:rPr>
      </w:pPr>
      <w:r>
        <w:rPr>
          <w:lang w:val="pt-PT"/>
        </w:rPr>
        <w:t>A fase empírica materializa a operacionalização do conhecimento gerado. Os modelos paramétricos são testados com diferentes perfis antropométricos provenientes de bases de dados públicas, e protótipos físicos são produzidos por meio de impressão 3D. Esta fase permite avaliar a integridade estrutural, a montagem, a ajustabilidade e a coerência formal, bem como verificar a consistência do sistema perante variações dimensionais.</w:t>
      </w:r>
    </w:p>
    <w:p>
      <w:pPr>
        <w:pStyle w:val="Normal"/>
        <w:bidi w:val="0"/>
        <w:jc w:val="left"/>
        <w:rPr>
          <w:lang w:val="pt-PT"/>
        </w:rPr>
      </w:pPr>
      <w:r>
        <w:rPr/>
        <w:commentReference w:id="7"/>
      </w:r>
    </w:p>
    <w:p>
      <w:pPr>
        <w:pStyle w:val="Heading3"/>
        <w:bidi w:val="0"/>
        <w:jc w:val="left"/>
        <w:rPr>
          <w:lang w:val="pt-PT"/>
        </w:rPr>
      </w:pPr>
      <w:r>
        <w:rPr>
          <w:lang w:val="pt-PT"/>
        </w:rPr>
        <w:t>3.4 Métodos de recolha e análise de dados</w:t>
      </w:r>
    </w:p>
    <w:p>
      <w:pPr>
        <w:pStyle w:val="Normal"/>
        <w:bidi w:val="0"/>
        <w:jc w:val="left"/>
        <w:rPr>
          <w:lang w:val="pt-PT"/>
        </w:rPr>
      </w:pPr>
      <w:r>
        <w:rPr>
          <w:lang w:val="pt-PT"/>
        </w:rPr>
        <w:t xml:space="preserve">A investigação recorre a métodos qualitativos e experimentais, coerentes com a natureza prática do </w:t>
      </w:r>
      <w:r>
        <w:rPr>
          <w:i/>
          <w:iCs/>
          <w:lang w:val="pt-PT"/>
        </w:rPr>
        <w:t>RTD</w:t>
      </w:r>
      <w:r>
        <w:rPr>
          <w:lang w:val="pt-PT"/>
        </w:rPr>
        <w:t>. A recolha de dados realiza-se em diferentes níveis, combinando análise documental, comparação de precedentes, construção paramétrica, prototipagem iterativa e reflexão crítica sobre os resultados de cada ciclo.</w:t>
      </w:r>
    </w:p>
    <w:p>
      <w:pPr>
        <w:pStyle w:val="Normal"/>
        <w:bidi w:val="0"/>
        <w:jc w:val="left"/>
        <w:rPr>
          <w:lang w:val="pt-PT"/>
        </w:rPr>
      </w:pPr>
      <w:r>
        <w:rPr>
          <w:lang w:val="pt-PT"/>
        </w:rPr>
        <w:t>Num primeiro nível, procede-se à análise documental e à revisão da literatura, o que permite identificar lacunas, requisitos técnicos e critérios de avaliação. Num segundo nível, realiza-se a análise comparativa de projetos existentes, com foco nas suas soluções construtivas, nos sistemas de ajuste e nas estratégias de personalização.</w:t>
      </w:r>
    </w:p>
    <w:p>
      <w:pPr>
        <w:pStyle w:val="Normal"/>
        <w:bidi w:val="0"/>
        <w:jc w:val="left"/>
        <w:rPr>
          <w:lang w:val="pt-PT"/>
        </w:rPr>
      </w:pPr>
      <w:r>
        <w:rPr>
          <w:lang w:val="pt-PT"/>
        </w:rPr>
        <w:t>Durante o desenvolvimento do sistema paramétrico, os dados assumem natureza técnica e projetual, incluindo parâmetros geométricos, relações dimensionais, tempos de fabrico, consumo de material e desempenho estrutural dos protótipos</w:t>
      </w:r>
      <w:r>
        <w:rPr/>
        <w:commentReference w:id="8"/>
      </w:r>
      <w:r>
        <w:rPr>
          <w:lang w:val="pt-PT"/>
        </w:rPr>
        <w:t>. Estes dados são analisados de forma iterativa, permitindo reformular o modelo paramétrico e otimizar o seu desempenho.</w:t>
      </w:r>
    </w:p>
    <w:p>
      <w:pPr>
        <w:pStyle w:val="Normal"/>
        <w:bidi w:val="0"/>
        <w:jc w:val="left"/>
        <w:rPr>
          <w:lang w:val="pt-PT"/>
        </w:rPr>
      </w:pPr>
      <w:r>
        <w:rPr>
          <w:lang w:val="pt-PT"/>
        </w:rPr>
        <w:t>Na fase de prototipagem, a análise incide sobre os critérios de exequibilidade de fabrico, robustez estrutural, coerência dimensional e facilidade de montagem. Não são recolhidos dados pessoais ou biométricos de utilizadores reais; utilizam-se exclusivamente conjuntos de dados antropométricos públicos, o que delimita o âmbito empírico ao domínio técnico e projetual. Entre estes, destaca-se a base local consolidada de medidas da mão e do membro superior distal, usada como infraestrutura intermédia para a seleção,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projeto.</w:t>
      </w:r>
    </w:p>
    <w:p>
      <w:pPr>
        <w:pStyle w:val="Normal"/>
        <w:bidi w:val="0"/>
        <w:jc w:val="left"/>
        <w:rPr>
          <w:lang w:val="pt-PT"/>
        </w:rPr>
      </w:pPr>
      <w:r>
        <w:rPr>
          <w:lang w:val="pt-PT"/>
        </w:rPr>
        <w:t>Embora o presente estudo não utilize participantes reais, a literatura metodológica da área ajuda a esclarecer como medições lineares e procedimentos de ajuste são normalmente operacionalizados em contextos aplicados. A Figura 3.2 ilustra esse tipo de recolha dimensional orientada para fabrico, servindo aqui como precedente metodológico para a tradução de medidas em parâmetros de projeto.</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1905000"/>
            <wp:effectExtent l="0" t="0" r="0" b="0"/>
            <wp:docPr id="11" name="Image 11" descr="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Image 11"/>
                    <pic:cNvPicPr>
                      <a:picLocks noChangeAspect="1" noChangeArrowheads="1"/>
                    </pic:cNvPicPr>
                  </pic:nvPicPr>
                  <pic:blipFill>
                    <a:blip r:embed="rId17"/>
                    <a:stretch>
                      <a:fillRect/>
                    </a:stretch>
                  </pic:blipFill>
                  <pic:spPr bwMode="auto">
                    <a:xfrm>
                      <a:off x="0" y="0"/>
                      <a:ext cx="5715000" cy="19050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3.2 — Exemplo de recolha dimensional para ajuste de prótese impressa em 3D.</w:t>
      </w:r>
    </w:p>
    <w:p>
      <w:pPr>
        <w:pStyle w:val="Normal"/>
        <w:bidi w:val="0"/>
        <w:jc w:val="left"/>
        <w:rPr>
          <w:lang w:val="pt-PT"/>
        </w:rPr>
      </w:pPr>
      <w:r>
        <w:rPr>
          <w:lang w:val="pt-PT"/>
        </w:rPr>
        <w:t>Fonte original: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bidi w:val="0"/>
        <w:jc w:val="left"/>
        <w:rPr>
          <w:lang w:val="pt-PT"/>
        </w:rPr>
      </w:pPr>
      <w:r>
        <w:rPr>
          <w:lang w:val="pt-PT"/>
        </w:rPr>
      </w:r>
    </w:p>
    <w:p>
      <w:pPr>
        <w:pStyle w:val="Heading3"/>
        <w:bidi w:val="0"/>
        <w:jc w:val="left"/>
        <w:rPr>
          <w:lang w:val="pt-PT"/>
        </w:rPr>
      </w:pPr>
      <w:r>
        <w:rPr>
          <w:lang w:val="pt-PT"/>
        </w:rPr>
        <w:t>3.5 Critérios de avaliação e limitações metodológicas</w:t>
      </w:r>
    </w:p>
    <w:p>
      <w:pPr>
        <w:pStyle w:val="Heading3"/>
        <w:bidi w:val="0"/>
        <w:jc w:val="left"/>
        <w:rPr>
          <w:lang w:val="pt-PT"/>
        </w:rPr>
      </w:pPr>
      <w:r>
        <w:rPr>
          <w:lang w:val="pt-PT"/>
        </w:rPr>
      </w:r>
    </w:p>
    <w:p>
      <w:pPr>
        <w:pStyle w:val="Normal"/>
        <w:bidi w:val="0"/>
        <w:jc w:val="left"/>
        <w:rPr>
          <w:lang w:val="pt-PT"/>
        </w:rPr>
      </w:pPr>
      <w:r>
        <w:rPr>
          <w:lang w:val="pt-PT"/>
        </w:rPr>
        <w:t>A avaliação do sistema desenvolvido baseia-se em critérios técnicos, funcionais e metodológicos. Entre os principais critérios consideram-se a capacidade de personalização paramétrica, a consistência dimensional perante diferentes perfis antropométricos, a viabilidade de fabrico por impressão 3D, a robustez estrutural e a clareza do processo de configuração. Estes critérios visam avaliar não só o desempenho do artefacto, mas também a qualidade do próprio processo de design enquanto dispositivo de investigação, nomeadamente a sua capacidade de tornar explícitas as decisões, testar alternativas e produzir aprendizagem transferível (Zimmerman et al., 2007 (#ref-zimmerman-2007)).</w:t>
      </w:r>
    </w:p>
    <w:p>
      <w:pPr>
        <w:pStyle w:val="Normal"/>
        <w:bidi w:val="0"/>
        <w:jc w:val="left"/>
        <w:rPr>
          <w:lang w:val="pt-PT"/>
        </w:rPr>
      </w:pPr>
      <w:r>
        <w:rPr>
          <w:lang w:val="pt-PT"/>
        </w:rPr>
        <w:t>No caso específico da parametrização assistida por IA, a avaliação foi organizada em dois patamares. O primeiro incidiu sobre a plausibilidade numérica das sugestões, verificando conformidade com o esquema de parâmetros, respeito pelos intervalos mínimos e máximos, proporcionalidade entre dedos, adequação etária e coerência de lateralidade em amputações unilaterais. O segundo prolongou essa verificação até à geometria exportada, testando se os valores sugeridos eram efetivamente aplicados nos modelo</w:t>
      </w:r>
      <w:commentRangeStart w:id="9"/>
      <w:r>
        <w:rPr>
          <w:lang w:val="pt-PT"/>
        </w:rPr>
        <w:t xml:space="preserve">s OpenSCAD/WebAssembly </w:t>
      </w:r>
      <w:r>
        <w:rPr>
          <w:lang w:val="pt-PT"/>
        </w:rPr>
      </w:r>
      <w:commentRangeEnd w:id="9"/>
      <w:r>
        <w:commentReference w:id="9"/>
      </w:r>
      <w:r>
        <w:rPr>
          <w:lang w:val="pt-PT"/>
        </w:rPr>
        <w:t xml:space="preserve">e se os ficheiros </w:t>
      </w:r>
      <w:commentRangeStart w:id="10"/>
      <w:r>
        <w:rPr>
          <w:lang w:val="pt-PT"/>
        </w:rPr>
        <w:t>3MF e STL</w:t>
      </w:r>
      <w:r>
        <w:rPr>
          <w:lang w:val="pt-PT"/>
        </w:rPr>
      </w:r>
      <w:commentRangeEnd w:id="10"/>
      <w:r>
        <w:commentReference w:id="10"/>
      </w:r>
      <w:r>
        <w:rPr>
          <w:lang w:val="pt-PT"/>
        </w:rPr>
        <w:t xml:space="preserve"> resultantes apresentavam escalas coerentes com os perfis antropométricos simulados. Esta separação permite distinguir a validade interna do fluxo paramétrico da validação clínica, que permanece fora do âmbito empírico desta investigação.</w:t>
      </w:r>
    </w:p>
    <w:p>
      <w:pPr>
        <w:pStyle w:val="Normal"/>
        <w:bidi w:val="0"/>
        <w:jc w:val="left"/>
        <w:rPr>
          <w:lang w:val="pt-PT"/>
        </w:rPr>
      </w:pPr>
      <w:r>
        <w:rPr>
          <w:lang w:val="pt-PT"/>
        </w:rPr>
        <w:t>Adicionalmente, são considerados critérios relacionados com a acessibilidade e a replicabilidade, avaliando-se em que medida o sistema pode ser utilizado por técnicos não especializados ou por comunidades locais com recursos limitados. A dimensão ética é igualmente ponderada, particularmente no que se refere à promoção da autonomia e da dignidade do utilizador.</w:t>
      </w:r>
    </w:p>
    <w:p>
      <w:pPr>
        <w:pStyle w:val="Normal"/>
        <w:bidi w:val="0"/>
        <w:jc w:val="left"/>
        <w:rPr>
          <w:lang w:val="pt-PT"/>
        </w:rPr>
      </w:pPr>
      <w:r>
        <w:rPr>
          <w:lang w:val="pt-PT"/>
        </w:rPr>
        <w:t>Importa, contudo, reconhecer limitações metodológicas. A ausência de testes com utilizadores reais impede a validação clínica e a avaliação aprofundada da experiência de uso subjetiva. A utilização de dados antropométricos secundários limita a verificação empírica da adaptação individual. Por fim, a integração de inteligência artificial é circunscrita a funções de apoio à configuração e otimização geométricas, não abrangendo sistemas clínicos ou biomédicos avançados. Acresce que a própria estrutura iterativa adotada, embora adequada à exploração projetual, não produz, por si só, evidência clínica ou generalização estatística, exigindo que os resultados sejam lidos como contributo metodológico assente no desenvolvimento de um protótipo, e não como validação final de eficácia em contexto de uso.</w:t>
      </w:r>
    </w:p>
    <w:p>
      <w:pPr>
        <w:pStyle w:val="Normal"/>
        <w:bidi w:val="0"/>
        <w:jc w:val="left"/>
        <w:rPr>
          <w:lang w:val="pt-PT"/>
        </w:rPr>
      </w:pPr>
      <w:r>
        <w:rPr>
          <w:lang w:val="pt-PT"/>
        </w:rPr>
        <w:t>Estas limitações são assumidas como enquadramento do estudo, que se posiciona prioritariamente no domínio do design de produto e da investigação metodológica, contribuindo para a reflexão sobre o papel do design paramétrico e da inteligência artificial na personalização de dispositivos assistivos.</w:t>
      </w:r>
    </w:p>
    <w:p>
      <w:pPr>
        <w:pStyle w:val="Heading2"/>
        <w:bidi w:val="0"/>
        <w:jc w:val="left"/>
        <w:rPr>
          <w:lang w:val="pt-PT"/>
        </w:rPr>
      </w:pPr>
      <w:r>
        <w:rPr>
          <w:lang w:val="pt-PT"/>
        </w:rPr>
      </w:r>
    </w:p>
    <w:p>
      <w:pPr>
        <w:pStyle w:val="Heading2"/>
        <w:bidi w:val="0"/>
        <w:jc w:val="left"/>
        <w:rPr>
          <w:lang w:val="pt-PT"/>
        </w:rPr>
      </w:pPr>
      <w:r>
        <w:rPr>
          <w:lang w:val="pt-PT"/>
        </w:rPr>
        <w:t>Capítulo 4 — Desenvolvimento do Modelo Paramétrico</w:t>
      </w:r>
    </w:p>
    <w:p>
      <w:pPr>
        <w:pStyle w:val="Heading3"/>
        <w:bidi w:val="0"/>
        <w:jc w:val="left"/>
        <w:rPr>
          <w:lang w:val="pt-PT"/>
        </w:rPr>
      </w:pPr>
      <w:r>
        <w:rPr>
          <w:lang w:val="pt-PT"/>
        </w:rPr>
      </w:r>
    </w:p>
    <w:p>
      <w:pPr>
        <w:pStyle w:val="Heading3"/>
        <w:bidi w:val="0"/>
        <w:jc w:val="left"/>
        <w:rPr>
          <w:lang w:val="pt-PT"/>
        </w:rPr>
      </w:pPr>
      <w:r>
        <w:rPr>
          <w:lang w:val="pt-PT"/>
        </w:rPr>
        <w:t>4.1 Definição do problema de design e requisitos</w:t>
      </w:r>
    </w:p>
    <w:p>
      <w:pPr>
        <w:pStyle w:val="Normal"/>
        <w:bidi w:val="0"/>
        <w:jc w:val="left"/>
        <w:rPr>
          <w:lang w:val="pt-PT"/>
        </w:rPr>
      </w:pPr>
      <w:r>
        <w:rPr>
          <w:lang w:val="pt-PT"/>
        </w:rPr>
      </w:r>
    </w:p>
    <w:p>
      <w:pPr>
        <w:pStyle w:val="Normal"/>
        <w:bidi w:val="0"/>
        <w:jc w:val="left"/>
        <w:rPr>
          <w:lang w:val="pt-PT"/>
        </w:rPr>
      </w:pPr>
      <w:r>
        <w:rPr>
          <w:lang w:val="pt-PT"/>
        </w:rPr>
        <w:t>Como referido anteriormente, o desenvolvimento de próteses de membro superior é enquadrado na literatura como um problema de elevada complexidade, situado na interseção entre desempenho biomecânico, integração corpo–dispositivo e experiência vivida do utilizador (Cordella et al., 2016 (#ref-cordella-2016); Guo, 2025 (#ref-guo-2025); Peerdeman et al., 2011 (#ref-peerdeman-2011)). Este desafio não pode ser reduzido à mera replicação formal da mão ou do segmento ausente. Implica, pelo contrário, a conceção de dispositivos capazes de conciliar funcionalidade, conforto, leveza, fiabilidade, controlo inteligível, aceitabilidade estética e e custos compatíveis com a produção, adaptação, manutenção e acesso continuado à prótese, num contexto em que continuam a registar-se taxas elevadas de rejeição e abandono. 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(#ref-biddiss-2007); Cordella et al., 2016 (#ref-cordella-2016); Peerdeman et al., 2011 (#ref-peerdeman-2011)).</w:t>
      </w:r>
    </w:p>
    <w:p>
      <w:pPr>
        <w:pStyle w:val="Normal"/>
        <w:bidi w:val="0"/>
        <w:jc w:val="left"/>
        <w:rPr>
          <w:lang w:val="pt-PT"/>
        </w:rPr>
      </w:pPr>
      <w:r>
        <w:rPr>
          <w:lang w:val="pt-PT"/>
        </w:rPr>
        <w:t>Neste contexto, a definição de requisitos não constitui apenas uma etapa técnica de especificação, mas um processo de tradução entre problemas de uso, limitações clínicas, possibilidades tecnológicas e condições concretas de adoção. Assim, os requisitos considerados no projeto de uma prótese de membro superior devem ser entendidos como categorias interdependentes, que procuram responder simultaneamente ao desempenho funcional do dispositivo, à sua adequação ao corpo, à experiência quotidiana do utilizador e à viabilidade do seu desenvolvimento e manutenção.</w:t>
      </w:r>
    </w:p>
    <w:p>
      <w:pPr>
        <w:pStyle w:val="Normal"/>
        <w:bidi w:val="0"/>
        <w:jc w:val="left"/>
        <w:rPr>
          <w:lang w:val="pt-PT"/>
        </w:rPr>
      </w:pPr>
      <w:r>
        <w:rPr>
          <w:lang w:val="pt-PT"/>
        </w:rPr>
        <w:t>A partir desta leitura, os requisitos de projeto podem ser organizados em categorias interdependentes. Os requisitos funcionais incluem padrões de preensão, graus de liberdade, amplitude de movimento, força, velocidade e capacidade de realizar atividades da vida diária. Os requisitos ergonómicos assumem particular centralidade, destacando-se o conforto, o baixo peso, a usabilidade, a facilidade de colocação e remoção da prótese e a adequação ao uso quotidiano prolongado. Ao nível técnico, definem-se parâmetros relativos a atuadores, sistemas de transmissão, sensores, estratégias de controlo, fontes de energia e seleção de materiais com propriedades mecânicas adequadas e compatibilidade biológica. Em termos de fabrico, emergem exigências de modularidade, reparabilidade, custo controlado e compatibilidade com fluxos de fabrico digital e aditivo. Acrescem ainda requisitos estéticos e psicossociais, relacionados com a identidade, a aceitação social e a incorporação corporal, cuja relevância é reiterada tanto por utilizadores como por clínicos e familiares (Biddiss et al., 2007 (#ref-biddiss-2007); Brack &amp; Amalu, 2021 (#ref-brack-2021); Henao et al., 2025 (#ref-henao-2025); Walker et al., 2019 (#ref-walker-2019)).</w:t>
      </w:r>
    </w:p>
    <w:p>
      <w:pPr>
        <w:pStyle w:val="Normal"/>
        <w:bidi w:val="0"/>
        <w:jc w:val="left"/>
        <w:rPr>
          <w:lang w:val="pt-PT"/>
        </w:rPr>
      </w:pPr>
      <w:r>
        <w:rPr>
          <w:lang w:val="pt-PT"/>
        </w:rPr>
        <w:t xml:space="preserve">A tradução destas necessidades em parâmetros mensuráveis e programáveis constitui um ponto crítico no desenvolvimento de dispositivos médicos personalizados. Tal tradução implica converter necessidades qualitativas, como conforto, segurança ou facilidade de controlo, em especificações técnicas quantificáveis, como limites de peso, distribuição admissível de pressões, torque necessário nas articulações, número de graus de liberdade, autonomia energética ou tolerâncias dimensionais. A literatura sobre requisitos em próteses de membro superior mostra que este passo é decisivo, pois as prioridades dos utilizadores nem sempre coincidem com os indicadores habitualmente privilegiados pela engenharia, o que exige uma explicitação rigorosa das correspondências entre a necessidade, o critério de avaliação e a decisão de projeto (Cordella et al., 2016 (#ref-cordella-2016); Hofmann et al., 2016 (#ref-hofmann-2016); Jones et al., 2023 (#ref-jones-2023)). No desenvolvimento do sistema paramétrico proposto nesta investigação, esta relação traduz-se na definição de variáveis geométricas, mecânicas e construtivas controladas por parâmetros, permitindo a gerar geometrias adaptadas a dados antropométricos e a requisitos funcionais específicos. Contudo, para que esta tradução entre dados, requisitos e forma não resulte apenas de decisões empíricas ou arbitrárias, torna-se necessário enquadrar a especificação dos requisitos em modelos metodológicos adequados ao desenvolvimento de sistemas protésicos personalizados. Diversos enquadramentos metodológicos sustentam esta especificação em sistemas protésicos paramétricos ou fabricados digitalmente. Para além das abordagens clássicas da engenharia de produto, que estruturam o desenvolvimento através da definição de funções, requisitos técnicos, alternativas de solução e critérios de validação, observa-se uma transição clara para modelos centrados no utilizador , como o User-Centered Design, o Human-Centered Design e metodologias participativas e de co-criação. Estas abordagens promovem ciclos iterativos de prototipagem e avaliação com envolvimento ativo de utilizadores, clínicos e, em alguns casos, familiares, reconhecendo que a definição do problema de design depende tanto da performance mecânica como da experiência concreta de uso (Henao et al., 2025 (#ref-henao-2025); Peerdeman et al., 2011 (#ref-peerdeman-2011); Walker et al., 2019 (#ref-walker-2019)). </w:t>
      </w:r>
      <w:r>
        <w:rPr/>
        <w:commentReference w:id="11"/>
      </w:r>
      <w:r>
        <w:rPr>
          <w:lang w:val="pt-PT"/>
        </w:rPr>
        <w:t>No domínio digital, a integração de modelação paramétrica, digitalização 3D e simulação, nomeadamente análise por elementos finitos e modelação cinemática, estrutura um fluxo de desenvolvimento em que os requisitos podem ser incorporados diretamente em modelos computacionais ajustáveis e verificados antes da produção física.</w:t>
      </w:r>
    </w:p>
    <w:p>
      <w:pPr>
        <w:pStyle w:val="BodyText"/>
        <w:bidi w:val="0"/>
        <w:spacing w:lineRule="auto" w:line="276" w:before="0" w:after="140"/>
        <w:jc w:val="left"/>
        <w:rPr>
          <w:lang w:val="pt-PT"/>
        </w:rPr>
      </w:pPr>
      <w:r>
        <w:rPr>
          <w:lang w:val="pt-PT"/>
        </w:rPr>
        <w:t>A formalização de constrangimentos nas fases iniciais do processo de design desempenha um papel estruturante, permitindo delimitar o espaço de solução antes da geração e avaliação de alternativas. Neste trabalho, estes constrangimentos são organizados em quatro categorias principais: materiais, mecânicos, anatómicos e produtivos. Esta organização permite distinguir os limites relacionados com as propriedades dos materiais, o comportamento estrutural e funcional do dispositivo, a adequação ao corpo do utilizador e as condições de fabrico.</w:t>
      </w:r>
    </w:p>
    <w:p>
      <w:pPr>
        <w:pStyle w:val="BodyText"/>
        <w:bidi w:val="0"/>
        <w:spacing w:lineRule="auto" w:line="276" w:before="0" w:after="140"/>
        <w:jc w:val="left"/>
        <w:rPr>
          <w:lang w:val="pt-PT"/>
        </w:rPr>
      </w:pPr>
      <w:r>
        <w:rPr>
          <w:lang w:val="pt-PT"/>
        </w:rPr>
        <w:t>Os constrangimentos materiais são definidos em termos de resistência, rigidez, durabilidade e compatibilidade biológica. Os constrangimentos mecânicos incluem limites de binário, deformação admissível, integridade estrutural sob carga e capacidades cinemáticas mínimas para a realização de tarefas quotidianas. Os constrangimentos anatómicos são integrados com base em dados antropométricos e, quando possível, na digitalização do membro residual, condicionando as geometrias, as zonas de contacto e os volumes internos. Por fim, os constrangimentos produtivos relacionam-se com as capacidades e limitações do fabrico aditivo, incluindo tolerâncias, orientação de impressão, tempo de fabrico, custo e escalonamento.</w:t>
      </w:r>
    </w:p>
    <w:p>
      <w:pPr>
        <w:pStyle w:val="BodyText"/>
        <w:bidi w:val="0"/>
        <w:spacing w:lineRule="auto" w:line="276" w:before="0" w:after="140"/>
        <w:jc w:val="left"/>
        <w:rPr>
          <w:lang w:val="pt-PT"/>
        </w:rPr>
      </w:pPr>
      <w:r>
        <w:rPr>
          <w:lang w:val="pt-PT"/>
        </w:rPr>
        <w:t>A explicitação destes limites desde as fases conceptuais permite enquadrar o processo como um exercício de otimização sujeito a múltiplas restrições, estruturando as decisões projetuais de forma clara, verificável e passível de análise crítica (Brack &amp; Amalu, 2021 (#ref-brack-2021); Herneth et al., 2024 (#ref-herneth-2024); Jones et al., 2023 (#ref-jones-2023)).</w:t>
      </w:r>
    </w:p>
    <w:p>
      <w:pPr>
        <w:pStyle w:val="Normal"/>
        <w:bidi w:val="0"/>
        <w:jc w:val="left"/>
        <w:rPr>
          <w:lang w:val="pt-PT"/>
        </w:rPr>
      </w:pPr>
      <w:r>
        <w:rPr>
          <w:lang w:val="pt-PT"/>
        </w:rPr>
      </w:r>
    </w:p>
    <w:p>
      <w:pPr>
        <w:pStyle w:val="Heading3"/>
        <w:bidi w:val="0"/>
        <w:jc w:val="left"/>
        <w:rPr>
          <w:lang w:val="pt-PT"/>
        </w:rPr>
      </w:pPr>
      <w:r>
        <w:rPr>
          <w:lang w:val="pt-PT"/>
        </w:rPr>
        <w:t>4.2 Parâmetros antropométricos e estrutura do modelo</w:t>
      </w:r>
    </w:p>
    <w:p>
      <w:pPr>
        <w:pStyle w:val="Heading3"/>
        <w:bidi w:val="0"/>
        <w:jc w:val="left"/>
        <w:rPr>
          <w:lang w:val="pt-PT"/>
        </w:rPr>
      </w:pPr>
      <w:r>
        <w:rPr>
          <w:lang w:val="pt-PT"/>
        </w:rPr>
      </w:r>
    </w:p>
    <w:p>
      <w:pPr>
        <w:pStyle w:val="Normal"/>
        <w:bidi w:val="0"/>
        <w:jc w:val="left"/>
        <w:rPr>
          <w:lang w:val="pt-PT"/>
        </w:rPr>
      </w:pPr>
      <w:r>
        <w:rPr>
          <w:lang w:val="pt-PT"/>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diretamente a lógica do modelo digital (Chatzioglou et al., 2024 (#ref-chatzioglou-2024); Moreo, 2016 (#ref-moreo-2016); Rodríguez-Vega &amp; Rodríguez-Vega, 2024 (#ref-rodriguez-vega-2024)).</w:t>
      </w:r>
    </w:p>
    <w:p>
      <w:pPr>
        <w:pStyle w:val="Normal"/>
        <w:bidi w:val="0"/>
        <w:jc w:val="left"/>
        <w:rPr>
          <w:lang w:val="pt-PT"/>
        </w:rPr>
      </w:pPr>
      <w:r>
        <w:rPr>
          <w:lang w:val="pt-PT"/>
        </w:rP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bidi w:val="0"/>
        <w:jc w:val="left"/>
        <w:rPr>
          <w:lang w:val="pt-PT"/>
        </w:rPr>
      </w:pPr>
      <w:r>
        <w:rPr>
          <w:lang w:val="pt-PT"/>
        </w:rPr>
      </w:r>
    </w:p>
    <w:p>
      <w:pPr>
        <w:pStyle w:val="Normal"/>
        <w:bidi w:val="0"/>
        <w:jc w:val="left"/>
        <w:rPr>
          <w:lang w:val="pt-PT"/>
        </w:rPr>
      </w:pPr>
      <w:r>
        <w:rPr/>
        <w:drawing>
          <wp:inline distT="0" distB="0" distL="0" distR="0">
            <wp:extent cx="4667250" cy="3467100"/>
            <wp:effectExtent l="0" t="0" r="0" b="0"/>
            <wp:docPr id="12" name="Image 12"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18"/>
                    <a:stretch>
                      <a:fillRect/>
                    </a:stretch>
                  </pic:blipFill>
                  <pic:spPr bwMode="auto">
                    <a:xfrm>
                      <a:off x="0" y="0"/>
                      <a:ext cx="4667250" cy="3467100"/>
                    </a:xfrm>
                    <a:prstGeom prst="rect">
                      <a:avLst/>
                    </a:prstGeom>
                    <a:noFill/>
                  </pic:spPr>
                </pic:pic>
              </a:graphicData>
            </a:graphic>
          </wp:inline>
        </w:drawing>
      </w:r>
    </w:p>
    <w:p>
      <w:pPr>
        <w:pStyle w:val="Normal"/>
        <w:bidi w:val="0"/>
        <w:jc w:val="left"/>
        <w:rPr>
          <w:lang w:val="pt-PT"/>
        </w:rPr>
      </w:pPr>
      <w:r>
        <w:rPr>
          <w:lang w:val="pt-PT"/>
        </w:rPr>
        <w:t>Figura 4.1 — Parâmetros antropométricos utilizados na modelação paramétrica de dedos protésicos.</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19">
        <w:r>
          <w:rPr>
            <w:rStyle w:val="Hyperlink"/>
            <w:lang w:val="pt-PT"/>
          </w:rPr>
          <w:t>https://doi.org/10.1109/BioRob60516.2024.10719909</w:t>
        </w:r>
      </w:hyperlink>
    </w:p>
    <w:p>
      <w:pPr>
        <w:pStyle w:val="Normal"/>
        <w:bidi w:val="0"/>
        <w:jc w:val="left"/>
        <w:rPr>
          <w:u w:val="double"/>
        </w:rPr>
      </w:pPr>
      <w:r>
        <w:rPr>
          <w:u w:val="double"/>
        </w:rPr>
      </w:r>
    </w:p>
    <w:p>
      <w:pPr>
        <w:pStyle w:val="Normal"/>
        <w:bidi w:val="0"/>
        <w:jc w:val="left"/>
        <w:rPr>
          <w:lang w:val="pt-PT"/>
        </w:rPr>
      </w:pPr>
      <w:r>
        <w:rPr>
          <w:lang w:val="pt-PT"/>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integraçãoe a integração da mão protésica no uso quotidiano (Chatzioglou et al., 2024 (#ref-chatzioglou-2024); Nag et al., 2003 (#ref-nag-2003)).</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4.1 — Principais parâmetros antropométricos da mão e do membro superior relevantes para modelação paramétrica</w:t>
      </w:r>
    </w:p>
    <w:p>
      <w:pPr>
        <w:pStyle w:val="Normal"/>
        <w:bidi w:val="0"/>
        <w:jc w:val="left"/>
        <w:rPr>
          <w:lang w:val="pt-PT"/>
        </w:rPr>
      </w:pPr>
      <w:r>
        <w:rPr>
          <w:lang w:val="pt-PT"/>
        </w:rPr>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do punho à ponta do dedo médio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global do modelo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mão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Distância entre metacarpos II e V</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do volume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 do dedo médio até ao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e proporção da palma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MCP até ponta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Dimensionamento funcional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Relação entre segmentos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Definição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Secção transversal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estrutural e estético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Polegar</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orientação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e oposição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Preensão e usabilidade</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Punho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Largura/profundidade</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do punho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estrutural</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Antebraço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Circunferência/comprimento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Medidas do membro residual</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do encaixe</w:t>
            </w:r>
          </w:p>
        </w:tc>
      </w:tr>
    </w:tbl>
    <w:p>
      <w:pPr>
        <w:pStyle w:val="Heading3"/>
        <w:bidi w:val="0"/>
        <w:jc w:val="left"/>
        <w:rPr>
          <w:lang w:val="pt-PT"/>
        </w:rPr>
      </w:pPr>
      <w:r>
        <w:rPr>
          <w:lang w:val="pt-PT"/>
        </w:rPr>
      </w:r>
    </w:p>
    <w:p>
      <w:pPr>
        <w:pStyle w:val="Heading3"/>
        <w:bidi w:val="0"/>
        <w:jc w:val="left"/>
        <w:rPr>
          <w:lang w:val="pt-PT"/>
        </w:rPr>
      </w:pPr>
      <w:r>
        <w:rPr>
          <w:lang w:val="pt-PT"/>
        </w:rPr>
        <w:t>Conjuntos mínimos de parâmetros por nível de amputação</w:t>
      </w:r>
    </w:p>
    <w:p>
      <w:pPr>
        <w:pStyle w:val="Normal"/>
        <w:bidi w:val="0"/>
        <w:jc w:val="left"/>
        <w:rPr>
          <w:lang w:val="pt-PT"/>
        </w:rPr>
      </w:pPr>
      <w:r>
        <w:rPr>
          <w:lang w:val="pt-PT"/>
        </w:rPr>
      </w:r>
    </w:p>
    <w:p>
      <w:pPr>
        <w:pStyle w:val="Normal"/>
        <w:bidi w:val="0"/>
        <w:jc w:val="left"/>
        <w:rPr>
          <w:lang w:val="pt-PT"/>
        </w:rPr>
      </w:pPr>
      <w:r>
        <w:rPr>
          <w:lang w:val="pt-PT"/>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4.2 — Conjuntos mínimos de parâmetros por nível de amputação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Transradial (abaixo do cotovelo)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 membro residual, circunferência do antebraço, largura do 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Desarticulação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e profundidade do punho, comprimento da mão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Parcial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palma, dimensões dos dedos remanescentes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Dedos (parcial)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proporções falângicas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Mão completa (cosmética/funcional)</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 comprimento dos dedos</w:t>
            </w:r>
          </w:p>
        </w:tc>
      </w:tr>
    </w:tbl>
    <w:p>
      <w:pPr>
        <w:pStyle w:val="Normal"/>
        <w:bidi w:val="0"/>
        <w:jc w:val="left"/>
        <w:rPr>
          <w:lang w:val="pt-PT"/>
        </w:rPr>
      </w:pPr>
      <w:r>
        <w:rPr>
          <w:lang w:val="pt-PT"/>
        </w:rPr>
      </w:r>
    </w:p>
    <w:p>
      <w:pPr>
        <w:pStyle w:val="Normal"/>
        <w:bidi w:val="0"/>
        <w:jc w:val="left"/>
        <w:rPr>
          <w:lang w:val="pt-PT"/>
        </w:rPr>
      </w:pPr>
      <w:r>
        <w:rPr>
          <w:lang w:val="pt-PT"/>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Normal"/>
        <w:bidi w:val="0"/>
        <w:jc w:val="left"/>
        <w:rPr>
          <w:lang w:val="pt-PT"/>
        </w:rPr>
      </w:pPr>
      <w:r>
        <w:rPr>
          <w:lang w:val="pt-PT"/>
        </w:rPr>
      </w:r>
    </w:p>
    <w:p>
      <w:pPr>
        <w:pStyle w:val="Heading3"/>
        <w:bidi w:val="0"/>
        <w:jc w:val="left"/>
        <w:rPr>
          <w:lang w:val="pt-PT"/>
        </w:rPr>
      </w:pPr>
      <w:r>
        <w:rPr>
          <w:lang w:val="pt-PT"/>
        </w:rPr>
        <w:t>Limitações do redimensionamento proporcional</w:t>
      </w:r>
    </w:p>
    <w:p>
      <w:pPr>
        <w:pStyle w:val="Heading3"/>
        <w:bidi w:val="0"/>
        <w:jc w:val="left"/>
        <w:rPr>
          <w:lang w:val="pt-PT"/>
        </w:rPr>
      </w:pPr>
      <w:r>
        <w:rPr>
          <w:lang w:val="pt-PT"/>
        </w:rPr>
      </w:r>
    </w:p>
    <w:p>
      <w:pPr>
        <w:pStyle w:val="Normal"/>
        <w:bidi w:val="0"/>
        <w:jc w:val="left"/>
        <w:rPr>
          <w:lang w:val="pt-PT"/>
        </w:rPr>
      </w:pPr>
      <w:r>
        <w:rPr>
          <w:lang w:val="pt-PT"/>
        </w:rPr>
        <w:t>Uma limitação recorrente em abordagens simplificadas de modelação é o uso de redimensionamento proporcional (</w:t>
      </w:r>
      <w:r>
        <w:rPr>
          <w:i/>
          <w:iCs/>
          <w:lang w:val="pt-PT"/>
        </w:rPr>
        <w:t>uniform scaling</w:t>
      </w:r>
      <w:r>
        <w:rPr>
          <w:lang w:val="pt-PT"/>
        </w:rPr>
        <w:t>),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(#ref-lim-2018); Nag et al., 2003 (#ref-nag-2003); Rodríguez-Vega &amp; Rodríguez-Vega, 2024 (#ref-rodriguez-vega-2024)).</w:t>
      </w:r>
    </w:p>
    <w:p>
      <w:pPr>
        <w:pStyle w:val="Normal"/>
        <w:bidi w:val="0"/>
        <w:jc w:val="left"/>
        <w:rPr>
          <w:lang w:val="pt-PT"/>
        </w:rPr>
      </w:pPr>
      <w:r>
        <w:rPr>
          <w:lang w:val="pt-PT"/>
        </w:rPr>
      </w:r>
    </w:p>
    <w:p>
      <w:pPr>
        <w:pStyle w:val="Normal"/>
        <w:bidi w:val="0"/>
        <w:jc w:val="left"/>
        <w:rPr>
          <w:lang w:val="pt-PT"/>
        </w:rPr>
      </w:pPr>
      <w:r>
        <w:rPr>
          <w:lang w:val="pt-PT"/>
        </w:rPr>
        <w:t>Esta limitação torna-se visualmente evidente na Figura 4.2, que compara um modelo uniformemente escalado com outro parametrizado a partir de variáveis independentes. A diferença é relevante porque mostra que a personalização não depende apenas de “aumentar ou reduzir” um modelo-base, mas também de reorganizar as relações geométricas internas.</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705100"/>
            <wp:effectExtent l="0" t="0" r="0" b="0"/>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a:picLocks noChangeAspect="1" noChangeArrowheads="1"/>
                    </pic:cNvPicPr>
                  </pic:nvPicPr>
                  <pic:blipFill>
                    <a:blip r:embed="rId20"/>
                    <a:stretch>
                      <a:fillRect/>
                    </a:stretch>
                  </pic:blipFill>
                  <pic:spPr bwMode="auto">
                    <a:xfrm>
                      <a:off x="0" y="0"/>
                      <a:ext cx="5715000" cy="270510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4.2 — Comparação entre o escalonamento uniforme e a modelação paramétrica de dedo protésico.</w:t>
      </w:r>
    </w:p>
    <w:p>
      <w:pPr>
        <w:pStyle w:val="Normal"/>
        <w:bidi w:val="0"/>
        <w:jc w:val="left"/>
        <w:rPr/>
      </w:pPr>
      <w:r>
        <w:rPr>
          <w:lang w:val="pt-PT"/>
        </w:rPr>
        <w:t xml:space="preserve">Adaptado de fonte original: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w:t>
      </w:r>
      <w:hyperlink r:id="rId21">
        <w:r>
          <w:rPr>
            <w:rStyle w:val="Hyperlink"/>
            <w:lang w:val="pt-PT"/>
          </w:rPr>
          <w:t>https://doi.org/10.1115/DETC2018-85645</w:t>
        </w:r>
      </w:hyperlink>
    </w:p>
    <w:p>
      <w:pPr>
        <w:pStyle w:val="Normal"/>
        <w:bidi w:val="0"/>
        <w:jc w:val="left"/>
        <w:rPr>
          <w:lang w:val="pt-PT"/>
        </w:rPr>
      </w:pPr>
      <w:r>
        <w:rPr>
          <w:lang w:val="pt-PT"/>
        </w:rPr>
      </w:r>
    </w:p>
    <w:p>
      <w:pPr>
        <w:pStyle w:val="Heading3"/>
        <w:bidi w:val="0"/>
        <w:jc w:val="left"/>
        <w:rPr>
          <w:lang w:val="pt-PT"/>
        </w:rPr>
      </w:pPr>
      <w:r>
        <w:rPr>
          <w:lang w:val="pt-PT"/>
        </w:rPr>
        <w:t>Métodos de recolha de dados antropométricos</w:t>
      </w:r>
    </w:p>
    <w:p>
      <w:pPr>
        <w:pStyle w:val="Heading3"/>
        <w:bidi w:val="0"/>
        <w:jc w:val="left"/>
        <w:rPr>
          <w:lang w:val="pt-PT"/>
        </w:rPr>
      </w:pPr>
      <w:r>
        <w:rPr>
          <w:lang w:val="pt-PT"/>
        </w:rPr>
      </w:r>
    </w:p>
    <w:p>
      <w:pPr>
        <w:pStyle w:val="Normal"/>
        <w:bidi w:val="0"/>
        <w:jc w:val="left"/>
        <w:rPr>
          <w:lang w:val="pt-PT"/>
        </w:rPr>
      </w:pPr>
      <w:r>
        <w:rPr>
          <w:lang w:val="pt-PT"/>
        </w:rPr>
        <w:t>A recolha de dados pode ser realizada por diferentes métodos, com implicações diretas na precisão e na aplicabilidade dos modelos. A escolha do método depende do objetivo da medição: parametrização dimensional básica, reconstrução geométrica fina, desenho do encaixe ou obtenção de relações internas entre superfícies e estruturas ósseas. Em termos práticos, a literatura mostra que não há um método universalmente superior; há, sim, uma adequação diferencial entre método, custo, acessibilidade e o tipo de dados necessários (Çıklaçandır et al., 2022 (#ref-cklacandr-2022); Herbst et al., 2021 (#ref-herbst-2021)).</w:t>
      </w:r>
    </w:p>
    <w:p>
      <w:pPr>
        <w:pStyle w:val="Normal"/>
        <w:bidi w:val="0"/>
        <w:jc w:val="left"/>
        <w:rPr>
          <w:lang w:val="pt-PT"/>
        </w:rPr>
      </w:pPr>
      <w:r>
        <w:rPr>
          <w:lang w:val="pt-PT"/>
        </w:rPr>
      </w:r>
    </w:p>
    <w:p>
      <w:pPr>
        <w:pStyle w:val="Normal"/>
        <w:bidi w:val="0"/>
        <w:jc w:val="left"/>
        <w:rPr>
          <w:lang w:val="pt-PT"/>
        </w:rPr>
      </w:pPr>
      <w:r>
        <w:rPr>
          <w:lang w:val="pt-PT"/>
        </w:rPr>
        <w:t>Tabela 4.3 — Métodos de recolha de dados antropométricos e suas características</w:t>
      </w:r>
    </w:p>
    <w:tbl>
      <w:tblPr>
        <w:tblW w:w="5000" w:type="pct"/>
        <w:jc w:val="left"/>
        <w:tblInd w:w="108" w:type="dxa"/>
        <w:tblLayout w:type="fixed"/>
        <w:tblCellMar>
          <w:top w:w="0" w:type="dxa"/>
          <w:left w:w="108" w:type="dxa"/>
          <w:bottom w:w="0" w:type="dxa"/>
          <w:right w:w="108" w:type="dxa"/>
        </w:tblCellMar>
      </w:tblPr>
      <w:tblGrid>
        <w:gridCol w:w="1805"/>
        <w:gridCol w:w="1805"/>
        <w:gridCol w:w="1801"/>
        <w:gridCol w:w="1807"/>
        <w:gridCol w:w="1808"/>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Medição manual</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Dimensões lineares</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Simplicidade, baixo custo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Representação geométrica limitada</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Parametrização básica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Digitalização 3D</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superficial</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Elevada precisão, rapidez</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Equipamento e processamento necessários</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Encaixe e forma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Imagiologia médica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Estrutura interna e externa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anatómicos detalhados</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Alto custo e menor acessibilidade</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Modelação biomecânica</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Fotogrametria</w:t>
            </w:r>
          </w:p>
        </w:tc>
        <w:tc>
          <w:tcPr>
            <w:tcW w:w="1805"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aproximada</w:t>
            </w:r>
          </w:p>
        </w:tc>
        <w:tc>
          <w:tcPr>
            <w:tcW w:w="180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Acessível, potencial remoto</w:t>
            </w:r>
          </w:p>
        </w:tc>
        <w:tc>
          <w:tcPr>
            <w:tcW w:w="180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Precisão variável</w:t>
            </w:r>
          </w:p>
        </w:tc>
        <w:tc>
          <w:tcPr>
            <w:tcW w:w="1808"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Aquisição preliminar</w:t>
            </w:r>
          </w:p>
        </w:tc>
      </w:tr>
    </w:tbl>
    <w:p>
      <w:pPr>
        <w:pStyle w:val="Heading3"/>
        <w:bidi w:val="0"/>
        <w:jc w:val="left"/>
        <w:rPr>
          <w:lang w:val="pt-PT"/>
        </w:rPr>
      </w:pPr>
      <w:r>
        <w:rPr>
          <w:lang w:val="pt-PT"/>
        </w:rPr>
      </w:r>
    </w:p>
    <w:p>
      <w:pPr>
        <w:pStyle w:val="Heading3"/>
        <w:bidi w:val="0"/>
        <w:jc w:val="left"/>
        <w:rPr>
          <w:lang w:val="pt-PT"/>
        </w:rPr>
      </w:pPr>
      <w:r>
        <w:rPr>
          <w:lang w:val="pt-PT"/>
        </w:rPr>
        <w:t>Bases de dados antropométricas, extração e normalização</w:t>
      </w:r>
    </w:p>
    <w:p>
      <w:pPr>
        <w:pStyle w:val="Heading3"/>
        <w:bidi w:val="0"/>
        <w:jc w:val="left"/>
        <w:rPr>
          <w:lang w:val="pt-PT"/>
        </w:rPr>
      </w:pPr>
      <w:r>
        <w:rPr>
          <w:lang w:val="pt-PT"/>
        </w:rPr>
      </w:r>
    </w:p>
    <w:p>
      <w:pPr>
        <w:pStyle w:val="Normal"/>
        <w:bidi w:val="0"/>
        <w:jc w:val="left"/>
        <w:rPr>
          <w:lang w:val="pt-PT"/>
        </w:rPr>
      </w:pPr>
      <w:r>
        <w:rPr>
          <w:lang w:val="pt-PT"/>
        </w:rPr>
        <w:t>A definição de parâmetros pode apoiar-se em bases de dados antropométricas de referência e em normas de medição corporal, que ajudam a estabilizar a nomenclatura, os pontos anatómicos e os intervalos esperados de variação. No presente projeto, esse apoio foi operacionalizado através da consolidação local de dados provenientes de estudos populacionais e de bases de referência. O conjunto reunido contém 1.790 registos em formato longo, cobre nove países — China, Estados Unidos da América, Índia, Jordânia, México, Nigéria, Países Baixos, Portugal e Turquia — e combina dados de estudos publicados, relatórios técnicos e sub-bases DINED disponibilizadas pela TU Delft.</w:t>
      </w:r>
    </w:p>
    <w:p>
      <w:pPr>
        <w:pStyle w:val="Normal"/>
        <w:bidi w:val="0"/>
        <w:jc w:val="left"/>
        <w:rPr>
          <w:lang w:val="pt-PT"/>
        </w:rPr>
      </w:pPr>
      <w:r>
        <w:rPr>
          <w:lang w:val="pt-PT"/>
        </w:rPr>
        <w:t>O objetivo desta consolidação não foi criar uma nova norma antropométrica, nem substituir a medição individual do utilizador. O objetivo foi construir uma infraestrutura intermédia, verificável e comparável, capaz de apoiar três decisões de projeto: definir intervalos plausíveis para os parâmetros expostos no modelo; identificar quais dimensões são suficientemente recorrentes na literatura para servirem como entradas mínimas; e testar a coerência geométrica de configurações geradas a partir de diferentes perfis populacionais. Esta distinção é importante porque os dados populacionais descrevem tendências e dispersões, enquanto uma prótese personalizada continua a exigir medições diretas ou digitalização específica quando o ajuste final ao corpo está em causa.</w:t>
      </w:r>
    </w:p>
    <w:p>
      <w:pPr>
        <w:pStyle w:val="Normal"/>
        <w:bidi w:val="0"/>
        <w:jc w:val="left"/>
        <w:rPr>
          <w:lang w:val="pt-PT"/>
        </w:rPr>
      </w:pPr>
      <w:r>
        <w:rPr>
          <w:lang w:val="pt-PT"/>
        </w:rPr>
        <w:t>A seleção das fontes seguiu critérios explícitos. Foram incluídas fontes que apresentavam dados primários ou bases de dados reconhecidas, pelo menos uma dimensão relevante para a mão, dedos, palma, punho ou antebraço, identificação da população ou subgrupo e estatística descritiva claramente reportada, como médias, desvios-padrão, percentis ou intervalos de variação.. Foram excluídos estudos que apenas reutilizavam dados secundários sem acesso claro à fonte original, artigos de engenharia que mencionavam dimensões de forma incidental, exemplos baseados num único sujeito e fontes sem informação suficiente sobre população, método ou unidade. Esta decisão explica, por exemplo, a exclusão dos valores percentílicos reproduzidos por Moreo (2016) a partir da base DINED: apesar de o trabalho ser relevante para a lógica de parametrização, a tabela não constitui recolha primária autónoma e seria metodologicamente redundante quando a fonte DINED podia ser tratada diretamente (Moreo, 2016 (#ref-moreo-2016)).</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r>
    </w:p>
    <w:p>
      <w:pPr>
        <w:pStyle w:val="Normal"/>
        <w:bidi w:val="0"/>
        <w:jc w:val="left"/>
        <w:rPr>
          <w:lang w:val="pt-PT"/>
        </w:rPr>
      </w:pPr>
      <w:r>
        <w:rPr>
          <w:lang w:val="pt-PT"/>
        </w:rPr>
        <w:t>Tabela 4.4 — Fontes integradas na base local de dados antropométricos</w:t>
      </w:r>
    </w:p>
    <w:tbl>
      <w:tblPr>
        <w:tblW w:w="5000" w:type="pct"/>
        <w:jc w:val="left"/>
        <w:tblInd w:w="117" w:type="dxa"/>
        <w:tblLayout w:type="fixed"/>
        <w:tblCellMar>
          <w:top w:w="0" w:type="dxa"/>
          <w:left w:w="108" w:type="dxa"/>
          <w:bottom w:w="0" w:type="dxa"/>
          <w:right w:w="108" w:type="dxa"/>
        </w:tblCellMar>
      </w:tblPr>
      <w:tblGrid>
        <w:gridCol w:w="2241"/>
        <w:gridCol w:w="2614"/>
        <w:gridCol w:w="2529"/>
        <w:gridCol w:w="1642"/>
      </w:tblGrid>
      <w:tr>
        <w:trPr>
          <w:tblHeader w:val="true"/>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Fonte</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e cobertura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extraídos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Registos</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kima1993,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Crianças neerlandesas, 2–12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528</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geron1998,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neerlandeses, 50–80+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210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DINED dined2004, TU Delft</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neerlandeses, 20–60+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Médias e desvios-padrão de medições da mão por sexo e idade</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Rodríguez-Vega e Rodríguez-Vega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População mexicana, 15–59 anos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comprimento da palma, largura da mão e diâmetro de preensão, com valores gerais e por grupos etários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360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Nag et al. (2003)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Mulheres indianas trabalhadoras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51 dimensões da mão, incluindo comprimentos, larguras, circunferências, profundidades e aberturas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255</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Gordon et al. (2015)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Militares norte-americanos do ANSUR II</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Medições da mão, punho e antebraço extraídas das estatísticas públicas do inquérito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154</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Chatzioglou et al. (2024)</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Jovens adultos da Turquia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dos cinco dedos da mão direita, por sexo e combinado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56</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Hu et al. (2007)</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Idosos chineses da área de Pequim</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Larguras, comprimento da mão, comprimento do dedo e comprimento antebraço-ponta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50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Ibiwari et al. (2025)</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Atletas universitários da Nigéria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comprimento palmar e 3.º dedo, por modalidade e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32</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Anacleto Filho et al. (2023)</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industriais portugueses</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da mão, por sexo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20</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Mistarihi (2020)</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Trabalhadores com deficiência física na Jordânia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mão e comprimento cotovelo-ponta dos dedos</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9</w:t>
            </w:r>
          </w:p>
        </w:tc>
      </w:tr>
      <w:tr>
        <w:trPr/>
        <w:tc>
          <w:tcPr>
            <w:tcW w:w="2241"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 et al. (2018)</w:t>
            </w:r>
          </w:p>
        </w:tc>
        <w:tc>
          <w:tcPr>
            <w:tcW w:w="26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Adultos jovens nos EUA</w:t>
            </w:r>
          </w:p>
        </w:tc>
        <w:tc>
          <w:tcPr>
            <w:tcW w:w="2529"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e largura do dedo indicador para customização de dedo protésico</w:t>
            </w:r>
          </w:p>
        </w:tc>
        <w:tc>
          <w:tcPr>
            <w:tcW w:w="164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2</w:t>
            </w:r>
          </w:p>
        </w:tc>
      </w:tr>
    </w:tbl>
    <w:p>
      <w:pPr>
        <w:pStyle w:val="Normal"/>
        <w:bidi w:val="0"/>
        <w:jc w:val="left"/>
        <w:rPr>
          <w:lang w:val="pt-PT"/>
        </w:rPr>
      </w:pPr>
      <w:r>
        <w:rPr>
          <w:lang w:val="pt-PT"/>
        </w:rPr>
      </w:r>
    </w:p>
    <w:p>
      <w:pPr>
        <w:pStyle w:val="Normal"/>
        <w:bidi w:val="0"/>
        <w:jc w:val="left"/>
        <w:rPr>
          <w:lang w:val="pt-PT"/>
        </w:rPr>
      </w:pPr>
      <w:r>
        <w:rPr>
          <w:lang w:val="pt-PT"/>
        </w:rPr>
        <w:t>A extração foi realizada a partir das tabelas dos artigos e, quando aplicável, da interface estruturada das bases de dados. Nos artigos científicos, a leitura concentrou-se em duas zonas: a metodologia, para identificar instrumento, postura, mão medida e pontos anatómicos; e os resultados, para localizar as tabelas com médias, desvios-padrão, percentis, mínimos e máximos. Cada valor foi transcrito para uma estrutura comum que preserva a fonte documental, a página, a citação, o nome da medida, a região corporal, o protocolo de medição, a população, o país, o sexo, o grupo etário, a dimensão amostral, o tipo de estatística, as unidades convertidas e uma nota de qualidade quando necessário. A decisão de preservar simultaneamente a fonte, a página, a população e a nota metodológica torna cada valor auditável e permite regressar ao documento original sempre que uma medida pareça incoerente.</w:t>
      </w:r>
    </w:p>
    <w:p>
      <w:pPr>
        <w:pStyle w:val="Normal"/>
        <w:bidi w:val="0"/>
        <w:jc w:val="left"/>
        <w:rPr>
          <w:lang w:val="pt-PT"/>
        </w:rPr>
      </w:pPr>
      <w:r>
        <w:rPr>
          <w:lang w:val="pt-PT"/>
        </w:rPr>
        <w:t>A opção pelo formato longo resultou de uma decisão metodológica orientada para a flexibilidade da estrutura de dados. Em vez de criar uma linha por dimensão com colunas fixas para média, desvio-padrão e percentis, cada estatística foi registada como uma linha própria. Assim, uma mesma dimensão pode originar várias linhas relativas à média, ao desvio-padrão, ao P5, P50, P95, mínimo ou máximo.</w:t>
      </w:r>
    </w:p>
    <w:p>
      <w:pPr>
        <w:pStyle w:val="Normal"/>
        <w:bidi w:val="0"/>
        <w:jc w:val="left"/>
        <w:rPr>
          <w:lang w:val="pt-PT"/>
        </w:rPr>
      </w:pPr>
      <w:r>
        <w:rPr>
          <w:lang w:val="pt-PT"/>
        </w:rPr>
        <w:t>Este formato facilita a integração de fontes incompletas, porque nem todos os estudos reportam o mesmo conjunto de estatísticas.</w:t>
      </w:r>
    </w:p>
    <w:p>
      <w:pPr>
        <w:pStyle w:val="Normal"/>
        <w:bidi w:val="0"/>
        <w:jc w:val="left"/>
        <w:rPr>
          <w:lang w:val="pt-PT"/>
        </w:rPr>
      </w:pPr>
      <w:r>
        <w:rPr>
          <w:lang w:val="pt-PT"/>
        </w:rPr>
        <w:t xml:space="preserve">Na base atual, existem 612 médias, 609 desvios-padrão, 513 percentis, 28 mínimos e 28 máximos. Esta assimetria é metodologicamente relevante: </w:t>
      </w:r>
      <w:r>
        <w:rPr/>
        <w:t>os conjuntos de dados (</w:t>
      </w:r>
      <w:r>
        <w:rPr>
          <w:i/>
          <w:iCs/>
        </w:rPr>
        <w:t>Datasets</w:t>
      </w:r>
      <w:r>
        <w:rPr/>
        <w:t>)</w:t>
      </w:r>
      <w:r>
        <w:rPr>
          <w:lang w:val="pt-PT"/>
        </w:rPr>
        <w:t xml:space="preserve"> ANSUR e algumas fontes DINED permitem uma leitura estatística mais ampla, enquanto estudos como Mistarihi (2020) ou Lim et al. (2018) só oferecem valores parciais, úteis como referência contextual mas insuficientes para inferência populacional robusta (Gordon et al., 2015 (#ref-gordon-2015); Lim et al., 2018 (#ref-lim-2018); Mistarihi, 2020 (#ref-mistarihi-2020)).</w:t>
      </w:r>
    </w:p>
    <w:p>
      <w:pPr>
        <w:pStyle w:val="Normal"/>
        <w:bidi w:val="0"/>
        <w:jc w:val="left"/>
        <w:rPr>
          <w:lang w:val="pt-PT"/>
        </w:rPr>
      </w:pPr>
      <w:r>
        <w:rPr>
          <w:lang w:val="pt-PT"/>
        </w:rPr>
        <w:t>As principais dificuldades encontradas dizem respeito à heterogeneidade dos protocolos. A expressão “comprimento da mão”, por exemplo, nem sempre corresponde ao mesmo trajeto anatómico: alguns estudos tomam como referência a linha de flexão do punho, outros o processo estilóide, enquanto outros definem o comprimento a partir de marcos funcionais da palma.</w:t>
      </w:r>
    </w:p>
    <w:p>
      <w:pPr>
        <w:pStyle w:val="BodyText"/>
        <w:bidi w:val="0"/>
        <w:jc w:val="left"/>
        <w:rPr>
          <w:lang w:val="pt-PT"/>
        </w:rPr>
      </w:pPr>
      <w:r>
        <w:rPr>
          <w:lang w:val="pt-PT"/>
        </w:rPr>
        <w:t>Do mesmo modo, verifica-se heterogeneidade no critério de seleção da mão analisada, com estudos que consideram a mão direita, a mão dominante ou, no caso do estudo português, a mão esquerda, em função das condições específicas de recolha de dados. (Anacleto Filho et al., 2023 (#ref-anacleto-filho-2023)). Estas diferenças impedem que todos os dados sejam tratados como diretamente equivalentes e justificam o registo explícito dos respetivos protocolos de medição. A base de dados não elimina a heterogeneidade das fontes; pelo contrário, torna-a visível, permitindo que o modelo paramétrico utilize os valores antropométricos de forma contextualizada e metodologicamente informada.</w:t>
        <w:br/>
        <w:t>Foram igualmente identificadas dificuldades relacionadas com a granularidade e a representatividade dos dados. Algumas fontes apresentam amostras robustas, mas oferecem informação limitada sobre dimensões específicas da mão; outras disponibilizam medições detalhadas, mas circunscritas a populações muito particulares. Nag et al. (2003), por exemplo, fornece uma cobertura dimensional extensa, embora limitada a mulheres indianas trabalhadoras. Rodríguez-Vega (2024) apresentam uma amostra mexicana numerosa e grupos etários úteis para comparação, mas concentram-se em quatro dimensões principais. Ibiwari et al. (2025) acrescenta dados relativos a uma população africana, embora a amostra seja composta por atletas universitários, e não por população geral. Mistarihi (2020) é relevante por incluir trabalhadores com deficiência física, mas apresenta um número reduzido de registos e insuficiente desagregação por sexo. Estes casos foram mantidos por ampliarem a diversidade das referências antropométricas, sendo as suas limitações registadas nos metadados relativos à população, à dimensão amostral e à qualidade dos dados.</w:t>
        <w:br/>
      </w:r>
      <w:r>
        <w:rPr/>
        <w:t>Em sentido inverso, algumas fontes facilitaram a extração. As tabelas com percentis claros, unidades explícitas e separação por sexo ou idade permitiram uma codificação direta e maior confiança na transcrição dos valores. No caso da DINED, a estrutura HTML da interface facilitou a identificação e extração repetível das médias e dos desvios-padrão, permitindo registar, para cada medida antropométrica, tanto o valor médio observado no grupo como a respetiva variabilidade interna. Esta informação foi recolhida mantendo a separação entre sub-bases, sexo e grupos etários, embora os percentis não estivessem disponíveis na mesma interface.</w:t>
      </w:r>
    </w:p>
    <w:p>
      <w:pPr>
        <w:pStyle w:val="BodyText"/>
        <w:bidi w:val="0"/>
        <w:jc w:val="left"/>
        <w:rPr>
          <w:lang w:val="pt-PT"/>
        </w:rPr>
      </w:pPr>
      <w:r>
        <w:rPr>
          <w:lang w:val="pt-PT"/>
        </w:rPr>
        <w:t>O ANSUR II também foi particularmente útil por disponibilizar estatísticas amplas e uma grande amostra militar, permitindo trabalhar com medições da mão, punho e antebraço em escala populacional (Gordon et al., 2015 (#ref-gordon-2015); Molenbroek, 1998 (#ref-molenbroek-1998); Molenbroek et al., 2003 (#ref-molenbroek-2003); Steenbekkers &amp; van Beijsterveldt, 1998 (#ref-steenbekkers-1998)). Ainda assim, estas fontes não resolvem o problema da personalização clínica, uma vez que amostras compostas por militares, crianças neerlandesas ou idosos chineses não podem ser diretamente extrapoladas para utilizadores com amputação de membro superior.</w:t>
      </w:r>
    </w:p>
    <w:p>
      <w:pPr>
        <w:pStyle w:val="BodyText"/>
        <w:bidi w:val="0"/>
        <w:jc w:val="left"/>
        <w:rPr>
          <w:lang w:val="pt-PT"/>
        </w:rPr>
      </w:pPr>
      <w:r>
        <w:rPr>
          <w:lang w:val="pt-PT"/>
        </w:rPr>
        <w:t xml:space="preserve">As decisões de normalização dos dados seguiram quatro princípios metodológicos. Em primeiro lugar, todas as medidas antropométricas foram convertidas para milímetros, centímetros e polegadas, mantendo-se também a unidade originalmente utilizada em cada fonte. Esta decisão permite comparar valores entre estudos sem perder a referência ao formato de publicação original e reduz o risco de conversões ambíguas no momento de utilização dos dados. Em segundo lugar, valores provenientes de subgrupos com dimensão amostral reduzida, dados extraídos de figuras em vez de tabelas, desvios-padrão discrepantes ou definições anatómicas pouco explícitas foram mantidos na base, mas assinalados através de notas de qualidade. Deste modo, a incerteza associada a cada registo permanece documentada, em vez de ser eliminada sem justificação metodológica. Em terceiro lugar, as medidas foram agrupadas por região corporal, distinguindo dimensões da mão, dedos e palma, diretamente relevantes para a geração da geometria principal, de dimensões do punho e antebraço, mais associadas à interface, à fixação ou à adaptação ao membro residual. Por fim, os valores recolhidos foram tratados como referências paramétricas, e não como prescrições dimensionais finais. A base antropométrica construída responde, assim, a uma necessidade específica do modelo desenvolvido: traduzir o enquadramento antropométrico da personalização protésica em intervalos, relações proporcionais e restrições utilizáveis no processo de modelação. Deste modo, os dados não definem automaticamente a forma da prótese, mas delimitam o espaço de variação dentro do qual o modelo pode operar com maior coerência geométrica e metodológica. Para tal, o sistema necessita de identificar quais as medidas recorrentes na literatura, que variações podem ser consideradas plausíveis entre populações, que dimensões podem funcionar como entradas mínimas de configuração e em que situações o redimensionamento uniforme se torna metodologicamente arriscado. A base de dados construída permite comparar, de forma rastreável, valores relativos ao comprimento da mão, à largura da palma, aos comprimentos digitais, às dimensões do punho e às relações com o antebraço. </w:t>
      </w:r>
      <w:r>
        <w:rPr/>
        <w:t>Deste modo, a base de dados sustenta a passagem entre o enquadramento antropométrico e a modelação paramétrica tridimensional, usando OpenSCAD: os dados não geram automaticamente a prótese, mas delimitam o espaço de variação dentro do qual o modelo pode operar com maior coerência geométrica e metodológica.</w:t>
      </w:r>
    </w:p>
    <w:p>
      <w:pPr>
        <w:pStyle w:val="Normal"/>
        <w:bidi w:val="0"/>
        <w:jc w:val="left"/>
        <w:rPr>
          <w:lang w:val="pt-PT"/>
        </w:rPr>
      </w:pPr>
      <w:r>
        <w:rPr>
          <w:lang w:val="pt-PT"/>
        </w:rPr>
      </w:r>
    </w:p>
    <w:p>
      <w:pPr>
        <w:pStyle w:val="Normal"/>
        <w:bidi w:val="0"/>
        <w:jc w:val="left"/>
        <w:rPr>
          <w:lang w:val="pt-PT"/>
        </w:rPr>
      </w:pPr>
      <w:r>
        <w:rPr>
          <w:lang w:val="pt-PT"/>
        </w:rPr>
        <w:t>Permanece, contudo, uma limitação central. A maior parte dos dados disponíveis provém de populações sem amputação e não descreve a morfologia do membro residual, nem a interação dinâmica entre tecido, carga e encaixe. Para uma prótese definitiva, a referência mais adequada seria a medição direta do utilizador, idealmente complementada por digitalização tridimensional e validação de interface. Nesta investigação, os dados antropométricos públicos são usados para estruturar o sistema, testar coerência dimensional e fundamentar decisões de parametrização; não são apresentados como substituto de avaliação clínica, prova de conforto ou validação individual.</w:t>
      </w:r>
    </w:p>
    <w:p>
      <w:pPr>
        <w:pStyle w:val="Heading3"/>
        <w:bidi w:val="0"/>
        <w:jc w:val="left"/>
        <w:rPr>
          <w:lang w:val="pt-PT"/>
        </w:rPr>
      </w:pPr>
      <w:r>
        <w:rPr>
          <w:lang w:val="pt-PT"/>
        </w:rPr>
      </w:r>
    </w:p>
    <w:p>
      <w:pPr>
        <w:pStyle w:val="Heading3"/>
        <w:bidi w:val="0"/>
        <w:jc w:val="left"/>
        <w:rPr>
          <w:lang w:val="pt-PT"/>
        </w:rPr>
      </w:pPr>
      <w:r>
        <w:rPr>
          <w:lang w:val="pt-PT"/>
        </w:rPr>
        <w:t>Estrutura paramétrica e mapeamento de parâmetros</w:t>
      </w:r>
    </w:p>
    <w:p>
      <w:pPr>
        <w:pStyle w:val="Heading3"/>
        <w:bidi w:val="0"/>
        <w:jc w:val="left"/>
        <w:rPr>
          <w:lang w:val="pt-PT"/>
        </w:rPr>
      </w:pPr>
      <w:r>
        <w:rPr>
          <w:lang w:val="pt-PT"/>
        </w:rPr>
      </w:r>
    </w:p>
    <w:p>
      <w:pPr>
        <w:pStyle w:val="Normal"/>
        <w:bidi w:val="0"/>
        <w:jc w:val="left"/>
        <w:rPr>
          <w:lang w:val="pt-PT"/>
        </w:rPr>
      </w:pPr>
      <w:r>
        <w:rPr>
          <w:lang w:val="pt-PT"/>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(#ref-moreo-2016); Romero et al., 2025 (#ref-da-silveira-romero-2025)).</w:t>
      </w:r>
    </w:p>
    <w:p>
      <w:pPr>
        <w:pStyle w:val="Normal"/>
        <w:bidi w:val="0"/>
        <w:jc w:val="left"/>
        <w:rPr>
          <w:lang w:val="pt-PT"/>
        </w:rPr>
      </w:pPr>
      <w:r>
        <w:rPr>
          <w:lang w:val="pt-PT"/>
        </w:rPr>
      </w:r>
    </w:p>
    <w:p>
      <w:pPr>
        <w:pStyle w:val="Normal"/>
        <w:bidi w:val="0"/>
        <w:jc w:val="left"/>
        <w:rPr>
          <w:lang w:val="pt-PT"/>
        </w:rPr>
      </w:pPr>
      <w:r>
        <w:rPr>
          <w:lang w:val="pt-PT"/>
        </w:rPr>
        <w:t>Tabela 4.5 — Estrutura hierárquica dos parâmetros no modelo paramétrico</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Primários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 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Input direto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Derivados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das falanges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Construção geométrica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Dependentes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Funcionais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de movimento, posição articular</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Ligação cinemática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Construtivos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Espessuras, folgas, tolerâncias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Fabrico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Ajuste técnico</w:t>
            </w:r>
          </w:p>
        </w:tc>
      </w:tr>
    </w:tbl>
    <w:p>
      <w:pPr>
        <w:pStyle w:val="Normal"/>
        <w:bidi w:val="0"/>
        <w:jc w:val="left"/>
        <w:rPr>
          <w:lang w:val="pt-PT"/>
        </w:rPr>
      </w:pPr>
      <w:r>
        <w:rPr>
          <w:lang w:val="pt-PT"/>
        </w:rPr>
      </w:r>
    </w:p>
    <w:p>
      <w:pPr>
        <w:pStyle w:val="Normal"/>
        <w:bidi w:val="0"/>
        <w:jc w:val="left"/>
        <w:rPr>
          <w:lang w:val="pt-PT"/>
        </w:rPr>
      </w:pPr>
      <w:r>
        <w:rPr>
          <w:lang w:val="pt-PT"/>
        </w:rPr>
        <w:t>A tradução destes parâmetros em geometria é realizada por meio de relações explícitas entre medições e componentes do modelo.</w:t>
      </w:r>
    </w:p>
    <w:p>
      <w:pPr>
        <w:pStyle w:val="Heading3"/>
        <w:bidi w:val="0"/>
        <w:jc w:val="left"/>
        <w:rPr>
          <w:lang w:val="pt-PT"/>
        </w:rPr>
      </w:pPr>
      <w:r>
        <w:rPr/>
        <w:t>OpenSCAD: enquadramento e justificação da escolha</w:t>
      </w:r>
    </w:p>
    <w:p>
      <w:pPr>
        <w:pStyle w:val="Normal"/>
        <w:bidi w:val="0"/>
        <w:jc w:val="left"/>
        <w:rPr>
          <w:lang w:val="pt-PT"/>
        </w:rPr>
      </w:pPr>
      <w:r>
        <w:rPr/>
        <w:t>Antes de avançar para a formalização do modelo, importa clarificar o que é o OpenSCAD e por que motivo foi escolhido como ambiente de modelação paramétrica neste projeto.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(#ref-openscad-project-nd-a); OpenSCAD Project, n.d.-b (#ref-openscad-project-nd-b); Ghali, 2008 (#ref-ghali-2008)).</w:t>
      </w:r>
    </w:p>
    <w:p>
      <w:pPr>
        <w:pStyle w:val="Normal"/>
        <w:bidi w:val="0"/>
        <w:jc w:val="left"/>
        <w:rPr>
          <w:lang w:val="pt-PT"/>
        </w:rPr>
      </w:pPr>
      <w:r>
        <w:rPr/>
        <w:t>Esta natureza programável distingue o OpenSCAD dos ambientes CAD convencionais baseados sobretudo em manipulação gráfica direta.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(#ref-trautmann-2021); Gonzalez Avila et al., 2024 (#ref-gonzalez-avila-2024)).</w:t>
      </w:r>
    </w:p>
    <w:p>
      <w:pPr>
        <w:pStyle w:val="Normal"/>
        <w:bidi w:val="0"/>
        <w:jc w:val="left"/>
        <w:rPr>
          <w:lang w:val="pt-PT"/>
        </w:rPr>
      </w:pPr>
      <w:r>
        <w:rPr/>
        <w:t>A escolha do OpenSCAD resulta, em primeiro lugar, da sua adequação a processos reprodutíveis de design paramétrico. Por ser texto simples, o ficheiro-fonte pode ser versionado, comparado, revisto e reutilizado, o que favorece a rastreabilidade das decisões de modelação e a replicação das variantes geradas. Esta característica é particularmente valorizada em hardware científico e open source, precisamente porque a documentação do processo é tão importante como o ficheiro final exportado. Além disso, o OpenSCAD pode ser executado por linha de comando, receber valores por parâmetros e exportar automaticamente geometrias para formatos de fabrico digital, como STL ou 3MF, tornando-o compatível com fluxos de geração em lote e com configuradores digitais (Machado et al., 2019 (#ref-machado-2019); OpenSCAD Community, n.d. (#ref-openscad-community-nd)).</w:t>
      </w:r>
    </w:p>
    <w:p>
      <w:pPr>
        <w:pStyle w:val="Normal"/>
        <w:bidi w:val="0"/>
        <w:jc w:val="left"/>
        <w:rPr>
          <w:lang w:val="pt-PT"/>
        </w:rPr>
      </w:pPr>
      <w:r>
        <w:rPr/>
        <w:t>Em segundo lugar, o OpenSCAD adapta-se bem à arquitetura web proposta nesta dissertação. A separação entre definição geométrica e interface permite que o ficheiro .scad permaneça como núcleo técnico do modelo, enquanto a plataforma apresenta ao utilizador apenas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customização sem exigir a instalação local de software CAD completo (Nilsiam &amp; Pearce, 2017 (#ref-nilsiam-2017); Brooks, 2026 (#ref-brooks-2026)).</w:t>
      </w:r>
    </w:p>
    <w:p>
      <w:pPr>
        <w:pStyle w:val="Normal"/>
        <w:bidi w:val="0"/>
        <w:jc w:val="left"/>
        <w:rPr>
          <w:lang w:val="pt-PT"/>
        </w:rPr>
      </w:pPr>
      <w:r>
        <w:rPr/>
        <w:t>Em terceiro lugar, o OpenSCAD é particularmente compatível com um fluxo de design assistido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(#ref-elhadad-2026); Schöfer &amp; Seibel, 2025 (#ref-schofer-seibel-2025); Gonzalez Avila et al., 2024 (#ref-gonzalez-avila-2024)).</w:t>
      </w:r>
    </w:p>
    <w:p>
      <w:pPr>
        <w:pStyle w:val="Normal"/>
        <w:bidi w:val="0"/>
        <w:jc w:val="left"/>
        <w:rPr>
          <w:lang w:val="pt-PT"/>
        </w:rPr>
      </w:pPr>
      <w:r>
        <w:rPr/>
        <w:t>No contexto específico das próteses e das tecnologias de apoio, esta escolha é ainda reforçada por estudos que usam modelação paramétrica para adaptar dedos protésicos, mãos mecânicas acionadas pelo corpo e produtos assistivos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(#ref-lim-2018); Bustamante et al., 2018 (#ref-bustamante-2018); Romani &amp; Levi, 2020 (#ref-romani-levi-2020)).</w:t>
      </w:r>
    </w:p>
    <w:p>
      <w:pPr>
        <w:pStyle w:val="Normal"/>
        <w:bidi w:val="0"/>
        <w:jc w:val="left"/>
        <w:rPr>
          <w:lang w:val="pt-PT"/>
        </w:rPr>
      </w:pPr>
      <w:r>
        <w:rPr>
          <w:lang w:val="pt-PT"/>
        </w:rPr>
      </w:r>
    </w:p>
    <w:p>
      <w:pPr>
        <w:pStyle w:val="Normal"/>
        <w:bidi w:val="0"/>
        <w:jc w:val="left"/>
        <w:rPr>
          <w:lang w:val="pt-PT"/>
        </w:rPr>
      </w:pPr>
      <w:r>
        <w:rPr>
          <w:lang w:val="pt-PT"/>
        </w:rPr>
        <w:t>Tabela 4.6 — Mapeamento entre parâmetros antropométricos e elementos do modelo</w:t>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da mão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e comprimento dos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Volume da palma e espaçamento entre dedos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 dos dedos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das falanges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Circunferência do antebraço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Geometria do encaixe</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do punho</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Interface palma-punho</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Proporções falângicas</w:t>
            </w:r>
          </w:p>
        </w:tc>
        <w:tc>
          <w:tcPr>
            <w:tcW w:w="4514"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Relações cinemáticas dos mecanismos digitais</w:t>
            </w:r>
          </w:p>
        </w:tc>
      </w:tr>
    </w:tbl>
    <w:p>
      <w:pPr>
        <w:pStyle w:val="Normal"/>
        <w:bidi w:val="0"/>
        <w:jc w:val="left"/>
        <w:rPr>
          <w:lang w:val="pt-PT"/>
        </w:rPr>
      </w:pPr>
      <w:r>
        <w:rPr>
          <w:lang w:val="pt-PT"/>
        </w:rPr>
      </w:r>
    </w:p>
    <w:p>
      <w:pPr>
        <w:pStyle w:val="Normal"/>
        <w:bidi w:val="0"/>
        <w:jc w:val="left"/>
        <w:rPr>
          <w:lang w:val="pt-PT"/>
        </w:rPr>
      </w:pPr>
      <w:r>
        <w:rPr>
          <w:lang w:val="pt-PT"/>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BodyText"/>
        <w:bidi w:val="0"/>
        <w:jc w:val="left"/>
        <w:rPr>
          <w:lang w:val="pt-PT"/>
        </w:rPr>
      </w:pPr>
      <w:r>
        <w:rPr>
          <w:lang w:val="pt-PT"/>
        </w:rPr>
        <w:t>Antes da tradução do modelo para o ambiente de modelação paramétrica, torna-se necessário estabilizar três níveis: os dados de entrada, as relações entre parâmetros e os limites técnicos que condicionam a sua transformação em forma.</w:t>
      </w:r>
    </w:p>
    <w:p>
      <w:pPr>
        <w:pStyle w:val="BodyText"/>
        <w:bidi w:val="0"/>
        <w:jc w:val="left"/>
        <w:rPr>
          <w:lang w:val="pt-PT"/>
        </w:rPr>
      </w:pPr>
      <w:r>
        <w:rPr>
          <w:lang w:val="pt-PT"/>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Heading3"/>
        <w:bidi w:val="0"/>
        <w:jc w:val="left"/>
        <w:rPr>
          <w:lang w:val="pt-PT"/>
        </w:rPr>
      </w:pPr>
      <w:r>
        <w:rPr>
          <w:lang w:val="pt-PT"/>
        </w:rPr>
      </w:r>
    </w:p>
    <w:p>
      <w:pPr>
        <w:pStyle w:val="Heading3"/>
        <w:bidi w:val="0"/>
        <w:jc w:val="left"/>
        <w:rPr>
          <w:lang w:val="pt-PT"/>
        </w:rPr>
      </w:pPr>
      <w:r>
        <w:rPr>
          <w:lang w:val="pt-PT"/>
        </w:rPr>
        <w:t>4.3 Modelação paramétrica em OpenSCAD</w:t>
      </w:r>
    </w:p>
    <w:p>
      <w:pPr>
        <w:pStyle w:val="Heading3"/>
        <w:bidi w:val="0"/>
        <w:jc w:val="left"/>
        <w:rPr>
          <w:lang w:val="pt-PT"/>
        </w:rPr>
      </w:pPr>
      <w:r>
        <w:rPr>
          <w:lang w:val="pt-PT"/>
        </w:rPr>
      </w:r>
    </w:p>
    <w:p>
      <w:pPr>
        <w:pStyle w:val="Normal"/>
        <w:bidi w:val="0"/>
        <w:jc w:val="left"/>
        <w:rPr>
          <w:lang w:val="pt-PT"/>
        </w:rPr>
      </w:pPr>
      <w:r>
        <w:rPr>
          <w:lang w:val="pt-PT"/>
        </w:rPr>
        <w:t>A modelação paramétrica em OpenSCAD corresponde, nesta investigação, ao momento em que a estrutura definida na secção anterior deixa de ser apenas um quadro conceptual e passa a constituir um modelo operacional, capaz de traduzir parâmetros, relações e restrições em geometrias configuráveis. Os parâmetros antropométricos selecionados, as relações hierárquicas entre variáveis e os limites de configuração deixam de funcionar apenas como critérios de organização e passam a ser inscritos em código, de modo a gerar geometria de forma consistente e repetível. Assim, a transição para OpenSCAD não representa uma mudança de tema, mas a continuação lógica do mesmo problema: como transformar dados corporais e regras de projeto num modelo configurável que preserve coerência formal, funcional e produtiva.</w:t>
      </w:r>
    </w:p>
    <w:p>
      <w:pPr>
        <w:pStyle w:val="Normal"/>
        <w:bidi w:val="0"/>
        <w:jc w:val="left"/>
        <w:rPr>
          <w:lang w:val="pt-PT"/>
        </w:rPr>
      </w:pPr>
      <w:r>
        <w:rPr>
          <w:lang w:val="pt-PT"/>
        </w:rPr>
        <w:t>A modelação paramétrica em OpenSCAD é, por isso, aqui entendida como uma abordagem em que a geometria resulta de regras explícitas, parâmetros definidos em código e relações de dependência entre componentes, em vez de edição manual isolada de formas. No desenvolvimento de próteses personalizadas de membro superior, esta lógica é particularmente relevante, pois permite compreender a prótese não como um objeto único e fixo, mas como um conjunto configurável de variantes, passível de ser regenerado a partir de novos dados antropométricos, requisitos funcionais e limites associados ao fabrico. Os estudos revistos sobre modelação paramétrica aplicada a próteses e sobre modelação CAD programável reforçam esta perspetiva, ao associarem estas abordagens a maior rastreabilidade das decisões, consistência entre variantes e capacidade de automatização em fluxos de personalização digital. (Machado et al., 2019 (#ref-machado-2019); Moreo, 2016 (#ref-moreo-2016); Romero et al., 2025 (#ref-da-silveira-romero-2025)).</w:t>
      </w:r>
    </w:p>
    <w:p>
      <w:pPr>
        <w:pStyle w:val="Normal"/>
        <w:bidi w:val="0"/>
        <w:jc w:val="left"/>
        <w:rPr>
          <w:lang w:val="pt-PT"/>
        </w:rPr>
      </w:pPr>
      <w:r>
        <w:rPr>
          <w:lang w:val="pt-PT"/>
        </w:rPr>
        <w:t>Ao contrário de ambientes centrados na manipulação gráfica direta, o OpenSCAD opera como uma especificação computacional do objeto. Esta característica é metodologicamente relevante para a presente investigação, porque permite compreender o modelo não apenas como um resultado geométrico, mas também como uma estrutura explícita de projeto, na qual ficam registadas as relações entre entradas antropométricas, módulos geométricos, restrições construtivas e decisões formais. Neste sentido, a modelação baseada em código articula-se com uma perspetiva de Research Through Design, na medida em que o próprio modelo pode ser lido, revisto, testado e documentado como uma estrutura de conhecimento técnico-projetual.</w:t>
      </w:r>
    </w:p>
    <w:p>
      <w:pPr>
        <w:pStyle w:val="Normal"/>
        <w:bidi w:val="0"/>
        <w:jc w:val="left"/>
        <w:rPr>
          <w:lang w:val="pt-PT"/>
        </w:rPr>
      </w:pPr>
      <w:r>
        <w:rPr>
          <w:lang w:val="pt-PT"/>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 (#ref-nini-2024)).</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324225"/>
            <wp:effectExtent l="0" t="0" r="0" b="0"/>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a:picLocks noChangeAspect="1" noChangeArrowheads="1"/>
                    </pic:cNvPicPr>
                  </pic:nvPicPr>
                  <pic:blipFill>
                    <a:blip r:embed="rId22"/>
                    <a:stretch>
                      <a:fillRect/>
                    </a:stretch>
                  </pic:blipFill>
                  <pic:spPr bwMode="auto">
                    <a:xfrm>
                      <a:off x="0" y="0"/>
                      <a:ext cx="5715000" cy="3324225"/>
                    </a:xfrm>
                    <a:prstGeom prst="rect">
                      <a:avLst/>
                    </a:prstGeom>
                    <a:noFill/>
                  </pic:spPr>
                </pic:pic>
              </a:graphicData>
            </a:graphic>
          </wp:inline>
        </w:drawing>
      </w:r>
    </w:p>
    <w:p>
      <w:pPr>
        <w:pStyle w:val="Normal"/>
        <w:bidi w:val="0"/>
        <w:jc w:val="left"/>
        <w:rPr>
          <w:lang w:val="pt-PT"/>
        </w:rPr>
      </w:pPr>
      <w:r>
        <w:rPr>
          <w:lang w:val="pt-PT"/>
        </w:rPr>
        <w:t>Figura 4.3 — Relação entre modelo paramétrico digital, prototipagem e verificação de um dedo protésico.</w:t>
      </w:r>
    </w:p>
    <w:p>
      <w:pPr>
        <w:pStyle w:val="Normal"/>
        <w:bidi w:val="0"/>
        <w:jc w:val="left"/>
        <w:rPr/>
      </w:pPr>
      <w:r>
        <w:rPr>
          <w:lang w:val="pt-PT"/>
        </w:rPr>
        <w:t xml:space="preserve">Fonte original: Nini, L., Ceccarelli, A., Tagliamonte, N., Zollo, L., &amp; Taffoni, F. (2024). Parametric 3D modeling of a customized prosthetic hand finger for additive manufacturing. In 2024 10th IEEE RAS/EMBS International Conference for Biomedical Robotics and Biomechatronics (BioRob). IEEE. </w:t>
      </w:r>
      <w:hyperlink r:id="rId23">
        <w:r>
          <w:rPr>
            <w:rStyle w:val="Hyperlink"/>
            <w:lang w:val="pt-PT"/>
          </w:rPr>
          <w:t>https://doi.org/10.1109/BioRob60516.2024.10719909</w:t>
        </w:r>
      </w:hyperlink>
    </w:p>
    <w:p>
      <w:pPr>
        <w:pStyle w:val="Normal"/>
        <w:bidi w:val="0"/>
        <w:jc w:val="left"/>
        <w:rPr>
          <w:lang w:val="pt-PT"/>
        </w:rPr>
      </w:pPr>
      <w:r>
        <w:rPr>
          <w:lang w:val="pt-PT"/>
        </w:rPr>
      </w:r>
    </w:p>
    <w:p>
      <w:pPr>
        <w:pStyle w:val="Heading3"/>
        <w:bidi w:val="0"/>
        <w:jc w:val="left"/>
        <w:rPr>
          <w:lang w:val="pt-PT"/>
        </w:rPr>
      </w:pPr>
      <w:r>
        <w:rPr>
          <w:lang w:val="pt-PT"/>
        </w:rPr>
        <w:t>4.3.1 Estrutura técnica, parâmetros e restrições</w:t>
      </w:r>
    </w:p>
    <w:p>
      <w:pPr>
        <w:pStyle w:val="Heading3"/>
        <w:bidi w:val="0"/>
        <w:jc w:val="left"/>
        <w:rPr>
          <w:lang w:val="pt-PT"/>
        </w:rPr>
      </w:pPr>
      <w:r>
        <w:rPr>
          <w:lang w:val="pt-PT"/>
        </w:rPr>
      </w:r>
    </w:p>
    <w:p>
      <w:pPr>
        <w:pStyle w:val="Normal"/>
        <w:bidi w:val="0"/>
        <w:jc w:val="left"/>
        <w:rPr>
          <w:lang w:val="pt-PT"/>
        </w:rPr>
      </w:pPr>
      <w:r>
        <w:rPr>
          <w:lang w:val="pt-PT"/>
        </w:rPr>
        <w:t>Num modelo paramétrico baseado em OpenSCAD, a organização interna pode ser compreendida como uma arquitetura em camadas.</w:t>
      </w:r>
    </w:p>
    <w:p>
      <w:pPr>
        <w:pStyle w:val="Normal"/>
        <w:bidi w:val="0"/>
        <w:jc w:val="left"/>
        <w:rPr>
          <w:lang w:val="pt-PT"/>
        </w:rPr>
      </w:pPr>
      <w:r>
        <w:rPr>
          <w:lang w:val="pt-PT"/>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fabricação. Esta organização permite controlar a personalização sem comprometer a coerência interna do sistema (Moreo, 2016 (#ref-moreo-2016); Nini et al., 2024 (#ref-nini-2024); Saldarriaga et al., 2024 (#ref-saldarriaga-2024)).</w:t>
      </w:r>
    </w:p>
    <w:p>
      <w:pPr>
        <w:pStyle w:val="Normal"/>
        <w:bidi w:val="0"/>
        <w:jc w:val="left"/>
        <w:rPr>
          <w:lang w:val="pt-PT"/>
        </w:rPr>
      </w:pPr>
      <w:r>
        <w:rPr>
          <w:lang w:val="pt-PT"/>
        </w:rPr>
      </w:r>
    </w:p>
    <w:p>
      <w:pPr>
        <w:pStyle w:val="Normal"/>
        <w:bidi w:val="0"/>
        <w:jc w:val="left"/>
        <w:rPr>
          <w:lang w:val="pt-PT"/>
        </w:rPr>
      </w:pPr>
      <w:r>
        <w:rPr>
          <w:lang w:val="pt-PT"/>
        </w:rPr>
        <w:t>Tabela 4.7 — Estrutura técnica em camadas de um modelo paramétrico em OpenSCAD para próteses personalizadas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Dados antropométricos e/ou dados de digitalização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Individualizar o modelo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comprimentos digitais, perímetro do coto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Derivação geométrica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calculados a partir das entradas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Traduzir medidas em relações formais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Comprimentos segmentares, espessuras, offsets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Comportamento funcional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Parâmetros ligados ao uso e ao mecanismo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Regular movimento, montagem e desempenho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Amplitude articular, espaço para tendões, eixos</w:t>
            </w:r>
          </w:p>
        </w:tc>
      </w:tr>
      <w:tr>
        <w:trPr>
          <w:trHeight w:val="991" w:hRule="atLeast"/>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Restrições produtivas</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Limites de fabrico e consistência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Garantir fabricação e robustez</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Espessura mínima, folgas, raios mínimos</w:t>
            </w:r>
          </w:p>
        </w:tc>
      </w:tr>
    </w:tbl>
    <w:p>
      <w:pPr>
        <w:pStyle w:val="Normal"/>
        <w:bidi w:val="0"/>
        <w:jc w:val="left"/>
        <w:rPr>
          <w:lang w:val="pt-PT"/>
        </w:rPr>
      </w:pPr>
      <w:r>
        <w:rPr>
          <w:lang w:val="pt-PT"/>
        </w:rPr>
      </w:r>
    </w:p>
    <w:p>
      <w:pPr>
        <w:pStyle w:val="Normal"/>
        <w:bidi w:val="0"/>
        <w:jc w:val="left"/>
        <w:rPr>
          <w:lang w:val="pt-PT"/>
        </w:rPr>
      </w:pPr>
      <w:r>
        <w:rPr>
          <w:lang w:val="pt-PT"/>
        </w:rPr>
        <w:t>Quando transposta para o ambiente de modelação em OpenSCAD, esta arquitetura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(#ref-machado-2019); Romero et al., 2025 (#ref-da-silveira-romero-2025)).</w:t>
      </w:r>
    </w:p>
    <w:p>
      <w:pPr>
        <w:pStyle w:val="Normal"/>
        <w:bidi w:val="0"/>
        <w:jc w:val="left"/>
        <w:rPr>
          <w:lang w:val="pt-PT"/>
        </w:rPr>
      </w:pPr>
      <w:r>
        <w:rPr>
          <w:lang w:val="pt-PT"/>
        </w:rPr>
        <w:t>Outro aspeto central é a integração de restrições diretamente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Normal"/>
        <w:bidi w:val="0"/>
        <w:jc w:val="left"/>
        <w:rPr>
          <w:lang w:val="pt-PT"/>
        </w:rPr>
      </w:pPr>
      <w:r>
        <w:rPr>
          <w:lang w:val="pt-PT"/>
        </w:rPr>
        <w:t>Este princípio é particularmente relevante em próteses produzidas por fabrico aditivo, nas quais pequenas alterações dimensionais podem comprometer a montagem, a resistência ou a viabilidade de impressão. Estudos sobre modelação paramétrica de dedos protésicos e e encaixes protésicos personalizados mostram, precisamente, que a robustez do sistema depende da articulação entre parâmetros antropométricos e restrições construtivas, e não apenas da liberdade de variação geométrica (Nini et al., 2024 (#ref-nini-2024); Saldarriaga et al., 2024 (#ref-saldarriaga-2024)).</w:t>
      </w:r>
    </w:p>
    <w:p>
      <w:pPr>
        <w:pStyle w:val="Normal"/>
        <w:bidi w:val="0"/>
        <w:jc w:val="left"/>
        <w:rPr>
          <w:lang w:val="pt-PT"/>
        </w:rPr>
      </w:pPr>
      <w:r>
        <w:rPr>
          <w:lang w:val="pt-PT"/>
        </w:rPr>
        <w:t>A modelação em OpenSCAD pode ser articulada a fluxos de dados mais complexos, incluindo a digitalização tridimensional e a automatização parcial do desenho. Trabalhos como os de Herbst et al. (2021) (#ref-herbst-2021) e Saldarriaga et al. (2024) (#ref-saldarriaga-2024) mostram que a personalização tende a aproximar a medição, a parametrização e o fabrico, reduzindo o intervalo entre a captura anatómica e a geração de modelos prontos para produção. No caso desta investigação, essa articulação não significa abandonar a lógica explícita do código, mas, antes, usá-la como núcleo organizador sobre o qual dados, restrições e interfaces de configuração podem ser integrados de modo consistente e repetível.</w:t>
      </w:r>
    </w:p>
    <w:p>
      <w:pPr>
        <w:pStyle w:val="Normal"/>
        <w:bidi w:val="0"/>
        <w:jc w:val="left"/>
        <w:rPr>
          <w:lang w:val="pt-PT"/>
        </w:rPr>
      </w:pPr>
      <w:r>
        <w:rPr>
          <w:lang w:val="pt-PT"/>
        </w:rPr>
      </w:r>
    </w:p>
    <w:p>
      <w:pPr>
        <w:pStyle w:val="Heading3"/>
        <w:bidi w:val="0"/>
        <w:jc w:val="left"/>
        <w:rPr>
          <w:lang w:val="pt-PT"/>
        </w:rPr>
      </w:pPr>
      <w:r>
        <w:rPr>
          <w:lang w:val="pt-PT"/>
        </w:rPr>
        <w:t>4.3.2 Análise crítica da abordagem</w:t>
      </w:r>
    </w:p>
    <w:p>
      <w:pPr>
        <w:pStyle w:val="Heading3"/>
        <w:bidi w:val="0"/>
        <w:jc w:val="left"/>
        <w:rPr>
          <w:lang w:val="pt-PT"/>
        </w:rPr>
      </w:pPr>
      <w:r>
        <w:rPr>
          <w:lang w:val="pt-PT"/>
        </w:rPr>
      </w:r>
    </w:p>
    <w:p>
      <w:pPr>
        <w:pStyle w:val="Normal"/>
        <w:bidi w:val="0"/>
        <w:jc w:val="left"/>
        <w:rPr>
          <w:lang w:val="pt-PT"/>
        </w:rPr>
      </w:pPr>
      <w:r>
        <w:rPr>
          <w:lang w:val="pt-PT"/>
        </w:rPr>
        <w:t>A adoção do OpenSCAD neste projecto, apresenta vantagens metodológicas relevantes, sobretudo pela forma como torna explícita a construção do modelo paramétrico. Ao ser definido por código, o modelo permite que as relações entre variáveis, dependências e restrições sejam mais facilmente identificadas do que em muitos fluxos CAD baseados apenas em operações gráficas. Esta condição favorece a transparência do processo, a revisão crítica e a possibilidade de reconstituir as decisões de modelação, qualidades particularmente importantes num trabalho académico em que o modelo paramétrico não constitui apenas um instrumento de produção formal, mas também um objeto de análise (Machado et al., 2019 (#ref-machado-2019)).</w:t>
      </w:r>
    </w:p>
    <w:p>
      <w:pPr>
        <w:pStyle w:val="Normal"/>
        <w:bidi w:val="0"/>
        <w:jc w:val="left"/>
        <w:rPr/>
      </w:pPr>
      <w:r>
        <w:rPr>
          <w:lang w:val="pt-PT" w:eastAsia="zh-CN" w:bidi="hi-IN"/>
        </w:rPr>
        <w:t xml:space="preserve">Uma segunda vantagem reside na afinidade entre a modelação baseada em código, a automação e a partilha aberta. </w:t>
      </w:r>
      <w:r>
        <w:rPr/>
        <w:t>Os estudos analisados indicam que o OpenSCAD é particularmente adequado a fluxos de personalização digital em que o modelo é configurado através de parâmetros e não através da edição manual da geometria. Esta característica permite associar o ficheiro-fonte a interfaces web, gerar múltiplas variantes de forma controlada e disponibilizar modelos reutilizáveis em comunidades distribuídas. Assim, a possibilidade de ajustar o modelo sem editar diretamente o código em cada iteração reforça a sua pertinência em contextos de personalização acessível e fabrico digital (Nilsiam &amp; Pearce, 2017 (#ref-nilsiam-2017)).</w:t>
      </w:r>
      <w:r>
        <w:rPr>
          <w:lang w:val="pt-PT" w:eastAsia="zh-CN" w:bidi="hi-IN"/>
        </w:rPr>
        <w:t>Para um projeto que pretende aproximar parametrização, interface e apoio computacional, esta característica é especialmente relevante.</w:t>
      </w:r>
    </w:p>
    <w:p>
      <w:pPr>
        <w:pStyle w:val="Normal"/>
        <w:bidi w:val="0"/>
        <w:jc w:val="left"/>
        <w:rPr/>
      </w:pPr>
      <w:r>
        <w:rPr>
          <w:lang w:val="pt-PT"/>
        </w:rPr>
        <w:t xml:space="preserve">Contudo, esta abordagem apresenta limitações importantes. Uma delas prende-se com a exigência técnica e conceptual associada à programação. Mesmo quando o modelo é modular e bem estruturado, a edição direta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w:t>
      </w:r>
      <w:r>
        <w:rPr/>
        <w:t xml:space="preserve">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Normal"/>
        <w:bidi w:val="0"/>
        <w:jc w:val="left"/>
        <w:rPr/>
      </w:pPr>
      <w:r>
        <w:rPr/>
        <w:t xml:space="preserve">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(#ref-machado-2019)). </w:t>
      </w:r>
      <w:r>
        <w:rPr>
          <w:lang w:val="pt-PT"/>
        </w:rPr>
        <w:t>Isto não invalida a adequação do OpenSCAD ao presente projeto, mas significa que a sua adoção deve ser vista como uma escolha situada: muito eficaz para estruturar um núcleo paramétrico explícito, menos adequada quando o objetivo depende de plena continuidade com certos fluxos proprietários de engenharia.</w:t>
      </w:r>
    </w:p>
    <w:p>
      <w:pPr>
        <w:pStyle w:val="Normal"/>
        <w:bidi w:val="0"/>
        <w:jc w:val="left"/>
        <w:rPr>
          <w:lang w:val="pt-PT"/>
        </w:rPr>
      </w:pPr>
      <w:r>
        <w:rPr>
          <w:lang w:val="pt-PT"/>
        </w:rPr>
        <w:t>Por fim, importa reconhecer que a robustez da abordagem resulta da articulação entre a geração da geometria e as etapas subsequentes de validação. Mesmo quando a lógica paramétrica é clara e as restrições estão integradas, a confirmação do modelo depende da verificação durante a preparação do modelo para impressão 3D, do controlo dimensional, de eventual simulação estrutural e da observação do comportamento da peça em protótipo.</w:t>
      </w:r>
    </w:p>
    <w:p>
      <w:pPr>
        <w:pStyle w:val="Normal"/>
        <w:bidi w:val="0"/>
        <w:jc w:val="left"/>
        <w:rPr/>
      </w:pPr>
      <w:r>
        <w:rPr>
          <w:lang w:val="pt-PT"/>
        </w:rPr>
        <w:t xml:space="preserve">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w:t>
      </w:r>
      <w:r>
        <w:rPr/>
        <w:t>É precisamente essa combinação entre explicitação, reexecução e possibilidade de revisão crítica que justifica a sua escolha como base para a modelação paramétrica aqui desenvolvida.</w:t>
      </w:r>
    </w:p>
    <w:p>
      <w:pPr>
        <w:pStyle w:val="Normal"/>
        <w:bidi w:val="0"/>
        <w:jc w:val="left"/>
        <w:rPr>
          <w:lang w:val="pt-PT"/>
        </w:rPr>
      </w:pPr>
      <w:r>
        <w:rPr>
          <w:lang w:val="pt-PT"/>
        </w:rPr>
      </w:r>
    </w:p>
    <w:p>
      <w:pPr>
        <w:pStyle w:val="Heading3"/>
        <w:bidi w:val="0"/>
        <w:jc w:val="left"/>
        <w:rPr>
          <w:lang w:val="pt-PT"/>
        </w:rPr>
      </w:pPr>
      <w:r>
        <w:rPr>
          <w:lang w:val="pt-PT"/>
        </w:rPr>
        <w:t>4.4 Iterações, refinamento e discussão intermédia</w:t>
      </w:r>
    </w:p>
    <w:p>
      <w:pPr>
        <w:pStyle w:val="Heading3"/>
        <w:bidi w:val="0"/>
        <w:jc w:val="left"/>
        <w:rPr>
          <w:lang w:val="pt-PT"/>
        </w:rPr>
      </w:pPr>
      <w:r>
        <w:rPr>
          <w:lang w:val="pt-PT"/>
        </w:rPr>
      </w:r>
    </w:p>
    <w:p>
      <w:pPr>
        <w:pStyle w:val="Normal"/>
        <w:bidi w:val="0"/>
        <w:jc w:val="left"/>
        <w:rPr>
          <w:lang w:val="pt-PT"/>
        </w:rPr>
      </w:pPr>
      <w:commentRangeStart w:id="12"/>
      <w:r>
        <w:rPr>
          <w:lang w:val="pt-PT"/>
        </w:rPr>
        <w:t>O desenvolvimento do modelo paramétrico não ocorreu, desde o início, como uma sequência linear orientada para uma solução estável e definitiva. Pelo contrário, evoluiu através de ciclos sucessivos de formulação, teste, correção e reconfiguração, em coerência com a perspetiva de Research Through Design, segund</w:t>
      </w:r>
      <w:r>
        <w:rPr>
          <w:lang w:val="pt-PT"/>
        </w:rPr>
      </w:r>
      <w:commentRangeEnd w:id="12"/>
      <w:r>
        <w:commentReference w:id="12"/>
      </w:r>
      <w:r>
        <w:rPr>
          <w:lang w:val="pt-PT"/>
        </w:rPr>
        <w:t>o a qual o próprio processo projetual constitui um meio de produção de conhecimento (Zimmerman, Forlizzi, &amp; Evenson, 2007). Neste enquadramento, cada versão do modelo funcionou simultaneamente como protótipo operativo e como dispositivo crítico, permitindo tornar visíveis as limitações, reformular os critérios e aprofundar a compreensão das relações entre dados antropométricos, organização geométrica, requisitos funcionais e constrangimentos de fabrico.</w:t>
      </w:r>
    </w:p>
    <w:p>
      <w:pPr>
        <w:pStyle w:val="Normal"/>
        <w:bidi w:val="0"/>
        <w:jc w:val="left"/>
        <w:rPr>
          <w:lang w:val="pt-PT"/>
        </w:rPr>
      </w:pPr>
      <w:r>
        <w:rPr>
          <w:lang w:val="pt-PT"/>
        </w:rPr>
        <w:t>A necessidade de iteração tornou-se particularmente evidente porque a modelação paramétrica, apesar da sua aparência sistemática, depende de um equilíbrio delicado entre abstração e concretização. Numa fase inicial, a estrutura do sistema assentou na definição de um conjunto de parâmetros julgados essenciais e numa primeira hierarquia entre variáveis de entrada, valores derivados e restrições. No entanto, à medida que o modelo foi sendo testado em diferentes cenários, verificou-se que a mera disponibilidade de muitos parâmetros não aumentava, por si só, a capacidade de personalização. Pelo contrário, a exposição excessiva de variáveis tendia a tornar o sistema mais opaco, menos previsível e mais vulnerável a incoerências geométricas, confirmando a importância de limitar e estruturar cuidadosamente o espaço configurável (Ozdemir, Verlinden, &amp; Cascini, 2022; Lei, Yao, Moon, &amp; Bi, 2016).</w:t>
      </w:r>
    </w:p>
    <w:p>
      <w:pPr>
        <w:pStyle w:val="Normal"/>
        <w:bidi w:val="0"/>
        <w:jc w:val="left"/>
        <w:rPr>
          <w:lang w:val="pt-PT"/>
        </w:rPr>
      </w:pPr>
      <w:r>
        <w:rPr>
          <w:lang w:val="pt-PT"/>
        </w:rPr>
        <w:t>Uma parte decisiva do refinamento incidiu, por isso, na reorganização da arquitetura paramétrica. O objetivo deixou de ser apenas permitir a variação e passou a consistir em garantir uma variação controlada. Isto implicou reduzir redundâncias, clarificar as dependências internas e distinguir com maior rigor os parâmetros estruturantes dos ajustamentos secundários. Em vez de um sistema monolítico e pouco legível, procurou-se construir uma lógica hierárquica em que as relações críticas permanecessem explícitas e rastreáveis. Esta passagem foi importante não apenas para a manutenção do código, mas também para a robustez do próprio modelo, dado que a literatura sublinha que a qualidade das relações paramétricas é determinante para a viabilidade de famílias de produto adaptáveis e tecnicamente consistentes (Lei et al., 2016 (#ref-lei-2016); Wiberg, Persson, &amp; Ölvander, 2019).</w:t>
      </w:r>
    </w:p>
    <w:p>
      <w:pPr>
        <w:pStyle w:val="Normal"/>
        <w:bidi w:val="0"/>
        <w:jc w:val="left"/>
        <w:rPr/>
      </w:pPr>
      <w:r>
        <w:rPr>
          <w:lang w:val="pt-PT"/>
        </w:rPr>
        <w:t xml:space="preserve">À medida que a estrutura geral se consolidou, o trabalho iterativo deslocou-se para a decomposição do sistema em módulos relativamente autónomos. </w:t>
      </w:r>
      <w:r>
        <w:rPr/>
        <w:t xml:space="preserve">Esta organização modular permitiu isolar problemas, testar componentes de forma localizada e introduzir alterações sem comprometer integralmente o comportamento global do modelo. No contexto do presente projeto, esta estratégia revelou-se especialmente útil na articulação entre elementos estruturais, zonas de contacto, interfaces mecânicas e componentes de ligação. </w:t>
      </w:r>
      <w:commentRangeStart w:id="13"/>
      <w:r>
        <w:rPr/>
        <w:t>Para além de organizar o código, a divisão do modelo em módulos contribuiu para clarificar progressivamente a lógica do objeto, aproximando-o de uma estrutura configurável, mais sistemática e compatível com futuros contextos de interface ou de configuração assistida (Nilsiam &amp; Pearce, 2017 (#ref-nilsiam-2017)).</w:t>
      </w:r>
      <w:commentRangeEnd w:id="13"/>
      <w:r>
        <w:commentReference w:id="13"/>
      </w:r>
      <w:r>
        <w:rPr/>
      </w:r>
    </w:p>
    <w:p>
      <w:pPr>
        <w:pStyle w:val="Normal"/>
        <w:bidi w:val="0"/>
        <w:jc w:val="left"/>
        <w:rPr>
          <w:lang w:val="pt-PT"/>
        </w:rPr>
      </w:pPr>
      <w:r>
        <w:rPr>
          <w:lang w:val="pt-PT"/>
        </w:rPr>
        <w:t>As iterações também mostraram que a robustez de um modelo paramétrico só se torna legível quando confrontado com situações-limite. Um sistema pode parecer estável dentro de uma faixa reduzida de variação e, ainda assim, revelar fragilidades relevantes quando submetido a combinações menos previsíveis de parâmetros. Foi precisamente nesse tipo de ensaio que surgiram problemas como interseções indevidas entre componentes, espessuras insuficientes em zonas críticas, desalinhamentos de interfaces, incompatibilidades entre dimensões derivadas e perdas localizadas de coerência proporcional. O refinamento consistiu, assim, menos na correção pontual de erros isolados e mais na identificação de padrões recorrentes de instabilidade, o que levou à introdução progressiva de verificações condicionais, limites paramétricos e ajustes automáticos.</w:t>
      </w:r>
    </w:p>
    <w:p>
      <w:pPr>
        <w:pStyle w:val="Normal"/>
        <w:bidi w:val="0"/>
        <w:jc w:val="left"/>
        <w:rPr/>
      </w:pPr>
      <w:r>
        <w:rPr>
          <w:lang w:val="pt-PT"/>
        </w:rPr>
        <w:t xml:space="preserve">Outro eixo central do processo prendeu-se à relação entre personalização e fabricação. </w:t>
      </w:r>
      <w:r>
        <w:rPr/>
        <w:t>Nem todas as variações formalmente admissíveis se revelaram compatíveis com as exigências do fabrico. Algumas configurações geravam geometrias excessivamente finas, folgas insuficientes ou desproporcionadas, transições abruptas e zonas potencialmente frágeis no contexto da impressão 3D</w:t>
      </w:r>
      <w:r>
        <w:rPr>
          <w:lang w:val="pt-PT"/>
        </w:rPr>
        <w:t>. Neste sentido, a evolução do modelo confirmou a relevância de integrar critérios de Design for Additive Manufacturing à própria lógica paramétrica, em vez de tratá-los como uma verificação externa e posterior. A literatura sobre DfAM aponta precisamente para a necessidade de incorporar tolerâncias, espessuras mínimas, orientações de fabrico e limites materiais desde a fase de conceção, reduzindo falhas e encurtando os ciclos de reimpressão e de correção (Chtioui, Gaha, &amp; Benamara, 2023; Wiberg et al., 2019 (#ref-wiberg-2019)).</w:t>
      </w:r>
    </w:p>
    <w:p>
      <w:pPr>
        <w:pStyle w:val="Normal"/>
        <w:bidi w:val="0"/>
        <w:jc w:val="left"/>
        <w:rPr>
          <w:lang w:val="pt-PT"/>
        </w:rPr>
      </w:pPr>
      <w:r>
        <w:rPr>
          <w:lang w:val="pt-PT"/>
        </w:rPr>
        <w:t xml:space="preserve">Em sistemas configuráveis para próteses, a coerência geométrica e a compatibilidade com o processo de impressão não são suficientes para assegurar a adequação ao uso. A articulação entre segmentos, o posicionamento relativo dos mecanismos, a distribuição de massa, as zonas sujeitas a esforço e a amplitude de movimento influenciam diretamente o desempenho esperado do objeto. </w:t>
      </w:r>
      <w:r>
        <w:rPr/>
        <w:t>Por essa razão, várias revisões do modelo implicaram reajustes que articularam a correção formal da geometria com a necessidade de manter um equilíbrio plausível entre adaptação dimensional, comportamento funcional e viabilidade material.</w:t>
      </w:r>
    </w:p>
    <w:p>
      <w:pPr>
        <w:pStyle w:val="Normal"/>
        <w:bidi w:val="0"/>
        <w:jc w:val="left"/>
        <w:rPr>
          <w:lang w:val="pt-PT"/>
        </w:rPr>
      </w:pPr>
      <w:r>
        <w:rPr>
          <w:lang w:val="pt-PT"/>
        </w:rPr>
        <w:t>O refinamento correspondeu, assim, a uma negociação contínua entre a simplificação paramétrica e as exigências funcionais e materiais do protótipo.</w:t>
      </w:r>
    </w:p>
    <w:p>
      <w:pPr>
        <w:pStyle w:val="Normal"/>
        <w:bidi w:val="0"/>
        <w:jc w:val="left"/>
        <w:rPr>
          <w:lang w:val="pt-PT"/>
        </w:rPr>
      </w:pPr>
      <w:r>
        <w:rPr>
          <w:lang w:val="pt-PT"/>
        </w:rPr>
        <w:t>Do ponto de vista metodológico, importa sublinhar que este percurso não deve ser lido como uma simples sucessão de tentativas e erros. Cada iteração reconfigurou a compreensão do problema e tornou mais explícitos aspetos que não eram plenamente antecipáveis na formulação inicial. Entre eles, destacam-se a dificuldade de traduzir certas qualidades anatómicas em relações paramétricas simples, a tendência de modelos demasiado abertos a perderem consistência e a necessidade de explicitar restrições para preservar a coerência perante a variação. Neste sentido, o conhecimento produzido não reside apenas no estado final do modelo, mas também no próprio processo de convergência crítica que permitiu delimitar o que pode e o que não pode ser razoavelmente parametrizado neste contexto (Zimmerman et al., 2007 (#ref-zimmerman-2007)).</w:t>
      </w:r>
    </w:p>
    <w:p>
      <w:pPr>
        <w:pStyle w:val="Normal"/>
        <w:bidi w:val="0"/>
        <w:jc w:val="left"/>
        <w:rPr>
          <w:lang w:val="pt-PT"/>
        </w:rPr>
      </w:pPr>
      <w:r>
        <w:rPr>
          <w:lang w:val="pt-PT"/>
        </w:rPr>
        <w:t>A discussão intermédia decorrente destas iterações permite tirar algumas conclusões provisórias. Em primeiro lugar, confirma-se que a modelação paramétrica baseada em código constitui um enquadramento adequado para estruturar sistemas configuráveis, desde que a arquitetura seja disciplinada e os parâmetros expostos sejam criteriosamente selecionados. Em segundo lugar, verifica-se que a robustez do sistema depende menos da quantidade de variáveis disponíveis do que da qualidade das relações estabelecidas entre elas. Em terceiro lugar, torna-se claro que a personalização eficaz exige integração simultânea de critérios antropométricos, funcionais e produtivos, não podendo ser reduzida a mera transformação geométrica. Por fim, a iteração evidencia-se como mecanismo indispensável de convergência: não encerra definitivamente o sistema, mas estabiliza uma versão suficientemente consistente para sustentar as fases seguintes de plataforma, integração digital e exploração assistida.</w:t>
      </w:r>
    </w:p>
    <w:p>
      <w:pPr>
        <w:pStyle w:val="Heading2"/>
        <w:bidi w:val="0"/>
        <w:jc w:val="left"/>
        <w:rPr>
          <w:lang w:val="pt-PT"/>
        </w:rPr>
      </w:pPr>
      <w:r>
        <w:rPr>
          <w:lang w:val="pt-PT"/>
        </w:rPr>
      </w:r>
    </w:p>
    <w:p>
      <w:pPr>
        <w:pStyle w:val="Heading2"/>
        <w:bidi w:val="0"/>
        <w:jc w:val="left"/>
        <w:rPr>
          <w:lang w:val="pt-PT"/>
        </w:rPr>
      </w:pPr>
      <w:r>
        <w:rPr>
          <w:lang w:val="pt-PT"/>
        </w:rPr>
        <w:t>Capítulo 5 — Plataforma Web e Integração Digital</w:t>
      </w:r>
    </w:p>
    <w:p>
      <w:pPr>
        <w:pStyle w:val="Heading3"/>
        <w:bidi w:val="0"/>
        <w:jc w:val="left"/>
        <w:rPr>
          <w:lang w:val="pt-PT"/>
        </w:rPr>
      </w:pPr>
      <w:r>
        <w:rPr>
          <w:lang w:val="pt-PT"/>
        </w:rPr>
      </w:r>
    </w:p>
    <w:p>
      <w:pPr>
        <w:pStyle w:val="Heading3"/>
        <w:bidi w:val="0"/>
        <w:jc w:val="left"/>
        <w:rPr>
          <w:lang w:val="pt-PT"/>
        </w:rPr>
      </w:pPr>
      <w:r>
        <w:rPr>
          <w:lang w:val="pt-PT"/>
        </w:rPr>
        <w:t>5.1 Enquadramento conceptual e perfis de utilizador</w:t>
      </w:r>
    </w:p>
    <w:p>
      <w:pPr>
        <w:pStyle w:val="Heading3"/>
        <w:bidi w:val="0"/>
        <w:jc w:val="left"/>
        <w:rPr>
          <w:lang w:val="pt-PT"/>
        </w:rPr>
      </w:pPr>
      <w:r>
        <w:rPr>
          <w:lang w:val="pt-PT"/>
        </w:rPr>
      </w:r>
    </w:p>
    <w:p>
      <w:pPr>
        <w:pStyle w:val="Normal"/>
        <w:bidi w:val="0"/>
        <w:jc w:val="left"/>
        <w:rPr/>
      </w:pPr>
      <w:r>
        <w:rPr>
          <w:lang w:val="pt-PT"/>
        </w:rPr>
        <w:t xml:space="preserve">A plataforma web desenvolvida no âmbito deste projeto constitui a camada de mediação entre o modelo paramétrico, os dados do utilizador e os processos de configuração digital da prótese. O seu enquadramento conceptual assenta na ideia de que a personalização não deve depender da manipulação direta do código nem de competências avançadas de modelação tridimensional, mas de uma interface capaz de traduzir dados antropométricos, decisões de configuração e critérios de fabrico em parâmetros operacionais inteligíveis. Nesta perspetiva, a plataforma não é apenas um visualizador técnico do modelo, mas também um dispositivo de mediação que reorganiza a relação entre o sistema paramétrico, o utilizador, o processo de decisão e a preparação para o fabrico. </w:t>
      </w:r>
      <w:r>
        <w:rPr/>
        <w:t>Esta leitura é coerente com os estudos sobre personalização digital e personalização em massa, que descrevem os configuradores como infraestruturas capazes de expor uma parte controlada do espaço de variação, permitindo adaptar produtos sem comprometer a coerência interna do modelo-base (Ozdemir, Verlinden, &amp; Cascini, 2022; Stralen, 2018 (#ref-stralen-2018)).</w:t>
      </w:r>
    </w:p>
    <w:p>
      <w:pPr>
        <w:pStyle w:val="Normal"/>
        <w:bidi w:val="0"/>
        <w:jc w:val="left"/>
        <w:rPr>
          <w:lang w:val="pt-PT"/>
        </w:rPr>
      </w:pPr>
      <w:r>
        <w:rPr>
          <w:lang w:val="pt-PT"/>
        </w:rPr>
        <w:t>Do ponto de vista funcional, a plataforma foi concebida para suportar um processo progressivo de personalização, no qual a definição geométrica da prótese resulta da articulação entre a recolha de dados, a seleção do modelo, o ajustamento de parâmetros, a visualização do resultado e a eventual exportação para prototipagem. Esta organização procura reduzir a distância entre o domínio técnico da modelação paramétrica e o contexto aplicado de utilização clínica, experimental ou de projecto.</w:t>
      </w:r>
    </w:p>
    <w:p>
      <w:pPr>
        <w:pStyle w:val="Normal"/>
        <w:bidi w:val="0"/>
        <w:jc w:val="left"/>
        <w:rPr>
          <w:lang w:val="pt-PT"/>
        </w:rPr>
      </w:pPr>
      <w:r>
        <w:rPr>
          <w:lang w:val="pt-PT"/>
        </w:rPr>
        <w:t>Em vez de exigir que cada interveniente compreenda a estrutura interna do ficheiro OpenSCAD, o sistema disponibiliza uma camada de interação mais acessível, baseada em controlos paramétricos, pré-visualização tridimensional e gestão de configurações.</w:t>
      </w:r>
    </w:p>
    <w:p>
      <w:pPr>
        <w:pStyle w:val="Normal"/>
        <w:bidi w:val="0"/>
        <w:jc w:val="left"/>
        <w:rPr>
          <w:lang w:val="pt-PT"/>
        </w:rPr>
      </w:pPr>
      <w:r>
        <w:rPr>
          <w:lang w:val="pt-PT"/>
        </w:rP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w:t>
      </w:r>
      <w:commentRangeStart w:id="14"/>
      <w:r>
        <w:rPr>
          <w:lang w:val="pt-PT"/>
        </w:rPr>
        <w:t>ivamente técnica (Peixoto et al., 2025 (#ref-peixoto-2025)).</w:t>
      </w:r>
      <w:commentRangeEnd w:id="14"/>
      <w:r>
        <w:commentReference w:id="14"/>
      </w:r>
      <w:r>
        <w:rPr>
          <w:lang w:val="pt-PT"/>
        </w:rPr>
      </w:r>
    </w:p>
    <w:p>
      <w:pPr>
        <w:pStyle w:val="Normal"/>
        <w:bidi w:val="0"/>
        <w:jc w:val="left"/>
        <w:rPr>
          <w:lang w:val="pt-PT"/>
        </w:rPr>
      </w:pPr>
      <w:r>
        <w:rPr>
          <w:lang w:val="pt-PT"/>
        </w:rPr>
      </w:r>
    </w:p>
    <w:p>
      <w:pPr>
        <w:pStyle w:val="Normal"/>
        <w:bidi w:val="0"/>
        <w:jc w:val="left"/>
        <w:rPr>
          <w:lang w:val="pt-PT"/>
        </w:rPr>
      </w:pPr>
      <w:r>
        <w:rPr>
          <w:lang w:val="pt-PT"/>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731510" cy="2687955"/>
            <wp:effectExtent l="0" t="0" r="0" b="0"/>
            <wp:wrapSquare wrapText="largest"/>
            <wp:docPr id="1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0"/>
                    <pic:cNvPicPr>
                      <a:picLocks noChangeAspect="1" noChangeArrowheads="1"/>
                    </pic:cNvPicPr>
                  </pic:nvPicPr>
                  <pic:blipFill>
                    <a:blip r:embed="rId24"/>
                    <a:stretch>
                      <a:fillRect/>
                    </a:stretch>
                  </pic:blipFill>
                  <pic:spPr bwMode="auto">
                    <a:xfrm>
                      <a:off x="0" y="0"/>
                      <a:ext cx="5731510" cy="2687955"/>
                    </a:xfrm>
                    <a:prstGeom prst="rect">
                      <a:avLst/>
                    </a:prstGeom>
                    <a:noFill/>
                  </pic:spPr>
                </pic:pic>
              </a:graphicData>
            </a:graphic>
          </wp:anchor>
        </w:drawing>
      </w:r>
    </w:p>
    <w:p>
      <w:pPr>
        <w:pStyle w:val="Normal"/>
        <w:bidi w:val="0"/>
        <w:jc w:val="left"/>
        <w:rPr>
          <w:lang w:val="pt-PT"/>
        </w:rPr>
      </w:pPr>
      <w:r>
        <w:rPr>
          <w:lang w:val="pt-PT"/>
        </w:rPr>
        <w:t>Figura 5.1 — Fluxo geral de produção personalizada de próteses a partir de plataforma web – Hand Fab</w:t>
      </w:r>
    </w:p>
    <w:p>
      <w:pPr>
        <w:pStyle w:val="Normal"/>
        <w:bidi w:val="0"/>
        <w:jc w:val="left"/>
        <w:rPr>
          <w:lang w:val="pt-PT"/>
        </w:rPr>
      </w:pPr>
      <w:r>
        <w:rPr>
          <w:lang w:val="pt-PT"/>
        </w:rPr>
        <w:t>Produção própria</w:t>
      </w:r>
    </w:p>
    <w:p>
      <w:pPr>
        <w:pStyle w:val="Normal"/>
        <w:bidi w:val="0"/>
        <w:jc w:val="left"/>
        <w:rPr>
          <w:lang w:val="pt-PT"/>
        </w:rPr>
      </w:pPr>
      <w:r>
        <w:rPr>
          <w:lang w:val="pt-PT"/>
        </w:rPr>
      </w:r>
    </w:p>
    <w:p>
      <w:pPr>
        <w:pStyle w:val="Normal"/>
        <w:bidi w:val="0"/>
        <w:jc w:val="left"/>
        <w:rPr>
          <w:lang w:val="pt-PT"/>
        </w:rPr>
      </w:pPr>
      <w:r>
        <w:rPr>
          <w:lang w:val="pt-PT"/>
        </w:rPr>
        <w:t>Neste sentido, a plataforma deve ser entendida como uma infraestrutura de mediação entre componentes técnicos, utilizadores e intervenientes especializados, e não apenas como um artefacto de software. A personalização deixa, assim, de corresponder a um ato individual e isolado, passando a ser enquadrada como um processo distribuído, no qual diferentes intervenientes participam com graus distintos de responsabilidade, conhecimento e controlo.</w:t>
      </w:r>
    </w:p>
    <w:p>
      <w:pPr>
        <w:pStyle w:val="Normal"/>
        <w:bidi w:val="0"/>
        <w:jc w:val="left"/>
        <w:rPr>
          <w:lang w:val="pt-PT"/>
        </w:rPr>
      </w:pPr>
      <w:r>
        <w:rPr>
          <w:lang w:val="pt-PT"/>
        </w:rP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 (#ref-quintero-2018)).</w:t>
      </w:r>
    </w:p>
    <w:p>
      <w:pPr>
        <w:pStyle w:val="Normal"/>
        <w:bidi w:val="0"/>
        <w:jc w:val="left"/>
        <w:rPr>
          <w:lang w:val="pt-PT"/>
        </w:rPr>
      </w:pPr>
      <w:r>
        <w:rPr>
          <w:lang w:val="pt-PT"/>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Normal"/>
        <w:bidi w:val="0"/>
        <w:jc w:val="left"/>
        <w:rPr/>
      </w:pPr>
      <w:r>
        <w:rPr>
          <w:lang w:val="pt-PT"/>
        </w:rPr>
        <w:t xml:space="preserve">O perfil de administrador assegura a gestão global da plataforma, incluindo a criação de contas, a definição de permissões e a supervisão do ecossistema de configurações, incluindo da base de dados antropométricos. </w:t>
      </w:r>
      <w:r>
        <w:rPr/>
        <w:t>O perfil técnico, pensado para profissionais intermédios, como técnicos de ortoprotesia, clínicos ou operadores especializados, permite criar, editar e acompanhar configurações próprias e, quando aplicável, aceder às configurações dos utilizadores sob sua responsabilidade.</w:t>
      </w:r>
      <w:r>
        <w:rPr>
          <w:lang w:val="pt-PT"/>
        </w:rPr>
        <w:t xml:space="preserve"> O perfil de utilizador corresponde ao nível mais restrito, centrado na consulta das suas configurações, no acompanhamento do processo e em interações delimitadas pelo sistema.</w:t>
      </w:r>
    </w:p>
    <w:p>
      <w:pPr>
        <w:pStyle w:val="Normal"/>
        <w:bidi w:val="0"/>
        <w:jc w:val="left"/>
        <w:rPr>
          <w:lang w:val="pt-PT"/>
        </w:rPr>
      </w:pPr>
      <w:r>
        <w:rPr>
          <w:lang w:val="pt-PT"/>
        </w:rPr>
        <w:t>Esta segmentação traduz uma lógica de controlo de acesso baseada em papéis, procurando equilibrar autonomia, segurança e responsabilidade distribuída, ao tornar claros os limites de intervenção de cada perfil. Importa sublinhar que esta diferenciação não se limita a uma decisão administrativa, participando diretamente na forma como a plataforma enquadra a personalização.</w:t>
      </w:r>
    </w:p>
    <w:p>
      <w:pPr>
        <w:pStyle w:val="Normal"/>
        <w:bidi w:val="0"/>
        <w:jc w:val="left"/>
        <w:rPr>
          <w:lang w:val="pt-PT"/>
        </w:rPr>
      </w:pPr>
      <w:r>
        <w:rPr>
          <w:lang w:val="pt-PT"/>
        </w:rPr>
        <w:t>Ao reservar certos parâmetros, decisões ou operações a perfis técnicos, o sistema reconhece que nem todos os aspetos da configuração devem ser apresentados ao utilizador final como escolhas livres. Em domínios sensíveis, como o das próteses, a experiência de uso beneficia quando a interface torna visível o processo, mas também quando delimita o campo de ação de forma coerente com critérios de supervisão, segurança e adequação funcional. A literatura sobre interfaces clínicas e interação em próteses inteligentes aponta precisamente para a necessidade de distinguir entre participação informada do utilizador e controlo técnico supervisionado, evitando tanto a opacidade excessiva como a transferência imprudente de responsabilidade para agentes não especializados (Bai et al., 2024 (#ref-bai-2024); Quintero et al., 2018 (#ref-quintero-2018)).</w:t>
      </w:r>
    </w:p>
    <w:p>
      <w:pPr>
        <w:pStyle w:val="Normal"/>
        <w:bidi w:val="0"/>
        <w:jc w:val="left"/>
        <w:rPr/>
      </w:pPr>
      <w:r>
        <w:rPr>
          <w:lang w:val="pt-PT"/>
        </w:rPr>
        <w:t xml:space="preserve">Deste modo, o enquadramento conceptual da plataforma articula três objetivos complementares: tornar a lógica paramétrica operável em ambiente web, estruturar a personalização como um processo progressivo e inteligível e distribuir o acesso às operações de acordo com papéis diferenciados. O valor da plataforma, nesta fase, não reside apenas em permitir editar parâmetros à distância, </w:t>
      </w:r>
      <w:r>
        <w:rPr/>
        <w:t>mas também em reconfigurar o próprio processo de personalização como uma sequência assistida, documentável e passível de revisão crítica. É nessa articulação entre capacidade de configuração, mediação pela interface e organização por perfis que a secção seguinte, dedicada à arquitetura geral do sistema, encontra a sua base conceptual.</w:t>
      </w:r>
    </w:p>
    <w:p>
      <w:pPr>
        <w:pStyle w:val="Heading3"/>
        <w:bidi w:val="0"/>
        <w:jc w:val="left"/>
        <w:rPr>
          <w:lang w:val="pt-PT"/>
        </w:rPr>
      </w:pPr>
      <w:r>
        <w:rPr>
          <w:lang w:val="pt-PT"/>
        </w:rPr>
      </w:r>
    </w:p>
    <w:p>
      <w:pPr>
        <w:pStyle w:val="Heading3"/>
        <w:bidi w:val="0"/>
        <w:jc w:val="left"/>
        <w:rPr>
          <w:lang w:val="pt-PT"/>
        </w:rPr>
      </w:pPr>
      <w:r>
        <w:rPr>
          <w:lang w:val="pt-PT"/>
        </w:rPr>
        <w:t>5.2 Arquitetura geral do sistema</w:t>
      </w:r>
    </w:p>
    <w:p>
      <w:pPr>
        <w:pStyle w:val="Normal"/>
        <w:bidi w:val="0"/>
        <w:jc w:val="left"/>
        <w:rPr>
          <w:lang w:val="pt-PT"/>
        </w:rPr>
      </w:pPr>
      <w:r>
        <w:rPr>
          <w:lang w:val="pt-PT"/>
        </w:rPr>
      </w:r>
    </w:p>
    <w:p>
      <w:pPr>
        <w:pStyle w:val="Normal"/>
        <w:bidi w:val="0"/>
        <w:jc w:val="left"/>
        <w:rPr>
          <w:lang w:val="pt-PT"/>
        </w:rPr>
      </w:pPr>
      <w:r>
        <w:rPr>
          <w:lang w:val="pt-PT"/>
        </w:rPr>
        <w:t>O sistema organiza-se numa estrutura em camadas, concebida para distinguir a interface de utilização, a lógica de configuração, a persistência de dados e os serviços complementares de apoio ao processo de personalização. Esta opção procura responder a um problema central do projeto: tornar operável um modelo paramétrico tecnicamente exigente num ambiente web sem concentrar, no mesmo ponto, responsabilidades de interação, cálculo geométrico, armazenamento e controlo de acesso. Em termos conceptuais, esta separação prolonga a lógica já discutida nas secções anteriores: a personalização digital exige sistemas suficientemente configuráveis para acomodar a variação, mas também suficientemente disciplinados para preservar a coerência, a rastreabilidade e a capacidade de manutenção (Ozdemir et al., 2022 (#ref-ozdemir-2022); Lei et al., 2016 (#ref-lei-2016)).</w:t>
      </w:r>
    </w:p>
    <w:p>
      <w:pPr>
        <w:pStyle w:val="Normal"/>
        <w:bidi w:val="0"/>
        <w:jc w:val="left"/>
        <w:rPr>
          <w:lang w:val="pt-PT"/>
        </w:rPr>
      </w:pPr>
      <w:r>
        <w:rPr>
          <w:lang w:val="pt-PT"/>
        </w:rPr>
        <w:t>A Figura 5.1 apresenta um precedente de arquitetura de produção personalizada em que a digitalização, o processamento de dados, a adaptação CAD e o fabrico aditivo são articulados num fluxo de ponta a ponta. A comparação é útil porque mostra que a personalização digital depende da continuidade entre captura, parametrização e produção, ainda que, no presente projeto, essa continuidade seja deslocada para uma plataforma web e para modelos OpenSCAD executados localmente (Górski et al., 2022 (#ref-gorski-2022)).</w:t>
      </w:r>
    </w:p>
    <w:p>
      <w:pPr>
        <w:pStyle w:val="Normal"/>
        <w:bidi w:val="0"/>
        <w:jc w:val="left"/>
        <w:rPr>
          <w:lang w:val="pt-PT"/>
        </w:rPr>
      </w:pPr>
      <w:r>
        <w:rPr/>
        <w:drawing>
          <wp:inline distT="0" distB="0" distL="0" distR="0">
            <wp:extent cx="5715000" cy="3238500"/>
            <wp:effectExtent l="0" t="0" r="0" b="0"/>
            <wp:docPr id="16"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descr="Image 15"/>
                    <pic:cNvPicPr>
                      <a:picLocks noChangeAspect="1" noChangeArrowheads="1"/>
                    </pic:cNvPicPr>
                  </pic:nvPicPr>
                  <pic:blipFill>
                    <a:blip r:embed="rId25"/>
                    <a:stretch>
                      <a:fillRect/>
                    </a:stretch>
                  </pic:blipFill>
                  <pic:spPr bwMode="auto">
                    <a:xfrm>
                      <a:off x="0" y="0"/>
                      <a:ext cx="5715000" cy="3238500"/>
                    </a:xfrm>
                    <a:prstGeom prst="rect">
                      <a:avLst/>
                    </a:prstGeom>
                    <a:noFill/>
                  </pic:spPr>
                </pic:pic>
              </a:graphicData>
            </a:graphic>
          </wp:inline>
        </w:drawing>
      </w:r>
    </w:p>
    <w:p>
      <w:pPr>
        <w:pStyle w:val="Normal"/>
        <w:bidi w:val="0"/>
        <w:jc w:val="left"/>
        <w:rPr>
          <w:lang w:val="pt-PT"/>
        </w:rPr>
      </w:pPr>
      <w:r>
        <w:rPr>
          <w:lang w:val="pt-PT"/>
        </w:rPr>
        <w:t>Figura 5.1 — Fluxo geral de produção personalizada de próteses a partir de digitalização, CAD adaptativo e fabrico aditivo.</w:t>
      </w:r>
    </w:p>
    <w:p>
      <w:pPr>
        <w:pStyle w:val="Normal"/>
        <w:bidi w:val="0"/>
        <w:jc w:val="left"/>
        <w:rPr>
          <w:lang w:val="pt-PT"/>
        </w:rPr>
      </w:pPr>
      <w:r>
        <w:rPr>
          <w:lang w:val="pt-PT"/>
        </w:rPr>
        <w:t xml:space="preserve">Fonte original: Górski, F., Zawadzki, P., Wichniarek, R., Kuczko, W., Słupińska, S., &amp; Żukowska, M. (2022). Automated design and rapid manufacturing of low-cost customized upper limb prostheses. Journal of Physics: Conference Series, 2198, 012040. </w:t>
      </w:r>
      <w:hyperlink r:id="rId26">
        <w:r>
          <w:rPr>
            <w:rStyle w:val="Hyperlink"/>
            <w:lang w:val="pt-PT"/>
          </w:rPr>
          <w:t>https://doi.org/10.1088/1742-6596/2198/1/012040</w:t>
        </w:r>
      </w:hyperlink>
    </w:p>
    <w:p>
      <w:pPr>
        <w:pStyle w:val="Normal"/>
        <w:bidi w:val="0"/>
        <w:jc w:val="left"/>
        <w:rPr>
          <w:lang w:val="pt-PT"/>
        </w:rPr>
      </w:pPr>
      <w:r>
        <w:rPr>
          <w:lang w:val="pt-PT"/>
        </w:rPr>
      </w:r>
    </w:p>
    <w:p>
      <w:pPr>
        <w:pStyle w:val="Normal"/>
        <w:bidi w:val="0"/>
        <w:jc w:val="left"/>
        <w:rPr/>
      </w:pPr>
      <w:r>
        <w:rPr>
          <w:lang w:val="pt-PT"/>
        </w:rPr>
        <w:t xml:space="preserve">No navegador do utilizador, a aplicação integra os componentes responsáveis pela interface, pela recolha e edição de parâmetros, pela gestão do estado da sessão e pela visualização local dos modelos. </w:t>
      </w:r>
      <w:r>
        <w:rPr/>
        <w:t>No servidor, um serviço desenvolvido em Node.js, com recurso ao framework Express.js, assegura a disponibilização de ficheiros estáticos, o processamento de pedidos à API, a autenticação de utilizadores, a aplicação de permissões e a comunicação com a camada de persistência.</w:t>
      </w:r>
      <w:r>
        <w:rPr>
          <w:lang w:val="pt-PT"/>
        </w:rPr>
        <w:t xml:space="preserve">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“frente” (</w:t>
      </w:r>
      <w:r>
        <w:rPr>
          <w:i/>
          <w:iCs/>
          <w:lang w:val="pt-PT"/>
        </w:rPr>
        <w:t>frontend</w:t>
      </w:r>
      <w:r>
        <w:rPr>
          <w:lang w:val="pt-PT"/>
        </w:rPr>
        <w:t>) e “retaguarda” (</w:t>
      </w:r>
      <w:r>
        <w:rPr>
          <w:i/>
          <w:iCs/>
          <w:lang w:val="pt-PT"/>
        </w:rPr>
        <w:t>backend</w:t>
      </w:r>
      <w:r>
        <w:rPr>
          <w:lang w:val="pt-PT"/>
        </w:rPr>
        <w:t>), mas sim a uma estratégia de contenção da complexidade e de delimitação explícita de responsabilidades.</w:t>
      </w:r>
    </w:p>
    <w:p>
      <w:pPr>
        <w:pStyle w:val="Normal"/>
        <w:bidi w:val="0"/>
        <w:jc w:val="left"/>
        <w:rPr>
          <w:lang w:val="pt-PT"/>
        </w:rPr>
      </w:pPr>
      <w:r>
        <w:rPr>
          <w:lang w:val="pt-PT"/>
        </w:rPr>
        <w:t>A camada de persistência assenta numa base de dados SQLite, utilizada para armazenar contas de utilizador, configurações guardadas, relações de atribuição técnica e tokens de autenticação. A escolha desta solução responde ao caráter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de personalização, recuperá-las em momentos posteriores e compará-las como estados distintos do processo do projeto. Deste modo, a base de dados não funciona apenas como repositório administrativo, mas também como infraestrutura que sustenta a continuidade do processo, a gestão prática de versões e o acompanhamento da evolução das variantes produzidas.</w:t>
      </w:r>
    </w:p>
    <w:p>
      <w:pPr>
        <w:pStyle w:val="Normal"/>
        <w:bidi w:val="0"/>
        <w:jc w:val="left"/>
        <w:rPr>
          <w:lang w:val="pt-PT"/>
        </w:rPr>
      </w:pPr>
      <w:r>
        <w:rPr>
          <w:lang w:val="pt-PT"/>
        </w:rPr>
        <w:t xml:space="preserve">Um dos aspetos mais relevantes da arquitetura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interação do utilizador com a plataforma. Esta decisão reduz a carga computacional do </w:t>
      </w:r>
      <w:r>
        <w:rPr>
          <w:i/>
          <w:iCs/>
          <w:lang w:val="pt-PT"/>
        </w:rPr>
        <w:t>backen</w:t>
      </w:r>
      <w:r>
        <w:rPr>
          <w:lang w:val="pt-PT"/>
        </w:rPr>
        <w:t>d, diminui a dependência de um serviço remoto de renderização e favorece uma interação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Normal"/>
        <w:bidi w:val="0"/>
        <w:jc w:val="left"/>
        <w:rPr>
          <w:lang w:val="pt-PT"/>
        </w:rPr>
      </w:pPr>
      <w:r>
        <w:rPr>
          <w:lang w:val="pt-PT"/>
        </w:rPr>
        <w:t>No plano da segurança e do controlo de acesso, a arquitetura incorpora autenticação baseada em JSON Web Token (JWT), um mecanismo que permite verificar a identidade do utilizador através de credenciais digitais temporárias. A plataforma utiliza ainda tokens de atualização armazenados em cookies HttpOnly, isto é, cookies que não podem ser acedidos diretamente por scripts executados no navegador, reduzindo a exposição a certos tipos de ataque. Estes mecanismos são complementados por validação de dados, limitação de pedidos e bloqueio explícito de ficheiros sensíveis.</w:t>
      </w:r>
    </w:p>
    <w:p>
      <w:pPr>
        <w:pStyle w:val="Normal"/>
        <w:bidi w:val="0"/>
        <w:jc w:val="left"/>
        <w:rPr>
          <w:lang w:val="pt-PT"/>
        </w:rPr>
      </w:pPr>
      <w:r>
        <w:rPr>
          <w:lang w:val="pt-PT"/>
        </w:rPr>
        <w:t>Estes mecanismos não devem ser entendidos como adições periféricas, mas como parte integrante do desenho do sistema, sobretudo num contexto em que múltiplos perfis de utilizador operam sobre configurações potencialmente sensíveis e em que a plataforma articula a autonomia de uso com a supervisão técnica. A literatura sobre interfaces de configuração em contexto protésico sublinha, precisamente, a importância de equilibrar a participação, a diferenciação de permissões e o enquadramento seguro das operações críticas (Quintero et al., 2018 (#ref-quintero-2018); Bai et al., 2024 (#ref-bai-2024)). Neste sentido, a arquitetura traduz uma opção por robustez e extensibilidade controlada: não procura apenas “ligar” componentes, mas estruturar um ecossistema técnico coerente com os requisitos de personalização assistida, gestão multiutilizador e futura evolução da plataforma.</w:t>
      </w:r>
    </w:p>
    <w:p>
      <w:pPr>
        <w:pStyle w:val="Heading3"/>
        <w:bidi w:val="0"/>
        <w:jc w:val="left"/>
        <w:rPr>
          <w:lang w:val="pt-PT"/>
        </w:rPr>
      </w:pPr>
      <w:r>
        <w:rPr>
          <w:lang w:val="pt-PT"/>
        </w:rPr>
      </w:r>
    </w:p>
    <w:p>
      <w:pPr>
        <w:pStyle w:val="Heading3"/>
        <w:bidi w:val="0"/>
        <w:jc w:val="left"/>
        <w:rPr>
          <w:lang w:val="pt-PT"/>
        </w:rPr>
      </w:pPr>
      <w:r>
        <w:rPr>
          <w:lang w:val="pt-PT"/>
        </w:rPr>
        <w:t>5.3 Integração OpenSCAD via WebAssembly (WASM)</w:t>
      </w:r>
    </w:p>
    <w:p>
      <w:pPr>
        <w:pStyle w:val="Normal"/>
        <w:bidi w:val="0"/>
        <w:jc w:val="left"/>
        <w:rPr>
          <w:lang w:val="pt-PT"/>
        </w:rPr>
      </w:pPr>
      <w:r>
        <w:rPr>
          <w:lang w:val="pt-PT"/>
        </w:rPr>
      </w:r>
    </w:p>
    <w:p>
      <w:pPr>
        <w:pStyle w:val="Normal"/>
        <w:bidi w:val="0"/>
        <w:jc w:val="left"/>
        <w:rPr>
          <w:lang w:val="pt-PT"/>
        </w:rPr>
      </w:pPr>
      <w:r>
        <w:rPr>
          <w:lang w:val="pt-PT"/>
        </w:rPr>
        <w:t>A integração do OpenSCAD por meio de WebAssembly, como referido anteriormente, constitui um dos elementos técnicos mais relevantes da plataforma, pois permite executar localmente, no navegador, um modelo paramétrico baseado em código, sem depender de um serviço externo de renderização contínua. O OpenSCAD funciona como linguagem e ambiente de modelação em que a geometria é definida por instruções escritas, parâmetros numéricos e relações explícitas entre componentes, em vez de resultar exclusivamente de manipulação gráfica direta. O WebAssembly (WASM), por sua vez, possibilita a execução de aplicações compiladas com desempenho próximo ao nativo no contexto da web. A articulação entre ambos torna viável um cenário particularmente pertinente para esta investigação: preservar a lógica algorítmica do modelo e, ao mesmo tempo, disponibilizá-la num ambiente de utilização mais acessível, orientado por uma interface (Machado et al., 2019 (#ref-machado-2019); Nilsiam &amp; Pearce, 2017 (#ref-nilsiam-2017)).</w:t>
      </w:r>
    </w:p>
    <w:p>
      <w:pPr>
        <w:pStyle w:val="Normal"/>
        <w:bidi w:val="0"/>
        <w:jc w:val="left"/>
        <w:rPr>
          <w:lang w:val="pt-PT"/>
        </w:rPr>
      </w:pPr>
      <w:r>
        <w:rPr>
          <w:lang w:val="pt-PT"/>
        </w:rPr>
        <w:t xml:space="preserve">Operacionalmente, a integração articula três elementos principais: os ficheiros </w:t>
      </w:r>
      <w:r>
        <w:rPr>
          <w:rStyle w:val="SourceText"/>
          <w:lang w:val="pt-PT"/>
        </w:rPr>
        <w:t>.scad</w:t>
      </w:r>
      <w:r>
        <w:rPr>
          <w:lang w:val="pt-PT"/>
        </w:rPr>
        <w:t>, formato de script utilizado pelo OpenSCAD para definir modelos geométricos por código; os parâmetros introduzidos ou ajustados na interface; e o ambiente de execução em WebAssembly. Quando o utilizador altera uma configuração, a plataforma envia os valores atualizados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direta entre edição paramétrica, cálculo geométrico e feedback visual, mantendo o processo rastreável dentro da própria plataforma.</w:t>
      </w:r>
    </w:p>
    <w:p>
      <w:pPr>
        <w:pStyle w:val="Normal"/>
        <w:bidi w:val="0"/>
        <w:jc w:val="left"/>
        <w:rPr>
          <w:lang w:val="pt-PT"/>
        </w:rPr>
      </w:pPr>
      <w:r>
        <w:rPr>
          <w:lang w:val="pt-PT"/>
        </w:rP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interação, permitindo que a exploração formal decorra num contexto mais observável e iterativo. O utilizador não necessita de dominar a sintaxe do OpenSCAD para beneficiar da estrutura paramétrica do modelo, mas essa estrutura continua a ser a base efetiva da geometria apresentada. Neste sentido, a plataforma atua como uma camada intermédia entre a disciplina técnica do código e a experiência configurável descrita na literatura sobre configuradores e sistemas de personalização digital (Nilsiam &amp; Pearce, 2017 (#ref-nilsiam-2017); Ozdemir et al., 2022 (#ref-ozdemir-2022)).</w:t>
      </w:r>
    </w:p>
    <w:p>
      <w:pPr>
        <w:pStyle w:val="Normal"/>
        <w:bidi w:val="0"/>
        <w:jc w:val="left"/>
        <w:rPr>
          <w:lang w:val="pt-PT"/>
        </w:rPr>
      </w:pPr>
      <w:r>
        <w:rPr>
          <w:lang w:val="pt-PT"/>
        </w:rPr>
        <w:t>Do ponto de vista técnico, o uso de Web Workers é especialmente relevante porque impede que a renderização bloqueie a interface principal. Em modelos geometricamente mais exigentes, o cálculo pode ser intensivo; se fosse executado diretamente na thread principal do navegador, comprometeria a fluidez da interação. Ao mover esse trabalho para um processo separado, a plataforma mantém uma experiência mais estável, mesmo quando a geração não é instantânea. A renderização permanece integralmente no lado do cliente, o que reforça a autonomia local do sistema e reduz o tráfego e a carga associados ao backend. Esta decisão complementa a arquitetura híbrida descrita na secção anterior: o servidor conserva funções de autenticação, persistência e mediação com serviços externos, enquanto o navegador assume a computação geométrica diretamente relacionada com a exploração paramétrica.</w:t>
      </w:r>
    </w:p>
    <w:p>
      <w:pPr>
        <w:pStyle w:val="Normal"/>
        <w:bidi w:val="0"/>
        <w:jc w:val="left"/>
        <w:rPr>
          <w:lang w:val="pt-PT"/>
        </w:rPr>
      </w:pPr>
      <w:r>
        <w:rPr>
          <w:lang w:val="pt-PT"/>
        </w:rPr>
        <w:t>Esta integração tem ainda valor estratégico no contexto da investigação, pois aproxima a lógica da modelação baseada em código à acessibilidade operacional exigida por uma plataforma web. A literatura sobre OpenSCAD tem sublinhado precisamente a sua afinidade com fluxos repetíveis, configuradores digitais e a partilha de modelos paramétricos em ambientes abertos, ainda que, muitas vezes, fora de contextos de próteses e especificamente clínicos (Machado et al., 2019 (#ref-machado-2019); Nilsiam &amp; Pearce, 2017 (#ref-nilsiam-2017)). No presente projeto, a adoção de WASM não representa apenas uma decisão de engenharia para “correr código no browser”; representa a tentativa de integrar, numa mesma infraestrutura, a transparência do modelo paramétrico, a observabilidade da interação e a capacidade de atualização iterativa da geometria.</w:t>
      </w:r>
    </w:p>
    <w:p>
      <w:pPr>
        <w:pStyle w:val="Normal"/>
        <w:bidi w:val="0"/>
        <w:jc w:val="left"/>
        <w:rPr/>
      </w:pPr>
      <w:r>
        <w:rPr>
          <w:lang w:val="pt-PT"/>
        </w:rPr>
        <w:t xml:space="preserve">Não obstante as vantagens, esta solução introduz limitações que importa reconhecer: O desempenho da renderização depende da complexidade do modelo, dos valores paramétricos escolhidos e dos recursos do dispositivo do utilizador, podendo resultar em tempos de espera mais longos para geometrias mais exigentes. Acresce que o carregamento inicial do módulo WASM, a serialização de dados entre a interface e o worker e a própria conversão da saída geométrica para formatos visualizáveis introduzem sobrecarga que não existe da mesma forma em ambientes CAD locais dedicados. Assim, a integração de OpenSCAD via WebAssembly deve ser entendida como um compromisso tecnicamente situado: amplia a acessibilidade e a autonomia local, mas apenas dentro dos limites computacionais e operacionais do navegador. </w:t>
      </w:r>
      <w:r>
        <w:rPr/>
        <w:t>O valor da solução reside, por isso, menos numa promessa de desempenho absoluto e mais na capacidade de tornar executável, em ambiente web, um núcleo paramétrico explícito, verificável e sujeito a revisão crítica.</w:t>
      </w:r>
    </w:p>
    <w:p>
      <w:pPr>
        <w:pStyle w:val="Normal"/>
        <w:bidi w:val="0"/>
        <w:jc w:val="left"/>
        <w:rPr>
          <w:lang w:val="pt-PT"/>
        </w:rPr>
      </w:pPr>
      <w:r>
        <w:rPr>
          <w:lang w:val="pt-PT"/>
        </w:rPr>
      </w:r>
    </w:p>
    <w:p>
      <w:pPr>
        <w:pStyle w:val="Heading3"/>
        <w:bidi w:val="0"/>
        <w:jc w:val="left"/>
        <w:rPr>
          <w:lang w:val="pt-PT"/>
        </w:rPr>
      </w:pPr>
      <w:r>
        <w:rPr>
          <w:lang w:val="pt-PT"/>
        </w:rPr>
        <w:t>5.4 Estrutura funcional da plataforma</w:t>
      </w:r>
    </w:p>
    <w:p>
      <w:pPr>
        <w:pStyle w:val="Heading3"/>
        <w:bidi w:val="0"/>
        <w:jc w:val="left"/>
        <w:rPr>
          <w:lang w:val="pt-PT"/>
        </w:rPr>
      </w:pPr>
      <w:r>
        <w:rPr>
          <w:lang w:val="pt-PT"/>
        </w:rPr>
      </w:r>
    </w:p>
    <w:p>
      <w:pPr>
        <w:pStyle w:val="Normal"/>
        <w:bidi w:val="0"/>
        <w:jc w:val="left"/>
        <w:rPr>
          <w:lang w:val="pt-PT"/>
        </w:rPr>
      </w:pPr>
      <w:r>
        <w:rPr>
          <w:lang w:val="pt-PT"/>
        </w:rPr>
        <w:t>A estrutura funcional da plataforma organiza-se num conjunto de módulos interligados que suportam o ciclo completo de configuração paramétrica: seleção do modelo, introdução e edição de parâmetros, visualização tridimensional, sugestões assistidas por IA, gestão de configurações e administração multiutilizador.</w:t>
      </w:r>
      <w:r>
        <w:rPr/>
        <w:t>Esta organização modular permite distribuir as funcionalidades da plataforma, ao mesmo tempo que estrutura o processo de personalização como uma sequência legível de operações.</w:t>
      </w:r>
    </w:p>
    <w:p>
      <w:pPr>
        <w:pStyle w:val="Normal"/>
        <w:bidi w:val="0"/>
        <w:jc w:val="left"/>
        <w:rPr>
          <w:lang w:val="pt-PT"/>
        </w:rPr>
      </w:pPr>
      <w:r>
        <w:rPr>
          <w:lang w:val="pt-PT"/>
        </w:rPr>
        <w:t xml:space="preserve"> </w:t>
      </w:r>
      <w:r>
        <w:rPr>
          <w:lang w:val="pt-PT"/>
        </w:rPr>
        <w:t xml:space="preserve">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ação disponível e articula </w:t>
      </w:r>
      <w:r>
        <w:rPr>
          <w:i/>
          <w:iCs/>
          <w:lang w:val="pt-PT"/>
        </w:rPr>
        <w:t>feedback</w:t>
      </w:r>
      <w:r>
        <w:rPr>
          <w:lang w:val="pt-PT"/>
        </w:rPr>
        <w:t xml:space="preserve"> com decisão (Ozdemir et al., 2022 (#ref-ozdemir-2022); Peixoto et al., 2025 (#ref-peixoto-2025)).</w:t>
      </w:r>
    </w:p>
    <w:p>
      <w:pPr>
        <w:pStyle w:val="Normal"/>
        <w:bidi w:val="0"/>
        <w:jc w:val="left"/>
        <w:rPr/>
      </w:pPr>
      <w:r>
        <w:rPr>
          <w:lang w:val="pt-PT"/>
        </w:rPr>
        <w:t xml:space="preserve">A Figura 5.2 ilustra um precedente particularmente próximo desta lógica: uma ferramenta paramétrica orientada a terapeutas ocupacionais, na qual múltiplas variantes de produto podem ser configuradas a partir de dimensões, materiais e pesos ajustáveis. </w:t>
      </w:r>
      <w:r>
        <w:rPr/>
        <w:t>A sua pertinência para esta dissertação reside em demonstrar que a parametrização ganha valor quando é mediada por uma interface acessível a profissionais que não são necessariamente especialistas em modelação CAD.</w:t>
      </w:r>
    </w:p>
    <w:p>
      <w:pPr>
        <w:pStyle w:val="Normal"/>
        <w:bidi w:val="0"/>
        <w:jc w:val="left"/>
        <w:rPr>
          <w:lang w:val="pt-PT"/>
        </w:rPr>
      </w:pPr>
      <w:r>
        <w:rPr>
          <w:lang w:val="pt-PT"/>
        </w:rPr>
        <w:t>(Li &amp; Aflatoony, 2025 (#ref-li-aflatoony-2025)).</w:t>
      </w:r>
    </w:p>
    <w:p>
      <w:pPr>
        <w:pStyle w:val="Normal"/>
        <w:bidi w:val="0"/>
        <w:jc w:val="left"/>
        <w:rPr>
          <w:lang w:val="pt-PT"/>
        </w:rPr>
      </w:pPr>
      <w:r>
        <w:rPr/>
        <w:drawing>
          <wp:inline distT="0" distB="0" distL="0" distR="0">
            <wp:extent cx="5715000" cy="4657725"/>
            <wp:effectExtent l="0" t="0" r="0" b="0"/>
            <wp:docPr id="17"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descr="Image 16"/>
                    <pic:cNvPicPr>
                      <a:picLocks noChangeAspect="1" noChangeArrowheads="1"/>
                    </pic:cNvPicPr>
                  </pic:nvPicPr>
                  <pic:blipFill>
                    <a:blip r:embed="rId27"/>
                    <a:stretch>
                      <a:fillRect/>
                    </a:stretch>
                  </pic:blipFill>
                  <pic:spPr bwMode="auto">
                    <a:xfrm>
                      <a:off x="0" y="0"/>
                      <a:ext cx="5715000" cy="4657725"/>
                    </a:xfrm>
                    <a:prstGeom prst="rect">
                      <a:avLst/>
                    </a:prstGeom>
                    <a:noFill/>
                  </pic:spPr>
                </pic:pic>
              </a:graphicData>
            </a:graphic>
          </wp:inline>
        </w:drawing>
      </w:r>
    </w:p>
    <w:p>
      <w:pPr>
        <w:pStyle w:val="Normal"/>
        <w:bidi w:val="0"/>
        <w:jc w:val="left"/>
        <w:rPr>
          <w:lang w:val="pt-PT"/>
        </w:rPr>
      </w:pPr>
      <w:r>
        <w:rPr>
          <w:lang w:val="pt-PT"/>
        </w:rPr>
        <w:t>Figura 5.2 — Ferramenta paramétrica para configuração de ajudas técnicas com variação de dimensões, materiais e peso.</w:t>
      </w:r>
    </w:p>
    <w:p>
      <w:pPr>
        <w:pStyle w:val="Normal"/>
        <w:bidi w:val="0"/>
        <w:jc w:val="left"/>
        <w:rPr>
          <w:lang w:val="pt-PT"/>
        </w:rPr>
      </w:pPr>
      <w:r>
        <w:rPr>
          <w:lang w:val="pt-PT"/>
        </w:rPr>
        <w:t xml:space="preserve">Fonte original: Li, M., &amp; Aflatoony, L. (2025). Parametric design and three-dimensional printing: Enabling occupational therapists to develop custom hand grips. Disability and Rehabilitation: Assistive Technology, 20(6), 1829-1837. </w:t>
      </w:r>
      <w:hyperlink r:id="rId28">
        <w:r>
          <w:rPr>
            <w:rStyle w:val="Hyperlink"/>
            <w:lang w:val="pt-PT"/>
          </w:rPr>
          <w:t>https://doi.org/10.1080/17483107.2025.2483953</w:t>
        </w:r>
      </w:hyperlink>
    </w:p>
    <w:p>
      <w:pPr>
        <w:pStyle w:val="Normal"/>
        <w:bidi w:val="0"/>
        <w:jc w:val="left"/>
        <w:rPr>
          <w:lang w:val="pt-PT"/>
        </w:rPr>
      </w:pPr>
      <w:r>
        <w:rPr>
          <w:lang w:val="pt-PT"/>
        </w:rPr>
      </w:r>
    </w:p>
    <w:p>
      <w:pPr>
        <w:pStyle w:val="Normal"/>
        <w:bidi w:val="0"/>
        <w:jc w:val="left"/>
        <w:rPr>
          <w:lang w:val="pt-PT"/>
        </w:rPr>
      </w:pPr>
      <w:r>
        <w:rPr>
          <w:lang w:val="pt-PT"/>
        </w:rPr>
        <w:t>O ponto de entrada do sistema é o módulo de seleção de modelos. Cada modelo é descrito por um ficheiro de configuração que inclui o identificador, a descrição, o ficheiro OpenSCAD associado e a lista de parâmetros editáveis. A partir dessa estrutura, a interface gera automaticamente os controlos necessários para editar esses parâmetros, incluindo campos numéricos, seletores de valores dentro de intervalos definidos, caixas de seleção e campos de texto. Esta opção reduz a rigidez do sistema e permite acomodar famílias distintas de modelos paramétricos sem exigir reprogramação manual de cada ecrã. Em termos funcionais, este módulo atua como mediador entre a biblioteca de modelos e a interface, convertendo uma estrutura técnica de ficheiros e parâmetros num ponto de entrada compreensível para a configuração.</w:t>
      </w:r>
    </w:p>
    <w:p>
      <w:pPr>
        <w:pStyle w:val="Normal"/>
        <w:bidi w:val="0"/>
        <w:jc w:val="left"/>
        <w:rPr>
          <w:lang w:val="pt-PT"/>
        </w:rPr>
      </w:pPr>
      <w:r>
        <w:rPr>
          <w:lang w:val="pt-PT"/>
        </w:rPr>
        <w:t xml:space="preserve">O núcleo operativo da plataforma situa-se, depois, na articulação entre o módulo de edição paramétrica e o de visualização 3D. Quando os parâmetros são alterados, o sistema recompõe o código, aciona a renderização local e devolve ao utilizador a geometria atualizada. Esta ligação direta entre edição e pré-visualização é decisiva do ponto de vista funcional, pois transforma a manipulação de variáveis abstratas em observação imediata das suas consequências formais. Funções de reposição de valores por defeito, atualização incremental e exportação de ficheiros </w:t>
      </w:r>
      <w:commentRangeStart w:id="15"/>
      <w:r>
        <w:rPr>
          <w:lang w:val="pt-PT"/>
        </w:rPr>
        <w:t>STL ou 3MF</w:t>
      </w:r>
      <w:r>
        <w:rPr>
          <w:lang w:val="pt-PT"/>
        </w:rPr>
      </w:r>
      <w:commentRangeEnd w:id="15"/>
      <w:r>
        <w:commentReference w:id="15"/>
      </w:r>
      <w:r>
        <w:rPr>
          <w:lang w:val="pt-PT"/>
        </w:rPr>
        <w:t xml:space="preserve"> alargam esta utilidade para além da mera experimentação visual, aproximando a plataforma de um ambiente de prototipagem e de preparação para fabrico. A literatura sobre interfaces para configuração assistida em contexto protésico sugere precisamente que a legibilidade do processo melhora quando o utilizador consegue relacionar a ação, a consequência geométrica e a possibilidade de validação num mesmo circuito de interação (Peixoto et al., 2025 (#ref-peixoto-2025); Quintero et al., 2018 (#ref-quintero-2018)).</w:t>
      </w:r>
    </w:p>
    <w:p>
      <w:pPr>
        <w:pStyle w:val="Normal"/>
        <w:bidi w:val="0"/>
        <w:jc w:val="left"/>
        <w:rPr>
          <w:lang w:val="pt-PT"/>
        </w:rPr>
      </w:pPr>
      <w:r>
        <w:rPr>
          <w:lang w:val="pt-PT"/>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atual do modelo selecionado: nomes dos parâmetros, legendas, tipos, limites mínimos e máximos e valores correntes. Esse pedido é enviado ao servidor por uma rota autenticada, que atua como intermediário entre a plataforma e o serviço externo de IA. A resposta esperada é um objeto JSON simples, composto apenas por pares parâmetro-valor. A aplicação aceita apenas chaves existentes no esquema, descarta parâmetros desconhecidos e aplica os valores resultantes aos controlos antes de acionar uma nova renderização em OpenSCAD/WebAssembly.</w:t>
      </w:r>
    </w:p>
    <w:p>
      <w:pPr>
        <w:pStyle w:val="Normal"/>
        <w:bidi w:val="0"/>
        <w:jc w:val="left"/>
        <w:rPr>
          <w:lang w:val="pt-PT"/>
        </w:rPr>
      </w:pPr>
      <w:r>
        <w:rPr>
          <w:lang w:val="pt-PT"/>
        </w:rPr>
        <w:t xml:space="preserve">Esta arquitetura corrige uma fragilidade identificada numa versão anterior do sistema, em que o pedido à IA permanecia demasiado associado a um modelo já removido e podia induzir sugestões com nomes de parâmetros inexistentes. Ao ancorar a sugestão no esquema vivo do modelo ativo, a IA passa a operar sobre a mesma gramática paramétrica que a interface, os perfis antropométricos importados e o modelo OpenSCAD. O papel funcional deste módulo não é gerar autonomamente a prótese, mas sim ampliar a capacidade exploratória do sistema, sugerindo pontos de partida plausíveis e ajudando a reduzir a carga inicial de parametrização. Nesta perspetiva, o módulo de IA integra-se no fluxo como suporte à decisão, e não como instância soberana de configuração, o que mantém coerência com a lógica </w:t>
      </w:r>
      <w:r>
        <w:rPr>
          <w:i/>
          <w:iCs/>
          <w:lang w:val="pt-PT"/>
        </w:rPr>
        <w:t>human-in-the-loop</w:t>
      </w:r>
      <w:r>
        <w:rPr>
          <w:lang w:val="pt-PT"/>
        </w:rPr>
        <w:t xml:space="preserve"> assumida no projeto.</w:t>
      </w:r>
    </w:p>
    <w:p>
      <w:pPr>
        <w:pStyle w:val="Normal"/>
        <w:bidi w:val="0"/>
        <w:jc w:val="left"/>
        <w:rPr/>
      </w:pPr>
      <w:r>
        <w:rPr>
          <w:lang w:val="pt-PT"/>
        </w:rPr>
        <w:t xml:space="preserve">A evolução posterior do módulo acrescentou uma ancoragem opcional em dados populacionais. Quando o </w:t>
      </w:r>
      <w:r>
        <w:rPr>
          <w:i/>
          <w:iCs/>
          <w:lang w:val="pt-PT"/>
        </w:rPr>
        <w:t>frontend</w:t>
      </w:r>
      <w:r>
        <w:rPr>
          <w:lang w:val="pt-PT"/>
        </w:rPr>
        <w:t xml:space="preserve"> envia a descrição do paciente e o identificador do modelo, o servidor procura o perfil antropométrico populacional mais próximo, considerando atributos como sexo, idade aproximada e país, e projeta as médias desse perfil sobre os parâmetros disponíveis no modelo ativo. </w:t>
      </w:r>
      <w:r>
        <w:rPr/>
        <w:t>O bloco de referência é então anexado ao pedido enviado à IA como ponto de ancoragem quantitativo, permitindo orientar a sugestão paramétrica sem se sobrepor a medições diretamente fornecidas pelo utilizador.</w:t>
      </w:r>
      <w:r>
        <w:rPr>
          <w:lang w:val="pt-PT"/>
        </w:rPr>
        <w:t xml:space="preserve"> </w:t>
      </w:r>
      <w:r>
        <w:rPr/>
        <w:t>Esta solução reforça a continuidade entre três formas de introdução de dados na plataforma: a seleção manual de um perfil populacional de referência, a importação de perfis antropométricos e a sugestão assistida por IA.</w:t>
      </w:r>
    </w:p>
    <w:p>
      <w:pPr>
        <w:pStyle w:val="Normal"/>
        <w:bidi w:val="0"/>
        <w:jc w:val="left"/>
        <w:rPr/>
      </w:pPr>
      <w:r>
        <w:rPr>
          <w:lang w:val="pt-PT"/>
        </w:rPr>
        <w:t xml:space="preserve">Outro componente central é o módulo de gestão de configurações. A possibilidade de nomear, guardar, recuperar, atualizar e eliminar instâncias de personalização é particularmente relevante num processo iterativo, em que diferentes variantes podem corresponder a hipóteses sucessivas de trabalho e não apenas a estados finais. </w:t>
      </w:r>
      <w:r>
        <w:rPr/>
        <w:t>Funcionalmente, este módulo transforma a configuração de um ato momentâneo numa sequência acumulativa, na qual diferentes estados podem ser guardados, recuperados e comparados ao longo do processo</w:t>
      </w:r>
      <w:r>
        <w:rPr>
          <w:lang w:val="pt-PT"/>
        </w:rPr>
        <w:t>, permitindo retomar versões anteriores, comparar alternativas e sustentar processos de revisão progressiva. Deste modo, a gestão de configurações não é uma simples conveniência de interface: é parte integrante da estrutura funcional que torna a personalização verificável e acumulável ao longo do tempo.</w:t>
      </w:r>
    </w:p>
    <w:p>
      <w:pPr>
        <w:pStyle w:val="Normal"/>
        <w:bidi w:val="0"/>
        <w:jc w:val="left"/>
        <w:rPr>
          <w:lang w:val="pt-PT"/>
        </w:rPr>
      </w:pPr>
      <w:r>
        <w:rPr>
          <w:lang w:val="pt-PT"/>
        </w:rPr>
        <w:t xml:space="preserve">Por fim, a plataforma inclui um módulo administrativo e de controlo de acesso que suporta a organização multi-utilizador. Este módulo assegura a criação de contas, a diferenciação de permissões, a atribuição de utilizadores a técnicos e a delimitação das ações acessíveis a cada perfil. A sua presença confirma que a estrutura funcional </w:t>
      </w:r>
      <w:commentRangeStart w:id="16"/>
      <w:r>
        <w:rPr>
          <w:lang w:val="pt-PT"/>
        </w:rPr>
        <w:t>da plataforma não se esgota na manipulação de parâmetros e na visualização de</w:t>
      </w:r>
      <w:r>
        <w:rPr>
          <w:lang w:val="pt-PT"/>
        </w:rPr>
      </w:r>
      <w:commentRangeEnd w:id="16"/>
      <w:r>
        <w:commentReference w:id="16"/>
      </w:r>
      <w:r>
        <w:rPr>
          <w:lang w:val="pt-PT"/>
        </w:rPr>
        <w:t xml:space="preserve"> formas; inclui também a gestão das relações entre agentes, das responsabilidades e dos níveis de intervenção. Neste sentido, a aplicação obtém sugestões paramétricas através do servidor, que se comunica com serviços externos por intermédio de um </w:t>
      </w:r>
      <w:commentRangeStart w:id="17"/>
      <w:r>
        <w:rPr>
          <w:lang w:val="pt-PT"/>
        </w:rPr>
        <w:t>proxy seguro</w:t>
      </w:r>
      <w:r>
        <w:rPr>
          <w:lang w:val="pt-PT"/>
        </w:rPr>
      </w:r>
      <w:commentRangeEnd w:id="17"/>
      <w:r>
        <w:commentReference w:id="17"/>
      </w:r>
      <w:r>
        <w:rPr>
          <w:lang w:val="pt-PT"/>
        </w:rPr>
        <w:t>, mas enquadra essa capacidade dentro de uma estrutura funcional mais ampla, em que configuração, supervisão e persistência coexistem como partes de um mesmo sistema operativo.</w:t>
      </w:r>
    </w:p>
    <w:p>
      <w:pPr>
        <w:pStyle w:val="Normal"/>
        <w:bidi w:val="0"/>
        <w:jc w:val="left"/>
        <w:rPr>
          <w:lang w:val="pt-PT"/>
        </w:rPr>
      </w:pPr>
      <w:r>
        <w:rPr>
          <w:lang w:val="pt-PT"/>
        </w:rPr>
        <w:t>A biblioteca de modelos integrada na plataforma confirma esta lógica modular. Em vez de tratar a prótese como um único ficheiro estático, o sistema organiza diferentes famílias de próteses como modelos registados, cada uma com parâmetros, dependências, limites e modos de visualização próprios. Esta decisão permitiu comparar estratégias distintas de integração: modelos reconstruídos integralmente em OpenSCAD, modelos provenientes de geometrias existentes e modelos open source já paramétricos, mas não alinhados com a nomenclatura antropométrica da plataforma. A integração não consistiu, portanto, apenas em “carregar” ficheiros tridimensionais; consistiu em traduzir cada modelo para uma interface comum de parâmetros, mantendo as suas restrições mecânicas específicas.</w:t>
      </w:r>
    </w:p>
    <w:p>
      <w:pPr>
        <w:pStyle w:val="Normal"/>
        <w:bidi w:val="0"/>
        <w:jc w:val="left"/>
        <w:rPr>
          <w:lang w:val="pt-PT"/>
        </w:rPr>
      </w:pPr>
      <w:commentRangeStart w:id="18"/>
      <w:r>
        <w:rPr>
          <w:lang w:val="pt-PT"/>
        </w:rPr>
        <w:t>No caso do Paraglider Hand, também conhecido como Flexible Flyer, a integração partiu de uma mão mecânica acionada pelo corpo, derivada da linhagem Phoenix e UnLimbited.</w:t>
      </w:r>
      <w:r>
        <w:rPr>
          <w:lang w:val="pt-PT"/>
        </w:rPr>
      </w:r>
      <w:commentRangeEnd w:id="18"/>
      <w:r>
        <w:commentReference w:id="18"/>
      </w:r>
      <w:r>
        <w:rPr>
          <w:lang w:val="pt-PT"/>
        </w:rPr>
        <w:t xml:space="preserve">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ativas nesse modelo.</w:t>
      </w:r>
    </w:p>
    <w:p>
      <w:pPr>
        <w:pStyle w:val="Normal"/>
        <w:bidi w:val="0"/>
        <w:jc w:val="left"/>
        <w:rPr>
          <w:lang w:val="pt-PT"/>
        </w:rPr>
      </w:pPr>
      <w:r>
        <w:rPr>
          <w:lang w:val="pt-PT"/>
        </w:rPr>
        <w:t>A integração do Paraglider também revelou limitações práticas da execução de OpenSCAD em WebAssembly. Alguns ficheiros originais usavam construções sintáticas não suportadas pela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teve relevância metodológica porque mostrou que a compatibilidade web não depende apenas da qualidade geométrica do modelo, mas também da forma como bibliotecas, ficheiros importados e variantes de sintaxe são organizados no fluxo digital.</w:t>
      </w:r>
    </w:p>
    <w:p>
      <w:pPr>
        <w:pStyle w:val="Normal"/>
        <w:bidi w:val="0"/>
        <w:jc w:val="left"/>
        <w:rPr>
          <w:lang w:val="pt-PT"/>
        </w:rPr>
      </w:pPr>
      <w:r>
        <w:rPr>
          <w:lang w:val="pt-PT"/>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w:t>
      </w:r>
      <w:commentRangeStart w:id="19"/>
      <w:r>
        <w:rPr>
          <w:lang w:val="pt-PT"/>
        </w:rPr>
        <w:t>parâmetros de hardware</w:t>
      </w:r>
      <w:r>
        <w:rPr>
          <w:lang w:val="pt-PT"/>
        </w:rPr>
      </w:r>
      <w:commentRangeEnd w:id="19"/>
      <w:r>
        <w:commentReference w:id="19"/>
      </w:r>
      <w:r>
        <w:rPr>
          <w:lang w:val="pt-PT"/>
        </w:rPr>
        <w:t xml:space="preserv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ativos.</w:t>
      </w:r>
    </w:p>
    <w:p>
      <w:pPr>
        <w:pStyle w:val="Normal"/>
        <w:bidi w:val="0"/>
        <w:jc w:val="left"/>
        <w:rPr>
          <w:lang w:val="pt-PT"/>
        </w:rPr>
      </w:pPr>
      <w:r>
        <w:rPr>
          <w:lang w:val="pt-PT"/>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arquitetura: quanto mais heterogéneos forem os modelos integrados, mais clara se torna a necessidade de separar dados antropométricos, regras geométricas, restrições de fabrico e sugestões assistidas.</w:t>
      </w:r>
    </w:p>
    <w:p>
      <w:pPr>
        <w:pStyle w:val="Normal"/>
        <w:bidi w:val="0"/>
        <w:jc w:val="left"/>
        <w:rPr>
          <w:lang w:val="pt-PT"/>
        </w:rPr>
      </w:pPr>
      <w:r>
        <w:rPr>
          <w:lang w:val="pt-PT"/>
        </w:rPr>
      </w:r>
    </w:p>
    <w:p>
      <w:pPr>
        <w:pStyle w:val="Heading3"/>
        <w:bidi w:val="0"/>
        <w:jc w:val="left"/>
        <w:rPr>
          <w:lang w:val="pt-PT"/>
        </w:rPr>
      </w:pPr>
      <w:r>
        <w:rPr>
          <w:lang w:val="pt-PT"/>
        </w:rPr>
        <w:t>5.5 Gestão de parâmetros, versões e expansão</w:t>
      </w:r>
    </w:p>
    <w:p>
      <w:pPr>
        <w:pStyle w:val="Heading3"/>
        <w:bidi w:val="0"/>
        <w:jc w:val="left"/>
        <w:rPr>
          <w:lang w:val="pt-PT"/>
        </w:rPr>
      </w:pPr>
      <w:r>
        <w:rPr>
          <w:lang w:val="pt-PT"/>
        </w:rPr>
      </w:r>
    </w:p>
    <w:p>
      <w:pPr>
        <w:pStyle w:val="Normal"/>
        <w:bidi w:val="0"/>
        <w:jc w:val="left"/>
        <w:rPr>
          <w:lang w:val="pt-PT"/>
        </w:rPr>
      </w:pPr>
      <w:r>
        <w:rPr>
          <w:lang w:val="pt-PT"/>
        </w:rPr>
        <w:t>Controlar parâmetros constitui uma das condições centrais para transformar um modelo paramétrico num sistema utilizável e persistente. No caso da plataforma desenvolvida, essa gestão é operacionalizada através de ficheiros de configuração que descrevem cada parâmetro segundo atributos como nome, tipo, valor inicial, limites, incrementos e agrupamento temático. Esta estrutura não cumpre apenas uma função técnica de leitura na interface; formaliza a relação entre o código OpenSCAD, o espaço de variação permitido e os mecanismos de controlo disponibilizados ao utilizador. Em termos metodológicos, esta opção aproxima-se da lógica descrita na literatura sobre configuradores e personalização digital, segundo a qual a eficácia do sistema depende da capacidade de expor apenas parâmetros relevantes, dentro de limites inteligíveis e controlados, preservando a coerência interna do modelo-base (Ozdemir et al., 2022 (#ref-ozdemir-2022); Lei et al., 2016 (#ref-lei-2016)).</w:t>
      </w:r>
    </w:p>
    <w:p>
      <w:pPr>
        <w:pStyle w:val="Normal"/>
        <w:bidi w:val="0"/>
        <w:jc w:val="left"/>
        <w:rPr/>
      </w:pPr>
      <w:r>
        <w:rPr>
          <w:lang w:val="pt-PT"/>
        </w:rPr>
        <w:t xml:space="preserve">Ao descrever os parâmetros em estruturas independentes do código geométrico principal, a plataforma obtém duas vantagens. A primeira é a rastreabilidade: torna-se possível saber quais variáveis são editáveis, quais são os seus intervalos válidos e como se articulam com a interface. </w:t>
      </w:r>
      <w:r>
        <w:rPr/>
        <w:t xml:space="preserve">A segunda vantagem reside na possibilidade de adaptar a estrutura do próprio sistema: parâmetros podem ser adicionados, removidos ou ajustados sem que seja necessário reescrever integralmente a lógica de interação. Assim, a gestão de parâmetros funciona como uma camada intermédia entre a definição geométrica e a experiência de uso, permitindo que o modelo permaneça tecnicamente explícito sem exigir que o utilizador interaja diretamente com a sua sintaxe interna. </w:t>
      </w:r>
    </w:p>
    <w:p>
      <w:pPr>
        <w:pStyle w:val="Normal"/>
        <w:bidi w:val="0"/>
        <w:jc w:val="left"/>
        <w:rPr/>
      </w:pPr>
      <w:r>
        <w:rPr>
          <w:lang w:val="pt-PT"/>
        </w:rPr>
        <w:t>A gestão de versões manifesta-se, neste estágio do projeto, sobretudo por meio do armazenamento de configurações salvas. A plataforma permite conservar diferentes conjuntos de parâmetros associados ao mesmo modelo, atribuindo-lhes identificação própria, notas descritivas e associação a um utilizador específico. E</w:t>
      </w:r>
      <w:r>
        <w:rPr/>
        <w:t>mbora esta solução ainda não corresponda a um sistema completo de gestão de versões, como os utilizados no desenvolvimento de software, já suporta uma função relevante para o processo de projeto: acompanhar a configuração ao longo do tempo, preservar variantes e permitir a comparação entre estados sucessivos do mesmo artefacto.</w:t>
      </w:r>
      <w:r>
        <w:rPr>
          <w:lang w:val="pt-PT"/>
        </w:rPr>
        <w:t xml:space="preserve"> Cada configuração registada pode, assim, ser entendida como uma instância rastreável do processo de personalização, e não apenas como um ficheiro transitório. Esta capacidade é particularmente importante num contexto em que a personalização não é um ato único, mas uma sequência de aproximações, testes e revisões.</w:t>
      </w:r>
    </w:p>
    <w:p>
      <w:pPr>
        <w:pStyle w:val="Normal"/>
        <w:bidi w:val="0"/>
        <w:jc w:val="left"/>
        <w:rPr>
          <w:lang w:val="pt-PT"/>
        </w:rPr>
      </w:pPr>
      <w:r>
        <w:rPr>
          <w:lang w:val="pt-PT"/>
        </w:rPr>
        <w:t xml:space="preserve">Do ponto de vista funcional, a persistência dessas configurações em estruturas </w:t>
      </w:r>
      <w:commentRangeStart w:id="20"/>
      <w:r>
        <w:rPr>
          <w:lang w:val="pt-PT"/>
        </w:rPr>
        <w:t>JSON</w:t>
      </w:r>
      <w:r>
        <w:rPr>
          <w:lang w:val="pt-PT"/>
        </w:rPr>
      </w:r>
      <w:commentRangeEnd w:id="20"/>
      <w:r>
        <w:commentReference w:id="20"/>
      </w:r>
      <w:r>
        <w:rPr>
          <w:lang w:val="pt-PT"/>
        </w:rPr>
        <w:t xml:space="preserve"> associadas a modelos e utilizadores reforça a continuidade entre interação,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caráter experimental da plataforma: ainda não pretende substituir mecanismos mais sofisticados de gestão de revisões, mas fornece uma base suficiente para sustentar o acompanhamento iterativo do desenvolvimento e a análise reflexiva do processo.</w:t>
      </w:r>
    </w:p>
    <w:p>
      <w:pPr>
        <w:pStyle w:val="BodyText"/>
        <w:bidi w:val="0"/>
        <w:jc w:val="left"/>
        <w:rPr/>
      </w:pPr>
      <w:r>
        <w:rPr>
          <w:lang w:val="pt-PT"/>
        </w:rPr>
        <w:t xml:space="preserve">Quanto à capacidade de expansão, a plataforma beneficia de uma arquitetura modular e orientada por ficheiros de configuração. A separação entre modelos, parâmetros, interface, autenticação e persistência permite acrescentar novos modelos em OpenSCAD, novos tipos de parâmetros ou novas rotinas de apoio sem reestruturar integralmente a aplicação. </w:t>
      </w:r>
      <w:r>
        <w:rPr/>
        <w:t>Na prática, a introdução de um novo modelo exige sobretudo a adição do ficheiro .scad correspondente e o seu registo no ficheiro de configuração dos modelos (models-config.json). Esta estrutura evidencia uma lógica de expansão baseada menos na duplicação de código e mais na extensão controlada da plataforma.</w:t>
      </w:r>
      <w:r>
        <w:rPr>
          <w:lang w:val="pt-PT"/>
        </w:rPr>
        <w:t xml:space="preserve"> Esta característica é consistente com a literatura sobre sistemas paramétricos e famílias de produto, que associa robustez e expansão sustentável à qualidade das estruturas relacionais, e não ao aumento indiscriminado de opções ou de módulos independentes (Lei et al., 2016 (#ref-lei-2016); Ozdemir et al., 2022 (#ref-ozdemir-2022)).</w:t>
      </w:r>
    </w:p>
    <w:p>
      <w:pPr>
        <w:pStyle w:val="Normal"/>
        <w:bidi w:val="0"/>
        <w:jc w:val="left"/>
        <w:rPr>
          <w:lang w:val="pt-PT"/>
        </w:rPr>
      </w:pPr>
      <w:r>
        <w:rPr>
          <w:lang w:val="pt-PT"/>
        </w:rPr>
        <w:t>Todavia, esta lógica de expansão deve ser analisada criticamente.</w:t>
      </w:r>
    </w:p>
    <w:p>
      <w:pPr>
        <w:pStyle w:val="BodyText"/>
        <w:bidi w:val="0"/>
        <w:jc w:val="left"/>
        <w:rPr>
          <w:lang w:val="pt-PT"/>
        </w:rPr>
      </w:pPr>
      <w:r>
        <w:rPr>
          <w:lang w:val="pt-PT"/>
        </w:rPr>
        <w:t xml:space="preserve">O recurso ao </w:t>
      </w:r>
      <w:commentRangeStart w:id="21"/>
      <w:r>
        <w:rPr>
          <w:lang w:val="pt-PT"/>
        </w:rPr>
        <w:t>SQLite</w:t>
      </w:r>
      <w:r>
        <w:rPr>
          <w:lang w:val="pt-PT"/>
        </w:rPr>
      </w:r>
      <w:commentRangeEnd w:id="21"/>
      <w:r>
        <w:commentReference w:id="21"/>
      </w:r>
      <w:r>
        <w:rPr>
          <w:lang w:val="pt-PT"/>
        </w:rPr>
        <w:t xml:space="preserve"> é adequado a um protótipo funcional com um número reduzido ou moderado de acessos simultâneos, mas poderá revelar limitações em cenários de utilização mais intensiva, com maior volume de configurações, operações frequentes de leitura e escrita ou necessidades mais exigentes de auditoria e sincronização.</w:t>
      </w:r>
    </w:p>
    <w:p>
      <w:pPr>
        <w:pStyle w:val="BodyText"/>
        <w:bidi w:val="0"/>
        <w:jc w:val="left"/>
        <w:rPr/>
      </w:pPr>
      <w:r>
        <w:rPr>
          <w:lang w:val="pt-PT"/>
        </w:rPr>
        <w:t xml:space="preserve">De forma semelhante, a renderização local via WASM, embora eficaz em muitos contextos, depende do desempenho do dispositivo do utilizador, o que introduz variabilidade na experiência e impõe limites ao crescimento indiscriminado da complexidade geométrica. </w:t>
      </w:r>
      <w:r>
        <w:rPr/>
        <w:t>Para além da integração de novas funcionalidades ou modelos, a expansão da plataforma depende da capacidade de sustentar esse crescimento sem comprometer a clareza da organização interna, o desempenho, a segurança e a facilidade de manutenção do sistema.</w:t>
      </w:r>
    </w:p>
    <w:p>
      <w:pPr>
        <w:pStyle w:val="BodyText"/>
        <w:bidi w:val="0"/>
        <w:jc w:val="left"/>
        <w:rPr/>
      </w:pPr>
      <w:r>
        <w:rPr/>
        <w:t>Neste sentido, a secção confirma uma conclusão importante para o projeto: a gestão de parâmetros, de configurações e da expansão futura integra a própria lógica de design da plataforma. A capacidade de configuração, a persistência e o crescimento controlado sustentam uma personalização paramétrica tecnicamente viável, documentável e sujeita a revisão ao longo do desenvolvimento.</w:t>
      </w:r>
    </w:p>
    <w:p>
      <w:pPr>
        <w:pStyle w:val="Normal"/>
        <w:bidi w:val="0"/>
        <w:jc w:val="left"/>
        <w:rPr>
          <w:highlight w:val="none"/>
          <w:shd w:fill="FFFF00" w:val="clear"/>
          <w:lang w:val="pt-PT"/>
        </w:rPr>
      </w:pPr>
      <w:r>
        <w:rPr>
          <w:shd w:fill="FFFF00" w:val="clear"/>
          <w:lang w:val="pt-PT"/>
        </w:rPr>
      </w:r>
    </w:p>
    <w:p>
      <w:pPr>
        <w:pStyle w:val="Heading2"/>
        <w:bidi w:val="0"/>
        <w:jc w:val="left"/>
        <w:rPr>
          <w:lang w:val="pt-PT"/>
        </w:rPr>
      </w:pPr>
      <w:r>
        <w:rPr>
          <w:lang w:val="pt-PT"/>
        </w:rPr>
      </w:r>
    </w:p>
    <w:p>
      <w:pPr>
        <w:pStyle w:val="Heading2"/>
        <w:bidi w:val="0"/>
        <w:jc w:val="left"/>
        <w:rPr>
          <w:lang w:val="pt-PT"/>
        </w:rPr>
      </w:pPr>
      <w:r>
        <w:rPr>
          <w:lang w:val="pt-PT"/>
        </w:rPr>
        <w:t>Capítulo 6 — Integração da Inteligência Artificial</w:t>
      </w:r>
    </w:p>
    <w:p>
      <w:pPr>
        <w:pStyle w:val="Heading3"/>
        <w:bidi w:val="0"/>
        <w:jc w:val="left"/>
        <w:rPr>
          <w:lang w:val="pt-PT"/>
        </w:rPr>
      </w:pPr>
      <w:r>
        <w:rPr>
          <w:lang w:val="pt-PT"/>
        </w:rPr>
      </w:r>
    </w:p>
    <w:p>
      <w:pPr>
        <w:pStyle w:val="Heading3"/>
        <w:bidi w:val="0"/>
        <w:jc w:val="left"/>
        <w:rPr>
          <w:lang w:val="pt-PT"/>
        </w:rPr>
      </w:pPr>
      <w:r>
        <w:rPr>
          <w:lang w:val="pt-PT"/>
        </w:rPr>
        <w:t xml:space="preserve">6.1 Papel da </w:t>
      </w:r>
      <w:commentRangeStart w:id="22"/>
      <w:r>
        <w:rPr>
          <w:lang w:val="pt-PT"/>
        </w:rPr>
        <w:t>IA</w:t>
      </w:r>
      <w:r>
        <w:rPr>
          <w:lang w:val="pt-PT"/>
        </w:rPr>
      </w:r>
      <w:commentRangeEnd w:id="22"/>
      <w:r>
        <w:commentReference w:id="22"/>
      </w:r>
      <w:r>
        <w:rPr>
          <w:lang w:val="pt-PT"/>
        </w:rPr>
        <w:t xml:space="preserve"> no sistema proposto</w:t>
      </w:r>
    </w:p>
    <w:p>
      <w:pPr>
        <w:pStyle w:val="Normal"/>
        <w:bidi w:val="0"/>
        <w:jc w:val="left"/>
        <w:rPr>
          <w:lang w:val="pt-PT"/>
        </w:rPr>
      </w:pPr>
      <w:r>
        <w:rPr>
          <w:lang w:val="pt-PT"/>
        </w:rPr>
      </w:r>
    </w:p>
    <w:p>
      <w:pPr>
        <w:pStyle w:val="Normal"/>
        <w:bidi w:val="0"/>
        <w:jc w:val="left"/>
        <w:rPr>
          <w:lang w:val="pt-PT"/>
        </w:rPr>
      </w:pPr>
      <w:r>
        <w:rPr>
          <w:lang w:val="pt-PT"/>
        </w:rPr>
        <w:t>No sistema desenvolvido, a IA assume uma função distinta daquela que surge com maior frequência nos estudos sobre próteses. Enquanto grande parte da investigação consultada se concentra em tarefas de controlo, interpretação de biosinais, reconhecimento de gestos e adaptação funcional, esta investigação explora a IA como camada de apoio à configuração paramétrica, articulada com dados antropométricos, modelos geométricos explícitos e interface web.</w:t>
      </w:r>
    </w:p>
    <w:p>
      <w:pPr>
        <w:pStyle w:val="Normal"/>
        <w:bidi w:val="0"/>
        <w:jc w:val="left"/>
        <w:rPr>
          <w:lang w:val="pt-PT"/>
        </w:rPr>
      </w:pPr>
      <w:r>
        <w:rPr>
          <w:lang w:val="pt-PT"/>
        </w:rPr>
        <w:t xml:space="preserve">Os estudos consultados indicam que, no caso das próteses de membro superior, a aprendizagem automática tem sido aplicada sobretudo à classificação de sinais </w:t>
      </w:r>
      <w:commentRangeStart w:id="23"/>
      <w:r>
        <w:rPr>
          <w:lang w:val="pt-PT"/>
        </w:rPr>
        <w:t>EMG</w:t>
      </w:r>
      <w:r>
        <w:rPr>
          <w:lang w:val="pt-PT"/>
        </w:rPr>
      </w:r>
      <w:commentRangeEnd w:id="23"/>
      <w:r>
        <w:commentReference w:id="23"/>
      </w:r>
      <w:r>
        <w:rPr>
          <w:lang w:val="pt-PT"/>
        </w:rPr>
        <w:t>, à inferência de intenção motora, isto é, à interpretação dos sinais corporais que permitem estimar o movimento que o utilizador pretende realizar, e à melhoria do desempenho operativo do dispositivo (Choo e Chang, 2023; Terrazas-Rodas e Carrión-Pérez, 2022; Hachoumi, Laabidi e Eddabbah, 2026; Batista, Vieira e Gaspar, 2025).</w:t>
      </w:r>
    </w:p>
    <w:p>
      <w:pPr>
        <w:pStyle w:val="Normal"/>
        <w:bidi w:val="0"/>
        <w:jc w:val="left"/>
        <w:rPr/>
      </w:pPr>
      <w:r>
        <w:rPr>
          <w:lang w:val="pt-PT"/>
        </w:rPr>
        <w:t xml:space="preserve">Em contrapartida, continuam pouco consolidadas as abordagens que articulam, no mesmo sistema, a entrada antropométrica, o modelo paramétrico explícito, a sugestão assistida de parâmetros e a supervisão técnica. </w:t>
      </w:r>
      <w:r>
        <w:rPr/>
        <w:t>Esta lacuna é central para a presente investigação, pois permite situar a proposta como uma articulação entre componentes que os estudos consultados tendem a desenvolver de forma fragmentada.</w:t>
      </w:r>
    </w:p>
    <w:p>
      <w:pPr>
        <w:pStyle w:val="Normal"/>
        <w:bidi w:val="0"/>
        <w:jc w:val="left"/>
        <w:rPr>
          <w:lang w:val="pt-PT"/>
        </w:rPr>
      </w:pPr>
      <w:r>
        <w:rPr>
          <w:lang w:val="pt-PT"/>
        </w:rPr>
        <w:t xml:space="preserve">Neste enquadramento, a IA assume a função de camada complementar de apoio à configuração, operando sobre uma base paramétrica já definida e articulando-se com a lógica geométrica do modelo, a decisão de projeto e a validação técnica. A literatura sobre modelação paramétrica aplicada a próteses personalizadas e sobre fabrico aditivo mostra que há um fundamento técnico robusto para construir geometrias configuráveis com base em regras explícitas, parâmetros dimensionais e relações geométricas controladas. </w:t>
      </w:r>
      <w:r>
        <w:rPr/>
        <w:t>Estudos sobre próteses paramétricas para diferentes níveis de amputação de membros superiores, sobre a personalização de dedos protésicos por modelação paramétrica e sobre encaixes protésicos personalizados para próteses transradiais demonstram que a personalização pode ser estruturada através de modelos explícitos e fluxos CAD/CAM ajustáveis.</w:t>
      </w:r>
      <w:r>
        <w:rPr>
          <w:lang w:val="pt-PT"/>
        </w:rPr>
        <w:t xml:space="preserve"> (da Silveira Romero et al., 2025 (#ref-da-silveira-romero-2025); Lim et al., 2018 (#ref-lim-2018); Saldarriaga et al., 2024 (#ref-saldarriaga-2024)). </w:t>
      </w:r>
      <w:commentRangeStart w:id="24"/>
      <w:r>
        <w:rPr>
          <w:shd w:fill="FFFF00" w:val="clear"/>
          <w:lang w:val="pt-PT"/>
        </w:rPr>
        <w:t>O sistema aqui proposto parte precisamente desta premissa: a geometria não é gerada de forma opaca por um modelo autónomo, mas sim por um modelo paramétrico explícito, definido em OpenSCAD e manipulável por meio de parâmetros rastreáveis.</w:t>
      </w:r>
      <w:commentRangeEnd w:id="24"/>
      <w:r>
        <w:commentReference w:id="24"/>
      </w:r>
      <w:r>
        <w:rPr>
          <w:shd w:fill="FFFF00" w:val="clear"/>
          <w:lang w:val="pt-PT"/>
        </w:rPr>
      </w:r>
    </w:p>
    <w:p>
      <w:pPr>
        <w:pStyle w:val="Normal"/>
        <w:bidi w:val="0"/>
        <w:jc w:val="left"/>
        <w:rPr>
          <w:lang w:val="pt-PT"/>
        </w:rPr>
      </w:pPr>
      <w:r>
        <w:rPr>
          <w:lang w:val="pt-PT"/>
        </w:rPr>
        <w:t>É neste ponto que a IA assume uma função específica. Em vez de atuar como gerador integral da forma, atua como um mecanismo de mediação entre os dados de entrada e a exploração inicial do espaço paramétrico. O seu papel é apoiar a tradução de informação antropométrica, de preferências funcionais e de critérios de fabrico em sugestões paramétricas plausíveis, reduzindo a complexidade associada à definição manual de valores iniciais e à navegação em sistemas com múltiplas dependências internas. Esta posição aproxima-se de abordagen</w:t>
      </w:r>
      <w:r>
        <w:rPr>
          <w:shd w:fill="FFFF00" w:val="clear"/>
          <w:lang w:val="pt-PT"/>
        </w:rPr>
        <w:t xml:space="preserve">s </w:t>
      </w:r>
      <w:commentRangeStart w:id="25"/>
      <w:r>
        <w:rPr>
          <w:i/>
          <w:iCs/>
          <w:shd w:fill="FFFF00" w:val="clear"/>
          <w:lang w:val="pt-PT"/>
        </w:rPr>
        <w:t>data-driven</w:t>
      </w:r>
      <w:r>
        <w:rPr>
          <w:i/>
          <w:iCs/>
          <w:shd w:fill="FFFF00" w:val="clear"/>
          <w:lang w:val="pt-PT"/>
        </w:rPr>
      </w:r>
      <w:commentRangeEnd w:id="25"/>
      <w:r>
        <w:commentReference w:id="25"/>
      </w:r>
      <w:r>
        <w:rPr>
          <w:lang w:val="pt-PT"/>
        </w:rPr>
        <w:t xml:space="preserve"> orientadas a melhorar a adaptação, o conforto e a adequação estrutural, sem eliminar a necessidade de interpretação humana (Gu et al., 2024 (#ref-gu-2024)).</w:t>
      </w:r>
    </w:p>
    <w:p>
      <w:pPr>
        <w:pStyle w:val="Normal"/>
        <w:bidi w:val="0"/>
        <w:jc w:val="left"/>
        <w:rPr>
          <w:lang w:val="pt-PT"/>
        </w:rPr>
      </w:pPr>
      <w:r>
        <w:rPr>
          <w:lang w:val="pt-PT"/>
        </w:rPr>
        <w:t>No processo de desenvolvimento, a IA funciona como uma ferramenta de apoio à decisão e à iteração: propõe pontos de partida, ajuda a comparar cenários, acelera os ciclos de teste e permanece articulada com a estrutura técnica do sistema.</w:t>
      </w:r>
    </w:p>
    <w:p>
      <w:pPr>
        <w:pStyle w:val="Normal"/>
        <w:bidi w:val="0"/>
        <w:jc w:val="left"/>
        <w:rPr>
          <w:lang w:val="pt-PT"/>
        </w:rPr>
      </w:pPr>
      <w:r>
        <w:rPr>
          <w:lang w:val="pt-PT"/>
        </w:rPr>
        <w:t xml:space="preserve">Entre os antecedentes mais próximos desta lógica encontram-se trabalhos que combinam personalização anatómica, modelação paramétrica, fabrico aditivo e componentes inteligentes, como o estudo de Romero et al. (2025) (#ref-da-silveira-romero-2025), </w:t>
      </w:r>
      <w:r>
        <w:rPr/>
        <w:t>bem como modelos de otimização estrutural orientados por dados anatómicos e restrições de adaptação, como o proposto por Gu et al. (2024) (#ref-gu-2024).</w:t>
      </w:r>
    </w:p>
    <w:p>
      <w:pPr>
        <w:pStyle w:val="Normal"/>
        <w:bidi w:val="0"/>
        <w:jc w:val="left"/>
        <w:rPr>
          <w:lang w:val="pt-PT"/>
        </w:rPr>
      </w:pPr>
      <w:r>
        <w:rPr>
          <w:lang w:val="pt-PT"/>
        </w:rPr>
        <w:t>Esta leitura é coerente com a arquitetura da plataforma descrita no capítulo anterior. O sistema separa a camada de interface, a lógica paramétrica, a renderização local em WebAssembly e a comunicação controlada com serviços externos de IA. Tal organização é metodologicamente relevante porque preserva uma continuidade verificável entre a entrada inicial, a sugestão produzida pela IA e o resultado geométrico gerado pelo modelo. Em vez de encerrar o processo num modelo generativo pouco transparente, o sistema mantém a IA supervisionado e num estado de apoio: sugere, mas não determina autonomamente; apoia, mas não valida; acelera, mas não substitui o julgamento técnico. Esta opção é importante, considerando que a supervisão clínica ou técnica permanece limitada em vários estudos que já articulam modelação digital, CAD, IA, co-design assistido ou impressão 3D (Romero et al., 2025 (#ref-da-silveira-romero-2025); Elbreki et al., 2022 (#ref-elbreki-2022); Idris et al., 2024 (#ref-idris-2024)). O valor da IA reside na sua capacidade de reforçar um processo de personalização já estruturado por lógica paramétrica explícita, por requisitos de fabrico e por responsabilidade humana e menos na promessa de automatização total.</w:t>
      </w:r>
    </w:p>
    <w:p>
      <w:pPr>
        <w:pStyle w:val="Normal"/>
        <w:bidi w:val="0"/>
        <w:jc w:val="left"/>
        <w:rPr>
          <w:lang w:val="pt-PT"/>
        </w:rPr>
      </w:pPr>
      <w:r>
        <w:rPr>
          <w:lang w:val="pt-PT"/>
        </w:rPr>
      </w:r>
    </w:p>
    <w:p>
      <w:pPr>
        <w:pStyle w:val="Heading3"/>
        <w:bidi w:val="0"/>
        <w:jc w:val="left"/>
        <w:rPr>
          <w:lang w:val="pt-PT"/>
        </w:rPr>
      </w:pPr>
      <w:r>
        <w:rPr>
          <w:lang w:val="pt-PT"/>
        </w:rPr>
        <w:t>6.2 IA na parametrização, personalização e apoio à decisão</w:t>
      </w:r>
    </w:p>
    <w:p>
      <w:pPr>
        <w:pStyle w:val="Heading3"/>
        <w:bidi w:val="0"/>
        <w:jc w:val="left"/>
        <w:rPr>
          <w:lang w:val="pt-PT"/>
        </w:rPr>
      </w:pPr>
      <w:r>
        <w:rPr>
          <w:lang w:val="pt-PT"/>
        </w:rPr>
      </w:r>
    </w:p>
    <w:p>
      <w:pPr>
        <w:pStyle w:val="Normal"/>
        <w:bidi w:val="0"/>
        <w:jc w:val="left"/>
        <w:rPr>
          <w:lang w:val="pt-PT"/>
        </w:rPr>
      </w:pPr>
      <w:r>
        <w:rPr>
          <w:lang w:val="pt-PT"/>
        </w:rPr>
        <w:t xml:space="preserve">No domínio da parametrização, a inteligência artificial torna-se mais relevante quando opera sobre uma estrutura geométrica previamente formalizada, em vez de tentar substituí-la. Em sistemas como o aqui proposto, isso significa receber dados antropométricos, requisitos funcionais e restrições de fabrico e convertê-los em sugestões iniciais para os parâmetros já definidos no modelo. A literatura sobre próteses paramétricas e personalização anatómica mostra que a customização eficaz depende de relações explícitas entre medidas, proporções e componentes geométricos, e não apenas da introdução isolada de valores numéricos (Saldarriaga et al., 2024 (#ref-saldarriaga-2024); da Silveira Romero et al., 2025 (#ref-da-silveira-romero-2025)). </w:t>
      </w:r>
      <w:r>
        <w:rPr/>
        <w:t>Neste enquadramento, a IA amplia a capacidade de utilização do modelo paramétrico, ajudando a propor intervalos plausíveis, combinações coerentes entre variáveis e pontos de partida mais ajustados ao caso específico.</w:t>
      </w:r>
    </w:p>
    <w:p>
      <w:pPr>
        <w:pStyle w:val="Normal"/>
        <w:bidi w:val="0"/>
        <w:jc w:val="left"/>
        <w:rPr>
          <w:lang w:val="pt-PT"/>
        </w:rPr>
      </w:pPr>
      <w:r>
        <w:rPr>
          <w:lang w:val="pt-PT"/>
        </w:rPr>
        <w:t xml:space="preserve">No plano da personalização, esta mediação é importante porque a adaptação de uma prótese exige o controlo independente de diferentes parâmetros anatómicos, funcionais e construtivos, ultrapassando a simples alteração proporcional da escala do modelo. A literatura indica que diferentes parâmetros podem ter de ser controlados de forma independente para respeitar as proporções anatómicas, o conforto, a mobilidade e os requisitos de montagem. </w:t>
      </w:r>
      <w:r>
        <w:rPr/>
        <w:t>O estudo de Lim et al. (2018) (#ref-lim-2018), por exemplo, demonstra que o comprimento e a largura de um dedo protésico podem exigir ajustamentos independentes, uma vez que não evoluem necessariamente segundo uma relação linear e proporcional. Este resultado reforça a necessidade de parametrizações mais precisas do que simples operações de escala.</w:t>
      </w:r>
    </w:p>
    <w:p>
      <w:pPr>
        <w:pStyle w:val="Normal"/>
        <w:bidi w:val="0"/>
        <w:jc w:val="left"/>
        <w:rPr>
          <w:lang w:val="pt-PT"/>
        </w:rPr>
      </w:pPr>
      <w:r>
        <w:rPr>
          <w:lang w:val="pt-PT"/>
        </w:rPr>
      </w:r>
    </w:p>
    <w:p>
      <w:pPr>
        <w:pStyle w:val="Normal"/>
        <w:bidi w:val="0"/>
        <w:jc w:val="left"/>
        <w:rPr>
          <w:lang w:val="pt-PT"/>
        </w:rPr>
      </w:pPr>
      <w:r>
        <w:rPr>
          <w:lang w:val="pt-PT"/>
        </w:rPr>
        <w:t>De forma convergente, Gu et al. (2024) (#ref-gu-2024) mostram que abordagens orientadas por dados podem apoiar a adaptação estrutural e a qualidade do ajuste ao corpo, sugerindo que métodos inteligentes podem ajudar a antecipar relações entre geometria, desempenho e conforto. No sistema proposto, a IA funciona, assim, como uma camada de inferência preliminar sobre um espaço paramétrico já estruturado, orientando a exploração inicial das configurações.</w:t>
      </w:r>
    </w:p>
    <w:p>
      <w:pPr>
        <w:pStyle w:val="Normal"/>
        <w:bidi w:val="0"/>
        <w:jc w:val="left"/>
        <w:rPr>
          <w:lang w:val="pt-PT"/>
        </w:rPr>
      </w:pPr>
      <w:r>
        <w:rPr>
          <w:lang w:val="pt-PT"/>
        </w:rPr>
        <w:t>A operacionalização desta lógica ocorre em dois objetos distintos. O primeiro é um vetor numérico de parâmetros geométricos, consumido diretamente pela interface e pelos modelos OpenSCAD. O segundo é um contexto semântico para a IA, que descreve a origem das medições, campos em falta, incerteza, valores atípicos, tolerâncias, hardware selecionado e notas sobre parâmetros derivados. Esta separação é importante porque impede confundir cálculo geométrico com raciocínio assistido: os parâmetros numéricos alimentam o modelo; o contexto semântico ajuda a IA a explicar, ponderar ou sugerir ajustes, mas não substitui as regras determinísticas que geram a geometria.</w:t>
      </w:r>
    </w:p>
    <w:p>
      <w:pPr>
        <w:pStyle w:val="Normal"/>
        <w:bidi w:val="0"/>
        <w:jc w:val="left"/>
        <w:rPr>
          <w:lang w:val="pt-PT"/>
        </w:rPr>
      </w:pPr>
      <w:r>
        <w:rPr>
          <w:lang w:val="pt-PT"/>
        </w:rPr>
        <w:t>No protótipo implementado, esta separação é materializada pela construção dinâmica do pedido enviado ao modelo de linguagem. O pedido inclui a descrição livre do utilizador, o esquema vivo do modelo selecionado, os nomes exatos dos parâmetros, as legendas, os tipos, os limites e os valores correntes. Quando existe correspondência com um perfil populacional importado, inclui também as médias medidas desse grupo como referência explícita. Deste modo, a IA não infere valores num espaço aberto: opera dentro de uma gramática paramétrica previamente declarada, limitada pelo modelo ativo e sujeita a filtragem posterior pela aplicação.</w:t>
      </w:r>
    </w:p>
    <w:p>
      <w:pPr>
        <w:pStyle w:val="Normal"/>
        <w:bidi w:val="0"/>
        <w:jc w:val="left"/>
        <w:rPr>
          <w:lang w:val="pt-PT"/>
        </w:rPr>
      </w:pPr>
      <w:r>
        <w:rPr>
          <w:lang w:val="pt-PT"/>
        </w:rPr>
        <w:t>O apoio à decisão emerge precisamente desta capacidade de transformar dados de entrada em cenários comparáveis. Em vez de produzir uma única configuração apresentada como “ótima”, a integração da IA revela maior utilidade quando ajuda a explicitar compromissos entre robustez, leveza, amplitude de ajuste, rapidez de fabrico, facilidade de montagem e adequação anatómica. Esta lógica está alinhada com exemplos recentes de integração entre digitalização, modelação paramétrica, fabrico aditivo e sistemas inteligentes, como o trabalho de Romero et al. (2025) (#ref-da-silveira-romero-2025), ainda que aí a componente de IA esteja mais ligada ao controlo mioelétrico do que à sugestão paramétrica em ambiente web. A pertinência desse precedente reside menos na equivalência técnica direta e mais no facto de mostrar que a personalização digital e a camada inteligente podem coexistir no mesmo fluxo, desde que cada componente mantenha uma função claramente delimitada.</w:t>
      </w:r>
    </w:p>
    <w:p>
      <w:pPr>
        <w:pStyle w:val="Normal"/>
        <w:bidi w:val="0"/>
        <w:jc w:val="left"/>
        <w:rPr>
          <w:lang w:val="pt-PT"/>
        </w:rPr>
      </w:pPr>
      <w:r>
        <w:rPr>
          <w:lang w:val="pt-PT"/>
        </w:rPr>
        <w:t xml:space="preserve">É por isso que, nesta investigação, a personalização assistida por IA deve ser entendida como uma prática de </w:t>
      </w:r>
      <w:commentRangeStart w:id="26"/>
      <w:r>
        <w:rPr>
          <w:i/>
          <w:iCs/>
          <w:lang w:val="pt-PT"/>
        </w:rPr>
        <w:t>human-in-the-loop.</w:t>
      </w:r>
      <w:r>
        <w:rPr>
          <w:i/>
          <w:iCs/>
          <w:lang w:val="pt-PT"/>
        </w:rPr>
      </w:r>
      <w:commentRangeEnd w:id="26"/>
      <w:r>
        <w:commentReference w:id="26"/>
      </w:r>
      <w:r>
        <w:rPr/>
        <w:t xml:space="preserve">O sistema procura ampliar a capacidade de análise e de exploração do protesista, do designer ou do utilizador informado. A IA pode sugerir configurações iniciais, organizar alternativas, sinalizar dependências entre parâmetros e tornar mais claras certas consequências de projeto, </w:t>
      </w:r>
      <w:r>
        <w:rPr>
          <w:lang w:val="pt-PT"/>
        </w:rPr>
        <w:t>a aceitação final, porém, continua dependente de verificação técnica e de julgamento contextual. Deste modo, a parametrização assistida por IA não corresponde a uma automatização cega da personalização, mas a um mecanismo de apoio à decisão que atua sobre uma base geométrica explícita, rastreável e tecnicamente verificável.</w:t>
      </w:r>
    </w:p>
    <w:p>
      <w:pPr>
        <w:pStyle w:val="Normal"/>
        <w:bidi w:val="0"/>
        <w:jc w:val="left"/>
        <w:rPr>
          <w:lang w:val="pt-PT"/>
        </w:rPr>
      </w:pPr>
      <w:r>
        <w:rPr>
          <w:lang w:val="pt-PT"/>
        </w:rPr>
      </w:r>
    </w:p>
    <w:p>
      <w:pPr>
        <w:pStyle w:val="Heading3"/>
        <w:bidi w:val="0"/>
        <w:jc w:val="left"/>
        <w:rPr>
          <w:lang w:val="pt-PT"/>
        </w:rPr>
      </w:pPr>
      <w:r>
        <w:rPr>
          <w:lang w:val="pt-PT"/>
        </w:rPr>
        <w:t>6.3 Validação antropométrica assistida por IA no sistema</w:t>
      </w:r>
    </w:p>
    <w:p>
      <w:pPr>
        <w:pStyle w:val="Heading3"/>
        <w:bidi w:val="0"/>
        <w:jc w:val="left"/>
        <w:rPr>
          <w:lang w:val="pt-PT"/>
        </w:rPr>
      </w:pPr>
      <w:r>
        <w:rPr>
          <w:lang w:val="pt-PT"/>
        </w:rPr>
      </w:r>
    </w:p>
    <w:p>
      <w:pPr>
        <w:pStyle w:val="Normal"/>
        <w:bidi w:val="0"/>
        <w:jc w:val="left"/>
        <w:rPr>
          <w:lang w:val="pt-PT"/>
        </w:rPr>
      </w:pPr>
      <w:r>
        <w:rPr>
          <w:lang w:val="pt-PT"/>
        </w:rPr>
        <w:t xml:space="preserve">A validação antropométrica assistida por IA realizada no sistema deve ser entendida como validação interna de plausibilidade e de coerência paramétrica, não como validação clínica da prótese final.  </w:t>
      </w:r>
      <w:r>
        <w:rPr/>
        <w:t>O objetivo consistiu em avaliar se uma descrição em linguagem natural, produzida por uma pessoa sem conhecimento especializado sobre medições da mão, poderia ser convertida num conjunto inicial de parâmetros anatómica e tecnicamente plausível. Esta formulação delimita o alcance da validação realizada: a plataforma permite verificar a conformidade com o esquema de parâmetros, os intervalos declarados, a proporcionalidade digital e a coerência de lateralidade, mas a demonstração de conforto, segurança, desempenho funcional ou adequação terapêutica exige avaliação técnica e clínica posterior.</w:t>
      </w:r>
    </w:p>
    <w:p>
      <w:pPr>
        <w:pStyle w:val="Normal"/>
        <w:bidi w:val="0"/>
        <w:jc w:val="left"/>
        <w:rPr>
          <w:lang w:val="pt-PT"/>
        </w:rPr>
      </w:pPr>
      <w:r>
        <w:rPr>
          <w:lang w:val="pt-PT"/>
        </w:rPr>
        <w:t xml:space="preserve">O ensaio foi estruturado a partir da cadeia funcional implementada na plataforma: descrição livre do caso, construção do pedido no </w:t>
      </w:r>
      <w:r>
        <w:rPr>
          <w:i/>
          <w:iCs/>
          <w:lang w:val="pt-PT"/>
        </w:rPr>
        <w:t>frontend</w:t>
      </w:r>
      <w:r>
        <w:rPr>
          <w:lang w:val="pt-PT"/>
        </w:rPr>
        <w:t xml:space="preserve"> com injeção do esquema vivo do modelo, chamada autenticada à rota de sugestão por IA, resposta JSON com valores paramétricos, filtragem de chaves desconhecidas e aplicação dos valores válidos aos controlos do modelo. Esta arquitetura tem uma consequência importante: a IA não trabalha sobre uma lista genérica de medidas, mas sobre os parâmetros efetivamente disponíveis no modelo ativo, incluindo nomes exatos, legendas, limites e valores correntes. Assim, a validação não incidiu apenas sobre os números sugeridos, mas também sobre a capacidade do fluxo de manter continuidade entre linguagem natural, estrutura antropométrica, interface e geração geométrica.</w:t>
      </w:r>
    </w:p>
    <w:p>
      <w:pPr>
        <w:pStyle w:val="Normal"/>
        <w:bidi w:val="0"/>
        <w:jc w:val="left"/>
        <w:rPr>
          <w:lang w:val="pt-PT"/>
        </w:rPr>
      </w:pPr>
      <w:r>
        <w:rPr>
          <w:lang w:val="pt-PT"/>
        </w:rPr>
        <w:t xml:space="preserve">Foram definidos cinco critérios de verificação. O primeiro foi a conformidade com o esquema: a saída deveria ser JSON válido, conter apenas nomes de parâmetros existentes e respeitar os limites mínimos e máximos declarados. O segundo foi a proporcionalidade dos dedos, exigindo uma ordenação anatómica plausível, com o dedo médio como referência mais longa, o dedo mínimo como mais curto e o polegar abaixo do comprimento do dedo médio. O terceiro foi a plausibilidade adulta, usando como referência os intervalos antropométricos canónicos já adotados no sistema. O quarto foi a adequação etária, sobretudo em perfis infantis ou adolescentes. </w:t>
      </w:r>
      <w:r>
        <w:rPr/>
        <w:t>O quinto critério foi a lateralidade em casos de amputação unilateral, verificando se o parâmetro responsável pela inversão lateral gerava a mão correspondente ao lado amputado, e não uma réplica da mão medida.</w:t>
      </w:r>
    </w:p>
    <w:p>
      <w:pPr>
        <w:pStyle w:val="Normal"/>
        <w:bidi w:val="0"/>
        <w:jc w:val="left"/>
        <w:rPr>
          <w:lang w:val="pt-PT"/>
        </w:rPr>
      </w:pPr>
      <w:commentRangeStart w:id="27"/>
      <w:r>
        <w:rPr>
          <w:lang w:val="pt-PT"/>
        </w:rPr>
        <w:t>O primeiro conjunto experimental usou cinco perfis sintéticos descritos apenas por indicadores populacionais indiretos, como idade, sexo, altura, peso, país, envergadura ou constituição física, sem qualquer medição direta da mão. E</w:t>
      </w:r>
      <w:r>
        <w:rPr>
          <w:lang w:val="pt-PT"/>
        </w:rPr>
      </w:r>
      <w:commentRangeEnd w:id="27"/>
      <w:r>
        <w:commentReference w:id="27"/>
      </w:r>
      <w:r>
        <w:rPr>
          <w:lang w:val="pt-PT"/>
        </w:rPr>
        <w:t xml:space="preserve">ste cenário corresponde ao caso de menor literacia técnica: o utilizador não sabe medir o membro superior e/ou mão com rigor, mas consegue fornecer informação demográfica geral. Nas cinco situações, a IA produziu valores dentro dos limites do modelo, manteve a ordem anatómica dos dedos e gerou dimensões compatíveis com a idade e a constituição descritas. </w:t>
      </w:r>
      <w:r>
        <w:rPr/>
        <w:t>A redução espontânea dos parâmetros relativos aos componentes mecânicos num perfil infantil também mostrou que o modelo de linguagem utilizou as legendas do esquema, e não apenas os nomes técnicos dos parâmetros.</w:t>
      </w:r>
    </w:p>
    <w:p>
      <w:pPr>
        <w:pStyle w:val="Normal"/>
        <w:bidi w:val="0"/>
        <w:jc w:val="left"/>
        <w:rPr>
          <w:lang w:val="pt-PT"/>
        </w:rPr>
      </w:pPr>
      <w:r>
        <w:rPr>
          <w:lang w:val="pt-PT"/>
        </w:rPr>
        <w:t>O segundo conjunto experimental avaliou três graus de detalhe dos dados de entrada em cenários de amputação unilateral. Num caso com medições completas da mão intacta, os valores fornecidos foram preservados e o sistema sugeriu a mão correspondente ao lado amputado.</w:t>
      </w:r>
    </w:p>
    <w:p>
      <w:pPr>
        <w:pStyle w:val="Normal"/>
        <w:bidi w:val="0"/>
        <w:jc w:val="left"/>
        <w:rPr>
          <w:lang w:val="pt-PT"/>
        </w:rPr>
      </w:pPr>
      <w:r>
        <w:rPr>
          <w:lang w:val="pt-PT"/>
        </w:rPr>
        <w:t xml:space="preserve">Num caso parcial, com apenas a largura da palma e dados demográficos, a medida fornecida foi mantida e as dimensões em falta foram estimadas de modo proporcional. Num caso apenas demográfico, a IA gerou um conjunto completo de medidas plausíveis. Nos três casos, a lateralidade sugerida foi correta. </w:t>
      </w:r>
      <w:r>
        <w:rPr/>
        <w:t>Este resultado é relevante porque mostra que a IA consegue ajustar a resposta à informação disponível: usa medições diretas quando existem, estima valores a partir de dados parciais e recorre a referências populacionais quando apenas existe uma descrição geral.</w:t>
      </w:r>
    </w:p>
    <w:p>
      <w:pPr>
        <w:pStyle w:val="Normal"/>
        <w:bidi w:val="0"/>
        <w:jc w:val="left"/>
        <w:rPr>
          <w:lang w:val="pt-PT"/>
        </w:rPr>
      </w:pPr>
      <w:r>
        <w:rPr>
          <w:lang w:val="pt-PT"/>
        </w:rPr>
        <w:t>Numa etapa posterior, a validação foi prolongada para além da resposta numérica, acompanhando o percurso completo até à exportação dos modelos nos formatos STL e 3MF, utilizados na preparação de ficheiros para impressão 3D.</w:t>
      </w:r>
    </w:p>
    <w:p>
      <w:pPr>
        <w:pStyle w:val="Normal"/>
        <w:bidi w:val="0"/>
        <w:jc w:val="left"/>
        <w:rPr>
          <w:lang w:val="pt-PT"/>
        </w:rPr>
      </w:pPr>
      <w:r>
        <w:rPr>
          <w:lang w:val="pt-PT"/>
        </w:rPr>
        <w:t>Nesta etapa, foram testadas descrições de utilizadores em três mãos ativas na plataforma — Flexy Beast, Paraglider Hand e UnLimbited Phoenix —, utilizando o fluxo real de sugestão por IA. O procedimento incluiu a aplicação dos parâmetros sugeridos, a exportação das geometrias e a medição das malhas resultantes.</w:t>
      </w:r>
    </w:p>
    <w:p>
      <w:pPr>
        <w:pStyle w:val="Normal"/>
        <w:bidi w:val="0"/>
        <w:jc w:val="left"/>
        <w:rPr>
          <w:lang w:val="pt-PT"/>
        </w:rPr>
      </w:pPr>
      <w:r>
        <w:rPr>
          <w:lang w:val="pt-PT"/>
        </w:rPr>
        <w:t>O objetivo d</w:t>
      </w:r>
      <w:r>
        <w:rPr/>
        <w:commentReference w:id="28"/>
      </w:r>
      <w:r>
        <w:rPr>
          <w:lang w:val="pt-PT"/>
        </w:rPr>
        <w:t>esta etapa foi confirmar se a coerência paramétrica observada no JSON chegava efetivamente à geometria imprimível e se diferentes modelos respondiam de forma previsível aos mesmos perfis antropométricos.</w:t>
      </w:r>
    </w:p>
    <w:p>
      <w:pPr>
        <w:pStyle w:val="Normal"/>
        <w:bidi w:val="0"/>
        <w:jc w:val="left"/>
        <w:rPr>
          <w:lang w:val="pt-PT"/>
        </w:rPr>
      </w:pPr>
      <w:r>
        <w:rPr>
          <w:lang w:val="pt-PT"/>
        </w:rPr>
        <w:t>Os resultados devem, contudo, ser lidos com cautela. A execução documentada corresponde a uma amostra representativa, não a uma caracterização estatística completa da distribuição de saídas.</w:t>
      </w:r>
    </w:p>
    <w:p>
      <w:pPr>
        <w:pStyle w:val="Normal"/>
        <w:bidi w:val="0"/>
        <w:jc w:val="left"/>
        <w:rPr>
          <w:lang w:val="pt-PT"/>
        </w:rPr>
      </w:pPr>
      <w:r>
        <w:rPr>
          <w:lang w:val="pt-PT"/>
        </w:rPr>
        <w:t>A repetição do mesmo perfil produziu pequenas variações, na ordem de poucos milímetros, preservando as relações anatómicas essenciais e os limites do modelo. Esta variação confirma a natureza estocástica da componente de IA: mesmo perante o mesmo perfil, o sistema pode produzir respostas ligeiramente diferentes entre execuções sucessivas.</w:t>
      </w:r>
    </w:p>
    <w:p>
      <w:pPr>
        <w:pStyle w:val="Normal"/>
        <w:bidi w:val="0"/>
        <w:jc w:val="left"/>
        <w:rPr>
          <w:lang w:val="pt-PT"/>
        </w:rPr>
      </w:pPr>
      <w:r>
        <w:rPr/>
        <w:t>Observou-se também uma forma de variabilidade estrutural: em algumas execuções, certos parâmetros relativos aos componentes mecânicos foram devolvidos explicitamente; noutras, foram omitidos, mantendo-se o valor corrente do modelo. Ambas as respostas são aceitáveis segundo a especificação atual do sistema, mas reforçam a necessidade de avaliar propriedades estáveis, e não valores exatos isolados.</w:t>
      </w:r>
    </w:p>
    <w:p>
      <w:pPr>
        <w:pStyle w:val="Normal"/>
        <w:bidi w:val="0"/>
        <w:jc w:val="left"/>
        <w:rPr>
          <w:lang w:val="pt-PT"/>
        </w:rPr>
      </w:pPr>
      <w:r>
        <w:rPr>
          <w:lang w:val="pt-PT"/>
        </w:rPr>
        <w:t>A principal fragilidade identificada nas validações posteriores relaciona-se com a lateralidade da configuração protésica. Nos primeiros testes, baseados em descrições de casos de amputação unilateral, o sistema gerou corretamente a mão correspondente à situação descrita. Contudo, numa verificação posterior centrada no utilizador, com pedidos explícitos para uma mão esquerda, observou-se que a IA tendia a devolver sistematicamente o valor correspondente à mão direita.</w:t>
      </w:r>
    </w:p>
    <w:p>
      <w:pPr>
        <w:pStyle w:val="Normal"/>
        <w:bidi w:val="0"/>
        <w:jc w:val="left"/>
        <w:rPr>
          <w:lang w:val="pt-PT"/>
        </w:rPr>
      </w:pPr>
      <w:r>
        <w:rPr>
          <w:lang w:val="pt-PT"/>
        </w:rPr>
        <w:t>Esta fragilidade foi tratada como um risco de configuração com implicações na adequação funcional do modelo. Para a corrigir, a lateralidade passou a ser definida diretamente pela interface como uma condição determinística do sistema. O parâmetro correspondente foi identificado no esquema com a função role: "laterality", retirado do conjunto de valores que a IA pode sugerir e incluído no pedido como informação fixa. Caso a resposta da IA inclua novamente esse parâmetro, o sistema ignora-o durante a validação da resposta. Desta forma, a lateralidade da configuração protésica passa a ser controlada pela plataforma, em vez de depender da interpretação textual realizada pelo modelo de linguagem.</w:t>
      </w:r>
      <w:r>
        <w:rPr/>
        <w:t>A principal conclusão desta validação é que a IA pode facilitar o acesso à configuração paramétrica, ao transformar descrições incompletas e não técnicas em pontos de partida editáveis, coerentes e passíveis de verificação. Esta função só se torna metodologicamente defensável quando a sugestão permanece ancorada no esquema do modelo, limitada por intervalos definidos, filtrada pela interface e sujeita a revisão humana.</w:t>
      </w:r>
    </w:p>
    <w:p>
      <w:pPr>
        <w:pStyle w:val="Normal"/>
        <w:bidi w:val="0"/>
        <w:jc w:val="left"/>
        <w:rPr>
          <w:lang w:val="pt-PT"/>
        </w:rPr>
      </w:pPr>
      <w:r>
        <w:rPr>
          <w:lang w:val="pt-PT"/>
        </w:rPr>
        <w:t>Deste modo, a validação antropométrica assistida por IA contribui para reduzir a barreira inicial de configuração e para tornar a parametrização mais acessível, mas não substitui medição direta, avaliação técnica, prototipagem física nem validação clínica.</w:t>
      </w:r>
    </w:p>
    <w:p>
      <w:pPr>
        <w:pStyle w:val="Normal"/>
        <w:bidi w:val="0"/>
        <w:jc w:val="left"/>
        <w:rPr>
          <w:lang w:val="pt-PT"/>
        </w:rPr>
      </w:pPr>
      <w:r>
        <w:rPr>
          <w:lang w:val="pt-PT"/>
        </w:rPr>
      </w:r>
    </w:p>
    <w:p>
      <w:pPr>
        <w:pStyle w:val="Heading3"/>
        <w:bidi w:val="0"/>
        <w:jc w:val="left"/>
        <w:rPr>
          <w:lang w:val="pt-PT"/>
        </w:rPr>
      </w:pPr>
      <w:r>
        <w:rPr>
          <w:lang w:val="pt-PT"/>
        </w:rPr>
        <w:t>6.4 Ajuste, validação e limitações éticas e técnicas</w:t>
      </w:r>
    </w:p>
    <w:p>
      <w:pPr>
        <w:pStyle w:val="Heading3"/>
        <w:bidi w:val="0"/>
        <w:jc w:val="left"/>
        <w:rPr>
          <w:lang w:val="pt-PT"/>
        </w:rPr>
      </w:pPr>
      <w:r>
        <w:rPr>
          <w:lang w:val="pt-PT"/>
        </w:rPr>
      </w:r>
    </w:p>
    <w:p>
      <w:pPr>
        <w:pStyle w:val="Normal"/>
        <w:bidi w:val="0"/>
        <w:jc w:val="left"/>
        <w:rPr>
          <w:lang w:val="pt-PT"/>
        </w:rPr>
      </w:pPr>
      <w:r>
        <w:rPr>
          <w:lang w:val="pt-PT"/>
        </w:rPr>
        <w:t xml:space="preserve">A introdução de IA num sistema como o proposto exige distinguir claramente entre sugestão paramétrica, ajuste efetivo e validação final. Uma recomendação produzida por um modelo de IA pode ser útil como ponto de partida, mas não equivale a uma prova de adequação funcional, de conforto ergonómico ou de segurança estrutural. O ajuste real de uma prótese depende sempre de confirmação em contexto técnico e, idealmente, de iterações de teste, observação e refinamento. </w:t>
      </w:r>
      <w:r>
        <w:rPr/>
        <w:t>Por essa razão, os valores sugeridos pela IA devem ser entendidos como hipóteses operativas sujeitas a validação posterior, e não como prescrições definitivas.</w:t>
      </w:r>
    </w:p>
    <w:p>
      <w:pPr>
        <w:pStyle w:val="Normal"/>
        <w:bidi w:val="0"/>
        <w:jc w:val="left"/>
        <w:rPr>
          <w:lang w:val="pt-PT"/>
        </w:rPr>
      </w:pPr>
      <w:r>
        <w:rPr>
          <w:lang w:val="pt-PT"/>
        </w:rPr>
        <w:t xml:space="preserve">Do ponto de vista técnico, subsistem limitações significativas. A IA pode produzir sugestões plausíveis, mas inadequadas para casos extremos, perfis antropométricos pouco representados ou combinações paramétricas fora da distribuição esperada. Pode também introduzir inconsistências difíceis de detetar se a sua saída não for confrontada com restrições geométricas, limites de fabrico e critérios funcionais explícitos. </w:t>
      </w:r>
      <w:r>
        <w:rPr/>
        <w:t>Assim, a integração robusta da IA depende da existência de salvaguardas incorporadas no próprio sistema, incluindo limites paramétricos, validação de intervalos, verificação de coerência entre módulos, comparação entre alternativas e supervisão humana capaz de identificar sugestões tecnicamente infundadas ou insuficientemente justificadas. Esta necessidade de enquadramento crítico é coerente com a literatura sobre responsabilidade no design assistido por IA, que sublinha a importância de compreender os dados considerados, os critérios aplicados e os limites das sugestões produzidas pelo modelo.</w:t>
      </w:r>
      <w:r>
        <w:rPr>
          <w:lang w:val="pt-PT"/>
        </w:rPr>
        <w:t>(Panchal et al., 2019 (#ref-panchal-2019); Yüksel et al., 2023 (#ref-yuksel-2023)).</w:t>
      </w:r>
    </w:p>
    <w:p>
      <w:pPr>
        <w:pStyle w:val="Normal"/>
        <w:bidi w:val="0"/>
        <w:jc w:val="left"/>
        <w:rPr>
          <w:lang w:val="pt-PT"/>
        </w:rPr>
      </w:pPr>
      <w:r>
        <w:rPr>
          <w:lang w:val="pt-PT"/>
        </w:rPr>
        <w:t>A Figura 6.1 sintetiza esta tensão entre desafios de explicabilidade e princípios de IA responsável. No contexto desta investigação, a figura é útil porque torna explícito que a responsabilidade não depende apenas de desempenho preditivo, mas de condições como transparência, auditabilidade, privacidade, justiça e prestação de contas. Estes princípios reforçam a opção do sistema por uma IA assistiva, limitada por regras e sujeita a revisão humana (Barredo Arrieta et al., 2020 (#ref-arrieta-2020)).</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2000250"/>
            <wp:effectExtent l="0" t="0" r="0" b="0"/>
            <wp:docPr id="18" name="Image 17" descr="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descr="Image 17"/>
                    <pic:cNvPicPr>
                      <a:picLocks noChangeAspect="1" noChangeArrowheads="1"/>
                    </pic:cNvPicPr>
                  </pic:nvPicPr>
                  <pic:blipFill>
                    <a:blip r:embed="rId29"/>
                    <a:stretch>
                      <a:fillRect/>
                    </a:stretch>
                  </pic:blipFill>
                  <pic:spPr bwMode="auto">
                    <a:xfrm>
                      <a:off x="0" y="0"/>
                      <a:ext cx="5715000" cy="2000250"/>
                    </a:xfrm>
                    <a:prstGeom prst="rect">
                      <a:avLst/>
                    </a:prstGeom>
                    <a:noFill/>
                  </pic:spPr>
                </pic:pic>
              </a:graphicData>
            </a:graphic>
          </wp:inline>
        </w:drawing>
      </w:r>
    </w:p>
    <w:p>
      <w:pPr>
        <w:pStyle w:val="Normal"/>
        <w:bidi w:val="0"/>
        <w:jc w:val="left"/>
        <w:rPr>
          <w:lang w:val="pt-PT"/>
        </w:rPr>
      </w:pPr>
      <w:r>
        <w:rPr>
          <w:lang w:val="pt-PT"/>
        </w:rPr>
      </w:r>
    </w:p>
    <w:p>
      <w:pPr>
        <w:pStyle w:val="Normal"/>
        <w:bidi w:val="0"/>
        <w:jc w:val="left"/>
        <w:rPr>
          <w:lang w:val="pt-PT"/>
        </w:rPr>
      </w:pPr>
      <w:r>
        <w:rPr>
          <w:lang w:val="pt-PT"/>
        </w:rPr>
        <w:t>Figura 6.1 — Relação entre desafios de explicabilidade e princípios de IA responsável.</w:t>
      </w:r>
    </w:p>
    <w:p>
      <w:pPr>
        <w:pStyle w:val="Normal"/>
        <w:bidi w:val="0"/>
        <w:jc w:val="left"/>
        <w:rPr>
          <w:lang w:val="pt-PT"/>
        </w:rPr>
      </w:pPr>
      <w:r>
        <w:rPr>
          <w:lang w:val="pt-PT"/>
        </w:rPr>
        <w:t xml:space="preserve">Adaptação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w:t>
      </w:r>
      <w:hyperlink r:id="rId30">
        <w:r>
          <w:rPr>
            <w:rStyle w:val="Hyperlink"/>
            <w:lang w:val="pt-PT"/>
          </w:rPr>
          <w:t>https://doi.org/10.1016/j.inffus.2019.12.012</w:t>
        </w:r>
      </w:hyperlink>
    </w:p>
    <w:p>
      <w:pPr>
        <w:pStyle w:val="Normal"/>
        <w:bidi w:val="0"/>
        <w:jc w:val="left"/>
        <w:rPr>
          <w:lang w:val="pt-PT"/>
        </w:rPr>
      </w:pPr>
      <w:r>
        <w:rPr>
          <w:lang w:val="pt-PT"/>
        </w:rPr>
      </w:r>
    </w:p>
    <w:p>
      <w:pPr>
        <w:pStyle w:val="Normal"/>
        <w:bidi w:val="0"/>
        <w:jc w:val="left"/>
        <w:rPr>
          <w:lang w:val="pt-PT"/>
        </w:rPr>
      </w:pPr>
      <w:r>
        <w:rPr>
          <w:lang w:val="pt-PT"/>
        </w:rPr>
        <w:t>As limitações éticas assumem particular relevância num domínio associado a dispositivos personalizados e potencialmente sensíveis, exigindo atenção à recolha excessiva de dados, à exposição desnecessária de informação pessoal e ao risco de aceitar sugestões algorítmicas como se fossem neutras ou automaticamente válidas.</w:t>
      </w:r>
    </w:p>
    <w:p>
      <w:pPr>
        <w:pStyle w:val="Normal"/>
        <w:bidi w:val="0"/>
        <w:jc w:val="left"/>
        <w:rPr>
          <w:lang w:val="pt-PT"/>
        </w:rPr>
      </w:pPr>
      <w:r>
        <w:rPr>
          <w:lang w:val="pt-PT"/>
        </w:rPr>
        <w:t>Mesmo quando a plataforma utiliza apenas dados antropométricos não clínicos ou cenários experimentais, a sua arquitetura deve limitar a recolha ao necessário, controlar quem pode aceder às configurações e explicitar que a IA atua como apoio à configuração, e não como autoridade técnica ou clínica.</w:t>
      </w:r>
    </w:p>
    <w:p>
      <w:pPr>
        <w:pStyle w:val="Normal"/>
        <w:bidi w:val="0"/>
        <w:jc w:val="left"/>
        <w:rPr>
          <w:lang w:val="pt-PT"/>
        </w:rPr>
      </w:pPr>
      <w:r>
        <w:rPr>
          <w:lang w:val="pt-PT"/>
        </w:rPr>
        <w:t>A plataforma deve comunicar de forma clara que a IA desempenha uma função de apoio à decisão no processo de configuração, sem assumir autoridade clínica ou validar autonomamente a adequação da prótese. Esta delimitação é essencial para evitar deslocamentos indevidos de responsabilidade e para definir corretamente o âmbito da ferramenta</w:t>
      </w:r>
    </w:p>
    <w:p>
      <w:pPr>
        <w:pStyle w:val="Normal"/>
        <w:bidi w:val="0"/>
        <w:jc w:val="left"/>
        <w:rPr>
          <w:lang w:val="pt-PT"/>
        </w:rPr>
      </w:pPr>
      <w:r>
        <w:rPr>
          <w:lang w:val="pt-PT"/>
        </w:rPr>
        <w:t>Por fim, subsiste uma limitação metodológica mais ampla: a qualidade da IA depende da qualidade das estruturas em que se insere. Sem modelos paramétricos bem definidos, sem critérios de validação claros e sem dados suficientemente representativos, a IA tende a amplificar incerteza em vez de a reduzir. Neste sentido, a sua integração só se torna relevante quando articulada com uma base projetual explícita, com procedimentos de verificação e com uma compreensão crítica das suas margens de erro. A principal contribuição da IA para o sistema proposto não reside, portanto, numa promessa de automatização total, mas na possibilidade de reforçar processos de personalização e decisão, desde que permaneça enquadrada por regras, validação e responsabilidade humanas.</w:t>
      </w:r>
    </w:p>
    <w:p>
      <w:pPr>
        <w:pStyle w:val="Heading2"/>
        <w:bidi w:val="0"/>
        <w:jc w:val="left"/>
        <w:rPr>
          <w:lang w:val="pt-PT"/>
        </w:rPr>
      </w:pPr>
      <w:r>
        <w:rPr>
          <w:lang w:val="pt-PT"/>
        </w:rPr>
      </w:r>
    </w:p>
    <w:p>
      <w:pPr>
        <w:pStyle w:val="Heading2"/>
        <w:bidi w:val="0"/>
        <w:jc w:val="left"/>
        <w:rPr>
          <w:lang w:val="pt-PT"/>
        </w:rPr>
      </w:pPr>
      <w:r>
        <w:rPr>
          <w:lang w:val="pt-PT"/>
        </w:rPr>
        <w:t>Capítulo 7 — Interface, Interação e Experiência de Utilização</w:t>
      </w:r>
    </w:p>
    <w:p>
      <w:pPr>
        <w:pStyle w:val="Heading3"/>
        <w:bidi w:val="0"/>
        <w:jc w:val="left"/>
        <w:rPr>
          <w:lang w:val="pt-PT"/>
        </w:rPr>
      </w:pPr>
      <w:r>
        <w:rPr>
          <w:lang w:val="pt-PT"/>
        </w:rPr>
      </w:r>
    </w:p>
    <w:p>
      <w:pPr>
        <w:pStyle w:val="Heading3"/>
        <w:bidi w:val="0"/>
        <w:jc w:val="left"/>
        <w:rPr>
          <w:lang w:val="pt-PT"/>
        </w:rPr>
      </w:pPr>
      <w:r>
        <w:rPr>
          <w:lang w:val="pt-PT"/>
        </w:rPr>
        <w:t>7.1 Estratégia de interação e decisões de UI/UX</w:t>
      </w:r>
    </w:p>
    <w:p>
      <w:pPr>
        <w:pStyle w:val="Heading3"/>
        <w:bidi w:val="0"/>
        <w:jc w:val="left"/>
        <w:rPr>
          <w:lang w:val="pt-PT"/>
        </w:rPr>
      </w:pPr>
      <w:r>
        <w:rPr>
          <w:lang w:val="pt-PT"/>
        </w:rPr>
      </w:r>
    </w:p>
    <w:p>
      <w:pPr>
        <w:pStyle w:val="Normal"/>
        <w:bidi w:val="0"/>
        <w:jc w:val="left"/>
        <w:rPr>
          <w:lang w:val="pt-PT"/>
        </w:rPr>
      </w:pPr>
      <w:r>
        <w:rPr>
          <w:lang w:val="pt-PT"/>
        </w:rPr>
        <w:t>O ponto de partida desta secção é a necessidade de tornar acessível, através da interface, um sistema de modelação paramétrica baseado em código. A plataforma procura traduzir essa complexidade técnica em operações compreensíveis, permitindo selecionar modelos, introduzir dados antropométricos, ajustar parâmetros, observar resultados e guardar configurações sem exigir contacto direto com a estrutura interna do código.</w:t>
      </w:r>
      <w:r>
        <w:rPr/>
        <w:t>Em vez de exigir contacto direto com a estrutura interna do modelo, a aplicação organiza a interação em torno de ações reconhecíveis e progressivas, como selecionar um modelo, introduzir dados antropométricos, ajustar parâmetros, observar o resultado e guardar configurações.</w:t>
      </w:r>
    </w:p>
    <w:p>
      <w:pPr>
        <w:pStyle w:val="Normal"/>
        <w:bidi w:val="0"/>
        <w:jc w:val="left"/>
        <w:rPr>
          <w:lang w:val="pt-PT"/>
        </w:rPr>
      </w:pPr>
      <w:r>
        <w:rPr>
          <w:lang w:val="pt-PT"/>
        </w:rPr>
        <w:t>Esta opção traduz uma decisão deliberada de desenho da interface: a plataforma não procura ocultar a natureza técnica do sistema, mas reorganizá-la em operações compreensíveis, sequenciais e verificáveis. Esta abordagem aproxima-se de modelos que valorizam a orientação inicial do utilizador no contacto com a plataforma, a navegação guiada e a redução da carga interpretativa em processos de personalização protésica (Colombo et al., 2015 (#ref-colombo-2015); Peixoto et al., 2025 (#ref-peixoto-2025)).</w:t>
      </w:r>
    </w:p>
    <w:p>
      <w:pPr>
        <w:pStyle w:val="Normal"/>
        <w:bidi w:val="0"/>
        <w:jc w:val="left"/>
        <w:rPr>
          <w:lang w:val="pt-PT"/>
        </w:rPr>
      </w:pPr>
      <w:r>
        <w:rPr>
          <w:lang w:val="pt-PT"/>
        </w:rPr>
        <w:t xml:space="preserve">Do ponto de vista estrutural, a interface assenta numa lógica de composição modular e orientada por tarefa. O utilizador não enfrenta um ambiente tridimensional aberto nem um editor de código, mas sim um conjunto de módulos de interação cuja organização corresponde a etapas reconhecíveis do processo de configuração. A seleção do modelo funciona como ponto de entrada; os parâmetros surgem depois como elementos editáveis com correspondência direta a propriedades geométricas; a visualização tridimensional atua como mecanismo de </w:t>
      </w:r>
      <w:r>
        <w:rPr>
          <w:i/>
          <w:iCs/>
          <w:lang w:val="pt-PT"/>
        </w:rPr>
        <w:t>feedback</w:t>
      </w:r>
      <w:r>
        <w:rPr>
          <w:lang w:val="pt-PT"/>
        </w:rPr>
        <w:t xml:space="preserve"> contínuo; e as ações de guardar, recuperar ou exportar prolongam o processo para além do momento de configuração imediata. Esta organização procura reduzir carga cognitiva, evitar navegação errática e manter uma relação legível entre intenção, ação e consequência formal. </w:t>
      </w:r>
      <w:r>
        <w:rPr/>
        <w:t>Os estudos analisados sugerem que os sistemas de configuração mais eficazes distinguem visualização, ajuste e validação em camadas de interação claras, tanto em plataformas web orientadas para o utilizador final como em interfaces destinadas a profissionais responsáveis pelo ajuste protésico (Peixoto et al., 2025 (#ref-peixoto-2025); Quintero et al., 2018 (#ref-quintero-2018)).</w:t>
      </w:r>
    </w:p>
    <w:p>
      <w:pPr>
        <w:pStyle w:val="Normal"/>
        <w:bidi w:val="0"/>
        <w:jc w:val="left"/>
        <w:rPr>
          <w:lang w:val="pt-PT"/>
        </w:rPr>
      </w:pPr>
      <w:r>
        <w:rPr>
          <w:lang w:val="pt-PT"/>
        </w:rPr>
        <w:t xml:space="preserve">Uma decisão particularmente relevante reside na forma como a interface traduz a lógica paramétrica em linguagem operacional. Cada controlo não representa apenas um valor numérico isolado, mas também um ponto de acesso a relações geométricas que permanecem definidas no modelo. Em termos de </w:t>
      </w:r>
      <w:commentRangeStart w:id="29"/>
      <w:r>
        <w:rPr>
          <w:lang w:val="pt-PT"/>
        </w:rPr>
        <w:t>UI/UX</w:t>
      </w:r>
      <w:r>
        <w:rPr>
          <w:lang w:val="pt-PT"/>
        </w:rPr>
      </w:r>
      <w:commentRangeEnd w:id="29"/>
      <w:r>
        <w:commentReference w:id="29"/>
      </w:r>
      <w:r>
        <w:rPr>
          <w:lang w:val="pt-PT"/>
        </w:rPr>
        <w:t>, isto significa que a plataforma deve tornar editável apenas o que pode ser interpretado, observado e, idealmente, revisto de forma responsável. A estratégia de interação não consiste, portanto, em maximizar liberdade aparente, mas em expor uma parte controlada do espaço de variação. Esta contenção é importante porque, em sistemas configuráveis aplicados a próteses, excesso de liberdade pode gerar combinações pouco inteligíveis, tecnicamente frágeis ou difíceis de validar. A interface atua como filtro e mediadora: aumenta a acessibilidade sem comprometer a coerência interna do modelo paramétrico.</w:t>
      </w:r>
    </w:p>
    <w:p>
      <w:pPr>
        <w:pStyle w:val="Normal"/>
        <w:bidi w:val="0"/>
        <w:jc w:val="left"/>
        <w:rPr>
          <w:lang w:val="pt-PT"/>
        </w:rPr>
      </w:pPr>
      <w:r>
        <w:rPr>
          <w:lang w:val="pt-PT"/>
        </w:rPr>
        <w:t>A articulação entre edição paramétrica e pré-visualização constitui outra decisão relevante, pois a renderização local através de WebAssembly permite que a resposta visual resulte diretamente da geometria gerada pelo sistema, evitando o recurso a imagens estáticas ou a representações simplificadas desligadas do modelo.</w:t>
      </w:r>
    </w:p>
    <w:p>
      <w:pPr>
        <w:pStyle w:val="Normal"/>
        <w:bidi w:val="0"/>
        <w:jc w:val="left"/>
        <w:rPr>
          <w:lang w:val="pt-PT"/>
        </w:rPr>
      </w:pPr>
      <w:r>
        <w:rPr>
          <w:lang w:val="pt-PT"/>
        </w:rPr>
        <w:t>Em termos de experiência, isto reforça a sensação de continuidade entre o controlo paramétrico e a forma observada. Ao mesmo tempo, o uso de Web Workers protege a interface de bloqueios excessivos durante operações mais pesadas, contribuindo para uma interação mais estável e previsível. A experiência não é instantânea em todos os casos, mas a arquitetura foi concebida para que os tempos de espera sejam compreendidos como parte do processamento geométrico real, e não como uma falha arbitrária da interface. A importância deste feedback iterativo, da visualização em tempo real e de formas de manipulação mais naturais é coerente com trabalhos que articulam configuração assistida, visualização e ajuste progressivo em contextos protésicos, ainda que, muitas vezes, fora de plataformas web puras (Abbas Alili et al., 2023; Colombo et al., 2015 (#ref-colombo-2015); Peixoto et al., 2025 (#ref-peixoto-2025)).</w:t>
      </w:r>
    </w:p>
    <w:p>
      <w:pPr>
        <w:pStyle w:val="Normal"/>
        <w:bidi w:val="0"/>
        <w:jc w:val="left"/>
        <w:rPr>
          <w:lang w:val="pt-PT"/>
        </w:rPr>
      </w:pPr>
      <w:r>
        <w:rPr>
          <w:lang w:val="pt-PT"/>
        </w:rPr>
        <w:t>A interface privilegia a clareza operacional em relação à exuberância formal, em coerência com o contexto do projeto: trata-se de uma ferramenta de configuração protésica, e não de um configurador lúdico ou promocional.</w:t>
      </w:r>
    </w:p>
    <w:p>
      <w:pPr>
        <w:pStyle w:val="Normal"/>
        <w:bidi w:val="0"/>
        <w:jc w:val="left"/>
        <w:rPr>
          <w:lang w:val="pt-PT"/>
        </w:rPr>
      </w:pPr>
      <w:r>
        <w:rPr>
          <w:lang w:val="pt-PT"/>
        </w:rPr>
        <w:t>As decisões de desenho da interface procuram, assim, favorecer a clareza operacional, a consistência entre controlos, a previsibilidade das ações e o registo das alterações, mediando a passagem entre os dados do utilizador, as regras paramétricas, a assistência algorítmica e o resultado tridimensional. Esta clareza é particularmente relevante em sistemas protésicos inteligentes, nos quais importa equilibrar autonomia do utilizador, supervisão técnica e diferenciação de permissões entre utilizadores e profissionais (Bai et al., 2024 (#ref-bai-2024); Quintero et al., 2018 (#ref-quintero-2018)).</w:t>
      </w:r>
    </w:p>
    <w:p>
      <w:pPr>
        <w:pStyle w:val="Normal"/>
        <w:bidi w:val="0"/>
        <w:jc w:val="left"/>
        <w:rPr>
          <w:lang w:val="pt-PT"/>
        </w:rPr>
      </w:pPr>
      <w:r>
        <w:rPr>
          <w:lang w:val="pt-PT"/>
        </w:rPr>
        <w:t>Deste modo, a estratégia de interação adotada não deve ser lida apenas como um conjunto de escolhas de interface, mas como uma decisão metodológica sobre a forma de tornar o processo de personalização observável, configurável e aberto à revisão crítica ao longo do desenvolvimento.</w:t>
      </w:r>
    </w:p>
    <w:p>
      <w:pPr>
        <w:pStyle w:val="Normal"/>
        <w:bidi w:val="0"/>
        <w:jc w:val="left"/>
        <w:rPr>
          <w:lang w:val="pt-PT"/>
        </w:rPr>
      </w:pPr>
      <w:r>
        <w:rPr>
          <w:lang w:val="pt-PT"/>
        </w:rPr>
        <w:t>A UI/UX participa diretamente na construção do sistema, atuando como infraestrutura de mediação entre o conhecimento técnico, os dados individuais e a decisão do projeto. O seu objetivo não é simplificar artificialmente o problema, mas organizar a complexidade de forma inteligível, preservando continuidade com a lógica paramétrica do modelo e com o enquadramento de apoio da IA discutido no capítulo anterior.</w:t>
      </w:r>
    </w:p>
    <w:p>
      <w:pPr>
        <w:pStyle w:val="Normal"/>
        <w:bidi w:val="0"/>
        <w:jc w:val="left"/>
        <w:rPr>
          <w:lang w:val="pt-PT"/>
        </w:rPr>
      </w:pPr>
      <w:r>
        <w:rPr>
          <w:lang w:val="pt-PT"/>
        </w:rPr>
      </w:r>
    </w:p>
    <w:p>
      <w:pPr>
        <w:pStyle w:val="Heading3"/>
        <w:bidi w:val="0"/>
        <w:jc w:val="left"/>
        <w:rPr>
          <w:lang w:val="pt-PT"/>
        </w:rPr>
      </w:pPr>
      <w:r>
        <w:rPr>
          <w:lang w:val="pt-PT"/>
        </w:rPr>
        <w:t>7.2 Experiência do designer e do utilizador final</w:t>
      </w:r>
    </w:p>
    <w:p>
      <w:pPr>
        <w:pStyle w:val="Normal"/>
        <w:bidi w:val="0"/>
        <w:jc w:val="left"/>
        <w:rPr>
          <w:lang w:val="pt-PT"/>
        </w:rPr>
      </w:pPr>
      <w:r>
        <w:rPr>
          <w:lang w:val="pt-PT"/>
        </w:rPr>
      </w:r>
    </w:p>
    <w:p>
      <w:pPr>
        <w:pStyle w:val="Normal"/>
        <w:bidi w:val="0"/>
        <w:jc w:val="left"/>
        <w:rPr>
          <w:lang w:val="pt-PT"/>
        </w:rPr>
      </w:pPr>
      <w:r>
        <w:rPr>
          <w:lang w:val="pt-PT"/>
        </w:rPr>
        <w:t>A plataforma foi estruturada para acomodar formas distintas de participação no processo de configuração, uma vez que designers, técnicos, clínicos e utilizadores finais não intervêm sobre os mesmos parâmetros nem assumem o mesmo grau de responsabilidade. Os estudos analisados sugerem que esta diferença não resulta apenas de níveis distintos de literacia técnica, mas também do tipo de decisão que cada interveniente é chamado a tomar.</w:t>
      </w:r>
    </w:p>
    <w:p>
      <w:pPr>
        <w:pStyle w:val="Normal"/>
        <w:bidi w:val="0"/>
        <w:jc w:val="left"/>
        <w:rPr>
          <w:lang w:val="pt-PT"/>
        </w:rPr>
      </w:pPr>
      <w:r>
        <w:rPr>
          <w:lang w:val="pt-PT"/>
        </w:rPr>
        <w:t xml:space="preserve">Em sistemas de personalização protésica, diferentes domínios de configuração exigem distribuições distintas de autoridade. Quando estão em causa parâmetros ligados à geometria do encaixe, à biomecânica, à tolerância dos tecidos ou à viabilidade de fabrico, o papel do profissional tende a ser dominante, pois envolve interpretação especializada, validação contextual e responsabilidade técnica. </w:t>
      </w:r>
      <w:r>
        <w:rPr/>
        <w:t>Em contrapartida, quando a configuração incide sobre preferências de controlo, clareza do sistema ou aspetos estéticos que o utilizador consegue avaliar diretamente, a sua participação torna-se mais substantiva.</w:t>
      </w:r>
    </w:p>
    <w:p>
      <w:pPr>
        <w:pStyle w:val="Normal"/>
        <w:bidi w:val="0"/>
        <w:jc w:val="left"/>
        <w:rPr>
          <w:lang w:val="pt-PT"/>
        </w:rPr>
      </w:pPr>
      <w:r>
        <w:rPr>
          <w:lang w:val="pt-PT"/>
        </w:rPr>
        <w:t>O contraste entre estes domínios é central para compreender a diferenciação entre perfis de uso, ainda que a literatura direta sobre plataformas paramétricas para o membro superior permaneça escassa e muitas conclusões tenham de ser complementadas por evidência transferível de contextos adjacentes (Cordella et al., 2016 (#ref-cordella-2016); Saldarriaga et al., 2024 (#ref-saldarriaga-2024)).</w:t>
      </w:r>
    </w:p>
    <w:p>
      <w:pPr>
        <w:pStyle w:val="Normal"/>
        <w:bidi w:val="0"/>
        <w:jc w:val="left"/>
        <w:rPr>
          <w:lang w:val="pt-PT"/>
        </w:rPr>
      </w:pPr>
      <w:r>
        <w:rPr>
          <w:lang w:val="pt-PT"/>
        </w:rPr>
        <w:t xml:space="preserve">Para o designer, técnico especialista de próteses e ortóteses. ou clínico, a plataforma funciona sobretudo como um ambiente de trabalho orientado à configuração, ao teste, à comparação de alternativas e à supervisão do processo. O interesse principal deste perfil não está apenas em “ver” a prótese, mas em compreender como os parâmetros se relacionam, quais dependências estruturais existem entre dimensões e quais efeitos pequenas alterações podem produzir na geometria final ou no comportamento do sistema. A evidência transferível proveniente de plataformas de configuração e afinação em contexto protésico indica que profissionais valorizam interfaces que reduzam tempo de ajuste, tornem o espaço paramétrico mais interpretável e mantenham uma continuidade suficiente com o raciocínio clínico ou técnico habitual, incluindo ambientes em que conhecimento especializado é codificado em regras, sugestões iniciais ou ferramentas de comparação (Colombo et al., 2015 (#ref-colombo-2015); Quintero et al., 2018 (#ref-quintero-2018); Bai et al., 2024 (#ref-bai-2024)). </w:t>
      </w:r>
      <w:r>
        <w:rPr/>
        <w:t>Os estudos consultados mostram, contudo, que a digitalização só reforça a confiança profissional quando mantém continuidade com elementos relevantes do processo de ajuste. A redução de indícios tácteis, empíricos ou processuais pode limitar formas de saber prático associadas à experiência clínica e técnica, como sugerem os estudos sobre retificação digital e fluxos CAD/CAM.</w:t>
      </w:r>
    </w:p>
    <w:p>
      <w:pPr>
        <w:pStyle w:val="Normal"/>
        <w:bidi w:val="0"/>
        <w:jc w:val="left"/>
        <w:rPr>
          <w:lang w:val="pt-PT"/>
        </w:rPr>
      </w:pPr>
      <w:r>
        <w:rPr>
          <w:lang w:val="pt-PT"/>
        </w:rPr>
        <w:t xml:space="preserve">No caso do utilizador final, a experiência tende a concentrar-se na compreensão do processo, na construção de confiança e na perceção de participação. Mesmo quando nem todos os parâmetros são diretamente editáveis, a visualização do modelo, o reconhecimento das alterações e o acompanhamento da personalização contribuem para tornar a configuração menos opaca. </w:t>
      </w:r>
      <w:r>
        <w:rPr/>
        <w:t>A interface contribui, assim, para tornar a adaptação menos distante do utilizador, apresentando-a como um processo parcialmente observável, compreensível e passível de acompanhamento.</w:t>
      </w:r>
    </w:p>
    <w:p>
      <w:pPr>
        <w:pStyle w:val="Normal"/>
        <w:bidi w:val="0"/>
        <w:jc w:val="left"/>
        <w:rPr>
          <w:lang w:val="pt-PT"/>
        </w:rPr>
      </w:pPr>
      <w:r>
        <w:rPr>
          <w:lang w:val="pt-PT"/>
        </w:rPr>
        <w:t xml:space="preserve">Quando a aceitação de uma prótese não depende apenas do desempenho funcional, mas também da perceção de adequação, de participação e de controlo sobre o resultado, este aspecto assume relevância. </w:t>
      </w:r>
      <w:r>
        <w:rPr/>
        <w:t>Os estudos analisados sugerem, de forma consistente, que a clareza com que o sistema comunica o seu funcionamento influencia a experiência de utilização.</w:t>
      </w:r>
    </w:p>
    <w:p>
      <w:pPr>
        <w:pStyle w:val="Normal"/>
        <w:bidi w:val="0"/>
        <w:jc w:val="left"/>
        <w:rPr>
          <w:lang w:val="pt-PT"/>
        </w:rPr>
      </w:pPr>
      <w:r>
        <w:rPr/>
        <w:t>Quando a plataforma torna mais visíveis os efeitos das ações, os limites das escolhas e a relação entre os dados introduzidos e o comportamento do modelo, reforça a facilidade de utilização e a confiança subjetiva.</w:t>
      </w:r>
    </w:p>
    <w:p>
      <w:pPr>
        <w:pStyle w:val="Normal"/>
        <w:bidi w:val="0"/>
        <w:jc w:val="left"/>
        <w:rPr>
          <w:lang w:val="pt-PT"/>
        </w:rPr>
      </w:pPr>
      <w:r>
        <w:rPr/>
        <w:t>As plataformas de personalização estética e os sistemas com visualização explícita do espaço de decisão sugerem que a participação ativa do utilizador aumenta quando as opções editáveis são claras, compreensíveis e associadas a consequências de baixo risco.</w:t>
      </w:r>
      <w:r>
        <w:rPr>
          <w:lang w:val="pt-PT"/>
        </w:rPr>
        <w:t xml:space="preserve"> (Peixoto et al., 2025 (#ref-peixoto-2025)).</w:t>
      </w:r>
    </w:p>
    <w:p>
      <w:pPr>
        <w:pStyle w:val="Normal"/>
        <w:bidi w:val="0"/>
        <w:jc w:val="left"/>
        <w:rPr>
          <w:lang w:val="pt-PT"/>
        </w:rPr>
      </w:pPr>
      <w:r>
        <w:rPr>
          <w:lang w:val="pt-PT"/>
        </w:rPr>
        <w:t xml:space="preserve">A diferença entre estes níveis de participação torna-se mais clara quando se consideram três domínios de personalização que os estudos analisados abordam de forma diferenciada. </w:t>
      </w:r>
      <w:r>
        <w:rPr/>
        <w:t>O primeiro domínio diz respeito à geometria do encaixe e ao ajustamento biomecânico, predominando aqui uma lógica clínica. Neste caso, a pessoa pode fornecer feedback sobre conforto, tolerância ou preferência, mas a decisão permanece centrada no interveniente com competência técnica e responsabilidade pela validação. O segundo domínio corresponde à personalização do controlo e à afinação de sistemas interativos, nos quais a autoridade do utilizador tende a aumentar, uma vez que a sensação de controlo, a carga cognitiva e a adequação do comportamento do sistema em uso dependem da sua avaliação direta. O terceiro domínio relaciona-se com a personalização estética e identitária, em que a autonomia do utilizador pode ser mais ampla, dado que o risco clínico e biomecânico é menor e o critério de adequação depende mais diretamente da sua perceção.</w:t>
      </w:r>
    </w:p>
    <w:p>
      <w:pPr>
        <w:pStyle w:val="Normal"/>
        <w:bidi w:val="0"/>
        <w:jc w:val="left"/>
        <w:rPr>
          <w:lang w:val="pt-PT"/>
        </w:rPr>
      </w:pPr>
      <w:r>
        <w:rPr>
          <w:lang w:val="pt-PT"/>
        </w:rPr>
        <w:t xml:space="preserve">A coexistência destes perfis e domínios justifica a adoção de permissões diferenciadas e de uma experiência graduada por papéis. O sistema não distribui o mesmo poder de edição a todos os agentes, pois isso reduziria a segurança, a coerência e a legibilidade do processo. Em vez disso, estrutura diferentes níveis de acesso, permitindo que determinadas ações sejam reservadas a perfis técnicos, enquanto outras se mantêm acessíveis ao utilizador que acompanha a sua configuração. Esta diferenciação não deve ser entendida como uma limitação arbitrária, mas como uma decisão de desenho que procura equilibrar autonomia, segurança e responsabilidade. </w:t>
      </w:r>
      <w:r>
        <w:rPr/>
        <w:t>Os estudos recentes sobre próteses inteligentes e interfaces configuráveis reforçam esta leitura, ao defenderem modelos de controlo nos quais os parâmetros críticos permanecem sob supervisão profissional, enquanto ajustes mais delimitados podem ser acessíveis ao utilizador final (Bai et al., 2024 (#ref-bai-2024); Quintero et al., 2018 (#ref-quintero-2018)).</w:t>
      </w:r>
    </w:p>
    <w:p>
      <w:pPr>
        <w:pStyle w:val="Normal"/>
        <w:bidi w:val="0"/>
        <w:jc w:val="left"/>
        <w:rPr>
          <w:lang w:val="pt-PT"/>
        </w:rPr>
      </w:pPr>
      <w:r>
        <w:rPr>
          <w:lang w:val="pt-PT"/>
        </w:rPr>
        <w:t>A Figura 7.1 evidencia a importância de analisar a utilização concreta do dispositivo, para além da sua configuração digital. A avaliação com utilizadores permite identificar problemas relacionados com o ajuste ao corpo, o modo de ativação, o conforto e a adequação funcional, aspetos que dificilmente são detetados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 (#ref-silva-alcara-2018)).</w:t>
      </w:r>
    </w:p>
    <w:p>
      <w:pPr>
        <w:pStyle w:val="Normal"/>
        <w:bidi w:val="0"/>
        <w:jc w:val="left"/>
        <w:rPr>
          <w:lang w:val="pt-PT"/>
        </w:rPr>
      </w:pPr>
      <w:r>
        <w:rPr>
          <w:lang w:val="pt-PT"/>
        </w:rPr>
      </w:r>
    </w:p>
    <w:p>
      <w:pPr>
        <w:pStyle w:val="Normal"/>
        <w:bidi w:val="0"/>
        <w:jc w:val="left"/>
        <w:rPr>
          <w:lang w:val="pt-PT"/>
        </w:rPr>
      </w:pPr>
      <w:r>
        <w:rPr/>
        <w:drawing>
          <wp:inline distT="0" distB="0" distL="0" distR="0">
            <wp:extent cx="5038725" cy="4724400"/>
            <wp:effectExtent l="0" t="0" r="0" b="0"/>
            <wp:docPr id="19"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8" descr="Image 18"/>
                    <pic:cNvPicPr>
                      <a:picLocks noChangeAspect="1" noChangeArrowheads="1"/>
                    </pic:cNvPicPr>
                  </pic:nvPicPr>
                  <pic:blipFill>
                    <a:blip r:embed="rId31"/>
                    <a:stretch>
                      <a:fillRect/>
                    </a:stretch>
                  </pic:blipFill>
                  <pic:spPr bwMode="auto">
                    <a:xfrm>
                      <a:off x="0" y="0"/>
                      <a:ext cx="5038725" cy="4724400"/>
                    </a:xfrm>
                    <a:prstGeom prst="rect">
                      <a:avLst/>
                    </a:prstGeom>
                    <a:noFill/>
                  </pic:spPr>
                </pic:pic>
              </a:graphicData>
            </a:graphic>
          </wp:inline>
        </w:drawing>
      </w:r>
    </w:p>
    <w:p>
      <w:pPr>
        <w:pStyle w:val="Normal"/>
        <w:bidi w:val="0"/>
        <w:jc w:val="left"/>
        <w:rPr>
          <w:lang w:val="pt-PT"/>
        </w:rPr>
      </w:pPr>
      <w:r>
        <w:rPr>
          <w:lang w:val="pt-PT"/>
        </w:rPr>
        <w:t>Figura 7.1 — Teste de uma prótese impressa em 3D com utilizador em contexto aplicado.</w:t>
      </w:r>
    </w:p>
    <w:p>
      <w:pPr>
        <w:pStyle w:val="Normal"/>
        <w:bidi w:val="0"/>
        <w:jc w:val="left"/>
        <w:rPr>
          <w:lang w:val="pt-PT"/>
        </w:rPr>
      </w:pPr>
      <w:r>
        <w:rPr>
          <w:lang w:val="pt-PT"/>
        </w:rPr>
        <w:t>Fonte original: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r>
    </w:p>
    <w:p>
      <w:pPr>
        <w:pStyle w:val="Normal"/>
        <w:bidi w:val="0"/>
        <w:jc w:val="left"/>
        <w:rPr>
          <w:lang w:val="pt-PT"/>
        </w:rPr>
      </w:pPr>
      <w:r>
        <w:rPr>
          <w:lang w:val="pt-PT"/>
        </w:rPr>
        <w:t xml:space="preserve">Do ponto de vista da experiência global, a plataforma deve ser entendida como um espaço de colaboração assimétrica. Neste enquadramento, o designer ou técnico dispõe de uma ferramenta que acelera iterações, estrutura a exploração paramétrica e apoia decisões de maior responsabilidade, enquanto o utilizador final obtém maior transparência, compreensão do processo e possibilidade de acompanhamento. O sistema passa, assim, a articular de forma mais clara o conhecimento especializado e a necessidade individual. </w:t>
      </w:r>
      <w:r>
        <w:rPr/>
        <w:t>A utilização da plataforma deve ser entendida, por isso, como uma forma de organizar a intervenção dos diferentes participantes no processo de personalização, articulando decisões técnicas, acompanhamento pelo utilizador e mediação pela interface.</w:t>
      </w:r>
      <w:r>
        <w:rPr>
          <w:lang w:val="pt-PT"/>
        </w:rPr>
        <w:t xml:space="preserve"> Esta leitura é consistente com abordagens human-in-the-loop, nas quais as preferências do utilizador, o ajustamento algorítmico e a supervisão profissional coexistem de forma hierárquica e não mutuamente exclusiva, ao mesmo tempo que a literatura mais ampla sobre fabrico digital em próteses continua a assinalar lacunas de formação, validação longitudinal e comparação sistemática entre workflows (Alili et al., 2023 (#ref-alili-2023); Oldfrey et al., 2024 (#ref-oldfrey-2024)). </w:t>
      </w:r>
      <w:r>
        <w:rPr/>
        <w:t>A distribuição diferenciada de acesso, interpretação e decisão conduz, assim, à questão seguinte: compreender de que modo a plataforma medeia o processo de design, para além de definir quem participa na sua utilização.</w:t>
      </w:r>
    </w:p>
    <w:p>
      <w:pPr>
        <w:pStyle w:val="Heading3"/>
        <w:bidi w:val="0"/>
        <w:jc w:val="left"/>
        <w:rPr>
          <w:lang w:val="pt-PT"/>
        </w:rPr>
      </w:pPr>
      <w:r>
        <w:rPr>
          <w:lang w:val="pt-PT"/>
        </w:rPr>
      </w:r>
    </w:p>
    <w:p>
      <w:pPr>
        <w:pStyle w:val="Heading3"/>
        <w:bidi w:val="0"/>
        <w:jc w:val="left"/>
        <w:rPr>
          <w:lang w:val="pt-PT"/>
        </w:rPr>
      </w:pPr>
      <w:r>
        <w:rPr>
          <w:lang w:val="pt-PT"/>
        </w:rPr>
        <w:t>7.3 Mediação do processo de design e reflexão crítica</w:t>
      </w:r>
    </w:p>
    <w:p>
      <w:pPr>
        <w:pStyle w:val="Heading3"/>
        <w:bidi w:val="0"/>
        <w:jc w:val="left"/>
        <w:rPr>
          <w:lang w:val="pt-PT"/>
        </w:rPr>
      </w:pPr>
      <w:r>
        <w:rPr>
          <w:lang w:val="pt-PT"/>
        </w:rPr>
      </w:r>
    </w:p>
    <w:p>
      <w:pPr>
        <w:pStyle w:val="Normal"/>
        <w:bidi w:val="0"/>
        <w:jc w:val="left"/>
        <w:rPr>
          <w:lang w:val="pt-PT"/>
        </w:rPr>
      </w:pPr>
      <w:r>
        <w:rPr>
          <w:lang w:val="pt-PT"/>
        </w:rPr>
        <w:t xml:space="preserve">O contributo mais relevante da interface não reside apenas em permitir editar parâmetros, mas também em mediar o próprio processo de design. A plataforma introduz uma camada intermédia entre o modelo algorítmico, a decisão técnica e a interpretação do utilizador, reorganizando o desenvolvimento da prótese como uma sequência de interações assistidas. Esta mediação é importante porque reduz a dependência de manipulação direta do código e porque explicita que a personalização não é um ato instantâneo: trata-se de uma dinâmica iterativa de leitura de dados, proposta de configuração, avaliação visual, revisão crítica e eventual exportação para fabrico. </w:t>
      </w:r>
      <w:r>
        <w:rPr/>
        <w:t>Os estudos analisados reforçam que esta dimensão processual é parte central do modo como sistemas digitais desta natureza distribuem trabalho, autoridade e visibilidade entre diferentes intervenientes. A plataforma atua, assim, como uma infraestrutura de mediação, organizando as condições em que determinadas decisões são formuladas, avaliadas e realizadas no processo de design.</w:t>
      </w:r>
    </w:p>
    <w:p>
      <w:pPr>
        <w:pStyle w:val="Normal"/>
        <w:bidi w:val="0"/>
        <w:jc w:val="left"/>
        <w:rPr>
          <w:lang w:val="pt-PT"/>
        </w:rPr>
      </w:pPr>
      <w:r>
        <w:rPr>
          <w:lang w:val="pt-PT"/>
        </w:rPr>
        <w:t>Neste sentido, a interface assume uma dimensão simultaneamente operacional e epistemológica, ao influenciar a forma como o problema é compreendido, como as alternativas são exploradas e como as decisões são justificadas.</w:t>
      </w:r>
    </w:p>
    <w:p>
      <w:pPr>
        <w:pStyle w:val="Normal"/>
        <w:bidi w:val="0"/>
        <w:jc w:val="left"/>
        <w:rPr>
          <w:lang w:val="pt-PT"/>
        </w:rPr>
      </w:pPr>
      <w:r>
        <w:rPr>
          <w:lang w:val="pt-PT"/>
        </w:rPr>
        <w:t xml:space="preserve">Ao disponibilizar parâmetros editáveis, visualização tridimensional, sugestões assistidas por IA e gestão de versões, a plataforma contribui para estruturar o trabalho de projeto e para documentar a evolução das decisões tomadas ao longo do processo. Contudo, essa mesma estrutura também estabelece limites: o utilizador explora o espaço de soluções que o modelo e a interface permitem. </w:t>
      </w:r>
      <w:r>
        <w:rPr/>
        <w:t>A mediação digital amplia a capacidade de ação, mas também define os limites dentro dos quais a personalização pode ocorrer. Os estudos analisados sugerem que as plataformas mais relevantes neste domínio recorrem a mecanismos concretos de mediação, como o controlo diferenciado de permissões, a exposição seletiva de variáveis, os pontos de partida algorítmicos, a visualização orientada pelo problema e a supervisão integrada na própria interface.</w:t>
      </w:r>
    </w:p>
    <w:p>
      <w:pPr>
        <w:pStyle w:val="Normal"/>
        <w:bidi w:val="0"/>
        <w:jc w:val="left"/>
        <w:rPr>
          <w:lang w:val="pt-PT"/>
        </w:rPr>
      </w:pPr>
      <w:r>
        <w:rPr>
          <w:lang w:val="pt-PT"/>
        </w:rPr>
        <w:t>A articulação entre maior capacidade de intervenção e delimitação do campo de decisão torna-se particularmente visível em sistemas que distinguem, de forma deliberada, os parâmetros acessíveis ao utilizador daqueles que permanecem reservados a profissionais ou a rotinas automáticas de ajuste. (Bai et al., 2024 (#ref-bai-2024); Alili et al., 2023 (#ref-alili-2023)).</w:t>
      </w:r>
    </w:p>
    <w:p>
      <w:pPr>
        <w:pStyle w:val="Normal"/>
        <w:bidi w:val="0"/>
        <w:jc w:val="left"/>
        <w:rPr>
          <w:lang w:val="pt-PT"/>
        </w:rPr>
      </w:pPr>
      <w:r>
        <w:rPr>
          <w:lang w:val="pt-PT"/>
        </w:rPr>
        <w:t>Uma implicação desta leitura é que a plataforma medeia tanto quem utiliza o sistema como aquilo que se torna visível no processo. A visualização tridimensional, os indicadores de estado, os limites paramétricos e os mecanismos de feedback participam ativamente na forma como o problema é compreendido, interpretado e avaliado.</w:t>
      </w:r>
    </w:p>
    <w:p>
      <w:pPr>
        <w:pStyle w:val="Normal"/>
        <w:bidi w:val="0"/>
        <w:jc w:val="left"/>
        <w:rPr>
          <w:lang w:val="pt-PT"/>
        </w:rPr>
      </w:pPr>
      <w:r>
        <w:rPr>
          <w:lang w:val="pt-PT"/>
        </w:rPr>
        <w:t>Ao tornar certas relações mais visíveis e outras menos acessíveis, a interface produz uma forma específica de legibilidade do processo de personalização. O mesmo se aplica aos mecanismos de comparação e revisão: quando o sistema oferece variantes, propõe valores iniciais ou assinala incongruências, está a intervir na forma como as alternativas são construídas antes mesmo de serem escolhidas.</w:t>
      </w:r>
    </w:p>
    <w:p>
      <w:pPr>
        <w:pStyle w:val="Normal"/>
        <w:bidi w:val="0"/>
        <w:jc w:val="left"/>
        <w:rPr>
          <w:highlight w:val="none"/>
          <w:shd w:fill="auto" w:val="clear"/>
          <w:lang w:val="pt-PT"/>
        </w:rPr>
      </w:pPr>
      <w:r>
        <w:rPr>
          <w:shd w:fill="auto" w:val="clear"/>
          <w:lang w:val="pt-PT"/>
        </w:rPr>
        <w:t>Nesta perspetiva, a mediação digital participa na forma como as decisões de projeto são preparadas, avaliadas e justificadas. Esta observação conduz a uma reflexão crítica sobre o papel da plataforma no próprio processo de design.</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 O facto de um parâmetro ser apresentado como controlo disponível, ou de uma sugestão surgir com aparência de plausibilidade técnica, não significa que a solução esteja validada ou que represente a melhor opção em todos os contextos. A mediação da interface deve, por isso, ser avaliada não apenas pela sua eficiência, mas também pela forma como torna visíveis as dependências, as incertezas e as responsabilidades envolvidas no processo. A literatura analisada reforça esta cautela: resultados positivos de usabilidade ou de rapidez de afinação não eliminam a necessidade de definir quem decide, quais parâmetros podem ser alterados, quais decisões ficam pré-estruturadas pelo sistema e sob quais condições essas alterações são consideradas seguras ou adequadas (Peixoto et al., 2025 (#ref-peixoto-2025); Quintero et al., 2018 (#ref-quintero-2018); Bai et al., 2024 (#ref-bai-2024)).</w:t>
      </w:r>
    </w:p>
    <w:p>
      <w:pPr>
        <w:pStyle w:val="Normal"/>
        <w:bidi w:val="0"/>
        <w:jc w:val="left"/>
        <w:rPr>
          <w:lang w:val="pt-PT"/>
        </w:rPr>
      </w:pPr>
      <w:r>
        <w:rPr>
          <w:lang w:val="pt-PT"/>
        </w:rPr>
        <w:t>Uma interface bem desenhada pode criar a sensação de evidência ou de neutralidade em decisões que continuam condicionadas por critérios de projeto, pressupostos técnicos e escolhas interpretativas.</w:t>
      </w:r>
    </w:p>
    <w:p>
      <w:pPr>
        <w:pStyle w:val="Normal"/>
        <w:bidi w:val="0"/>
        <w:jc w:val="left"/>
        <w:rPr>
          <w:lang w:val="pt-PT"/>
        </w:rPr>
      </w:pPr>
      <w:r>
        <w:rPr>
          <w:lang w:val="pt-PT"/>
        </w:rPr>
        <w:t>A mediação do processo de design preserva a responsabilidade pelas decisões de projeto e a necessidade de validação técnica, reorganizando ambas num ambiente digital mais controlado e explícito.</w:t>
      </w:r>
    </w:p>
    <w:p>
      <w:pPr>
        <w:pStyle w:val="Normal"/>
        <w:bidi w:val="0"/>
        <w:jc w:val="left"/>
        <w:rPr>
          <w:lang w:val="pt-PT"/>
        </w:rPr>
      </w:pPr>
      <w:r>
        <w:rPr>
          <w:lang w:val="pt-PT"/>
        </w:rPr>
        <w:t>A plataforma distribui a capacidade de intervenção de forma diferenciada: concentra certas decisões em intervenientes tecnicamente qualificados, abre outras à participação informada do utilizador e enquadra outras através de sugestões produzidas por IA.</w:t>
      </w:r>
    </w:p>
    <w:p>
      <w:pPr>
        <w:pStyle w:val="Normal"/>
        <w:bidi w:val="0"/>
        <w:jc w:val="left"/>
        <w:rPr>
          <w:lang w:val="pt-PT"/>
        </w:rPr>
      </w:pPr>
      <w:r>
        <w:rPr>
          <w:lang w:val="pt-PT"/>
        </w:rPr>
        <w:t>É precisamente nessa articulação entre interface, lógica paramétrica, sugestão assistida, visibilidade seletiva e responsabilidade crítica que reside o valor metodológico deste sistema enquanto contributo para o design de próteses personalizadas.</w:t>
      </w:r>
    </w:p>
    <w:p>
      <w:pPr>
        <w:pStyle w:val="Heading2"/>
        <w:bidi w:val="0"/>
        <w:jc w:val="left"/>
        <w:rPr>
          <w:lang w:val="pt-PT"/>
        </w:rPr>
      </w:pPr>
      <w:r>
        <w:rPr>
          <w:lang w:val="pt-PT"/>
        </w:rPr>
      </w:r>
    </w:p>
    <w:p>
      <w:pPr>
        <w:pStyle w:val="Heading2"/>
        <w:bidi w:val="0"/>
        <w:jc w:val="left"/>
        <w:rPr>
          <w:lang w:val="pt-PT"/>
        </w:rPr>
      </w:pPr>
      <w:r>
        <w:rPr>
          <w:lang w:val="pt-PT"/>
        </w:rPr>
        <w:t>Capítulo 8 — Avaliação e Discussão</w:t>
      </w:r>
    </w:p>
    <w:p>
      <w:pPr>
        <w:pStyle w:val="Heading3"/>
        <w:bidi w:val="0"/>
        <w:jc w:val="left"/>
        <w:rPr>
          <w:lang w:val="pt-PT"/>
        </w:rPr>
      </w:pPr>
      <w:r>
        <w:rPr>
          <w:lang w:val="pt-PT"/>
        </w:rPr>
      </w:r>
    </w:p>
    <w:p>
      <w:pPr>
        <w:pStyle w:val="Heading3"/>
        <w:bidi w:val="0"/>
        <w:jc w:val="left"/>
        <w:rPr>
          <w:lang w:val="pt-PT"/>
        </w:rPr>
      </w:pPr>
      <w:r>
        <w:rPr>
          <w:lang w:val="pt-PT"/>
        </w:rPr>
        <w:t>8.1 Estratégia e critérios de avaliação</w:t>
      </w:r>
    </w:p>
    <w:p>
      <w:pPr>
        <w:pStyle w:val="Normal"/>
        <w:bidi w:val="0"/>
        <w:jc w:val="left"/>
        <w:rPr>
          <w:lang w:val="pt-PT"/>
        </w:rPr>
      </w:pPr>
      <w:r>
        <w:rPr>
          <w:lang w:val="pt-PT"/>
        </w:rPr>
      </w:r>
    </w:p>
    <w:p>
      <w:pPr>
        <w:pStyle w:val="Normal"/>
        <w:bidi w:val="0"/>
        <w:jc w:val="left"/>
        <w:rPr>
          <w:lang w:val="pt-PT"/>
        </w:rPr>
      </w:pPr>
      <w:r>
        <w:rPr>
          <w:lang w:val="pt-PT"/>
        </w:rPr>
        <w:t>A avaliação do sistema foi organizada em torno de três níveis complementares: coerência técnica do modelo paramétrico, funcionamento da plataforma digital e plausibilidade das sugestões assistidas por IA.</w:t>
      </w:r>
    </w:p>
    <w:p>
      <w:pPr>
        <w:pStyle w:val="Normal"/>
        <w:bidi w:val="0"/>
        <w:jc w:val="left"/>
        <w:rPr>
          <w:lang w:val="pt-PT"/>
        </w:rPr>
      </w:pPr>
      <w:r>
        <w:rPr>
          <w:lang w:val="pt-PT"/>
        </w:rPr>
        <w:t>Esta separação demonstrou-se necessária pois o projeto combina componentes de natureza distinta.</w:t>
      </w:r>
    </w:p>
    <w:p>
      <w:pPr>
        <w:pStyle w:val="Normal"/>
        <w:bidi w:val="0"/>
        <w:jc w:val="left"/>
        <w:rPr>
          <w:lang w:val="pt-PT"/>
        </w:rPr>
      </w:pPr>
      <w:r>
        <w:rPr>
          <w:lang w:val="pt-PT"/>
        </w:rPr>
        <w:t>Um modelo OpenSCAD pode ser parametricamente consistente e, ainda assim, a interface pode não tornar essa consistência compreensível; do mesmo modo, uma sugestão de IA pode ser plausível como ponto de partida e continuar insuficiente como validação final da prótese. Os critérios usados procuram avaliar o encadeamento entre dados, parâmetros, renderização, exportação e revisão humana, em vez de tratar qualquer componente como solução autónoma.</w:t>
      </w:r>
    </w:p>
    <w:p>
      <w:pPr>
        <w:pStyle w:val="Normal"/>
        <w:bidi w:val="0"/>
        <w:jc w:val="left"/>
        <w:rPr>
          <w:lang w:val="pt-PT"/>
        </w:rPr>
      </w:pPr>
      <w:r>
        <w:rPr>
          <w:lang w:val="pt-PT"/>
        </w:rPr>
        <w:t xml:space="preserve">No plano antropométrico, a avaliação concentrou-se em invariantes: conformidade com o esquema de parâmetros, respeito pelos limites mínimos e máximos, proporcionalidade entre dedos, adequação etária, coerência com intervalos adultos e lateralidade correta em casos de amputação unilateral. </w:t>
        <w:br/>
        <w:t>Estes critérios foram escolhidos porque são verificáveis dentro do sistema e correspondem a riscos diretamente relacionados com a personalização inicial.</w:t>
      </w:r>
    </w:p>
    <w:p>
      <w:pPr>
        <w:pStyle w:val="Normal"/>
        <w:bidi w:val="0"/>
        <w:jc w:val="left"/>
        <w:rPr>
          <w:lang w:val="pt-PT"/>
        </w:rPr>
      </w:pPr>
      <w:r>
        <w:rPr/>
        <w:t>Estas validações incidem sobre a coerência preliminar do processo, permitindo verificar se a cadeia entre descrição livre, sugestão paramétrica e modelo renderizado preserva condições mínimas de plausibilidade antes de qualquer prototipagem. A avaliação de conforto, desempenho funcional e segurança clínica permanece dependente de testes posteriores com utilizadores e validação especializada.</w:t>
      </w:r>
    </w:p>
    <w:p>
      <w:pPr>
        <w:pStyle w:val="Normal"/>
        <w:bidi w:val="0"/>
        <w:jc w:val="left"/>
        <w:rPr>
          <w:lang w:val="pt-PT"/>
        </w:rPr>
      </w:pPr>
      <w:r>
        <w:rPr>
          <w:lang w:val="pt-PT"/>
        </w:rPr>
        <w:t>A avaliação geométrica prolongou estes critérios até à etapa de exportação do modelo para fabrico. Para isso, foram executados fluxos de ponta a ponta com a interface real, incluindo autenticação, introdução da descrição do paciente, chamada ao serviço de IA, aplicação dos valores sugeridos, renderização por OpenSCAD/WebAssembly, exportação em STL e medição das malhas resultantes.</w:t>
      </w:r>
    </w:p>
    <w:p>
      <w:pPr>
        <w:pStyle w:val="Normal"/>
        <w:bidi w:val="0"/>
        <w:jc w:val="left"/>
        <w:rPr>
          <w:lang w:val="pt-PT"/>
        </w:rPr>
      </w:pPr>
      <w:r>
        <w:rPr>
          <w:lang w:val="pt-PT"/>
        </w:rPr>
        <w:t>Esta etapa foi relevante porque a correção dos valores numéricos sugeridos não garante, por si só, que a geometria final responda de forma coerente aos parâmetros aplicados. A medição das peças exportadas permitiu verificar se as relações paramétricas definidas se preservavam desde a sugestão inicial até ao modelo gerado.</w:t>
      </w:r>
    </w:p>
    <w:p>
      <w:pPr>
        <w:pStyle w:val="Normal"/>
        <w:bidi w:val="0"/>
        <w:jc w:val="left"/>
        <w:rPr>
          <w:lang w:val="pt-PT"/>
        </w:rPr>
      </w:pPr>
      <w:r>
        <w:rPr>
          <w:lang w:val="pt-PT"/>
        </w:rPr>
        <w:t>A Figura 8.1 apresenta um precedente de avaliação funcional baseado em tarefas quotidianas de membro superior. Embora o presente trabalho não realize validação clínica nem testes com utilizadores reais, este tipo de protocolo ajuda a enquadrar o horizonte de avaliação futura: depois da coerência paramétrica e geométrica, será necessário observar desempenho em tarefas, facilidade de uso e adequação funcional em contexto real (Romero et al., 2025 (#ref-romero-2025)).</w:t>
      </w:r>
    </w:p>
    <w:p>
      <w:pPr>
        <w:pStyle w:val="Normal"/>
        <w:bidi w:val="0"/>
        <w:jc w:val="left"/>
        <w:rPr>
          <w:lang w:val="pt-PT"/>
        </w:rPr>
      </w:pPr>
      <w:r>
        <w:rPr>
          <w:lang w:val="pt-PT"/>
        </w:rPr>
      </w:r>
    </w:p>
    <w:p>
      <w:pPr>
        <w:pStyle w:val="Normal"/>
        <w:bidi w:val="0"/>
        <w:jc w:val="left"/>
        <w:rPr>
          <w:lang w:val="pt-PT"/>
        </w:rPr>
      </w:pPr>
      <w:r>
        <w:rPr/>
        <w:drawing>
          <wp:inline distT="0" distB="0" distL="0" distR="0">
            <wp:extent cx="5715000" cy="3571875"/>
            <wp:effectExtent l="0" t="0" r="0" b="0"/>
            <wp:docPr id="20"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9" descr="Image 19"/>
                    <pic:cNvPicPr>
                      <a:picLocks noChangeAspect="1" noChangeArrowheads="1"/>
                    </pic:cNvPicPr>
                  </pic:nvPicPr>
                  <pic:blipFill>
                    <a:blip r:embed="rId32"/>
                    <a:stretch>
                      <a:fillRect/>
                    </a:stretch>
                  </pic:blipFill>
                  <pic:spPr bwMode="auto">
                    <a:xfrm>
                      <a:off x="0" y="0"/>
                      <a:ext cx="5715000" cy="3571875"/>
                    </a:xfrm>
                    <a:prstGeom prst="rect">
                      <a:avLst/>
                    </a:prstGeom>
                    <a:noFill/>
                  </pic:spPr>
                </pic:pic>
              </a:graphicData>
            </a:graphic>
          </wp:inline>
        </w:drawing>
      </w:r>
    </w:p>
    <w:p>
      <w:pPr>
        <w:pStyle w:val="Normal"/>
        <w:bidi w:val="0"/>
        <w:jc w:val="left"/>
        <w:rPr>
          <w:lang w:val="pt-PT"/>
        </w:rPr>
      </w:pPr>
      <w:r>
        <w:rPr>
          <w:lang w:val="pt-PT"/>
        </w:rPr>
        <w:t>Figura 8.1 — Tarefas funcionais usadas em avaliação de prótese personalizada de membro superior.</w:t>
      </w:r>
    </w:p>
    <w:p>
      <w:pPr>
        <w:pStyle w:val="Normal"/>
        <w:bidi w:val="0"/>
        <w:jc w:val="left"/>
        <w:rPr>
          <w:lang w:val="pt-PT"/>
        </w:rPr>
      </w:pPr>
      <w:r>
        <w:rPr>
          <w:lang w:val="pt-PT"/>
        </w:rPr>
        <w:t>Fonte original: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3"/>
        <w:bidi w:val="0"/>
        <w:jc w:val="left"/>
        <w:rPr>
          <w:lang w:val="pt-PT"/>
        </w:rPr>
      </w:pPr>
      <w:r>
        <w:rPr>
          <w:lang w:val="pt-PT"/>
        </w:rPr>
      </w:r>
    </w:p>
    <w:p>
      <w:pPr>
        <w:pStyle w:val="Heading3"/>
        <w:bidi w:val="0"/>
        <w:jc w:val="left"/>
        <w:rPr>
          <w:lang w:val="pt-PT"/>
        </w:rPr>
      </w:pPr>
      <w:r>
        <w:rPr>
          <w:lang w:val="pt-PT"/>
        </w:rPr>
        <w:t>8.2 Validação antropométrica das sugestões de IA</w:t>
      </w:r>
    </w:p>
    <w:p>
      <w:pPr>
        <w:pStyle w:val="Heading3"/>
        <w:bidi w:val="0"/>
        <w:jc w:val="left"/>
        <w:rPr>
          <w:lang w:val="pt-PT"/>
        </w:rPr>
      </w:pPr>
      <w:r>
        <w:rPr>
          <w:lang w:val="pt-PT"/>
        </w:rPr>
      </w:r>
    </w:p>
    <w:p>
      <w:pPr>
        <w:pStyle w:val="Normal"/>
        <w:bidi w:val="0"/>
        <w:jc w:val="left"/>
        <w:rPr>
          <w:lang w:val="pt-PT"/>
        </w:rPr>
      </w:pPr>
      <w:r>
        <w:rPr>
          <w:lang w:val="pt-PT"/>
        </w:rPr>
        <w:t>O primeiro conjunto experimental incidiu sobre cinco perfis antropométricos simulados, construídos a partir de indicadores populacionais indiretos, incluindo idade, sexo, altura, peso, país, comprimento do braço e constituição física. Como estes perfis não incluíam medições diretas da mão, a avaliação centrou-se na capacidade do sistema para produzir sugestões paramétricas plausíveis a partir de informação contextual.</w:t>
      </w:r>
    </w:p>
    <w:p>
      <w:pPr>
        <w:pStyle w:val="Normal"/>
        <w:bidi w:val="0"/>
        <w:jc w:val="left"/>
        <w:rPr>
          <w:lang w:val="pt-PT"/>
        </w:rPr>
      </w:pPr>
      <w:r>
        <w:rPr>
          <w:lang w:val="pt-PT"/>
        </w:rPr>
        <w:t>Este cenário assume especial relevância para a acessibilidade do sistema, uma vez que representa o caso de um utilizador capaz de descrever a pessoa através de informação contextual, sem domínio dos procedimentos específicos de medição antropométrica.</w:t>
      </w:r>
    </w:p>
    <w:p>
      <w:pPr>
        <w:pStyle w:val="Normal"/>
        <w:bidi w:val="0"/>
        <w:jc w:val="left"/>
        <w:rPr>
          <w:lang w:val="pt-PT"/>
        </w:rPr>
      </w:pPr>
      <w:r>
        <w:rPr>
          <w:lang w:val="pt-PT"/>
        </w:rPr>
        <w:t>Nas cinco situações, a IA produziu JSON válido, usou apenas parâmetros existentes, respeitou os limites declarados do modelo e manteve a ordenação anatómica esperada entre os dedos.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t>Tabela 8.1 — Entradas/prompt utilizadas para criação dos perfis de validação antropométrica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1907"/>
        <w:gridCol w:w="1927"/>
        <w:gridCol w:w="2597"/>
        <w:gridCol w:w="2595"/>
      </w:tblGrid>
      <w:tr>
        <w:trPr>
          <w:tblHeader w:val="true"/>
        </w:trPr>
        <w:tc>
          <w:tcPr>
            <w:tcW w:w="1907" w:type="dxa"/>
            <w:tcBorders/>
            <w:vAlign w:val="center"/>
          </w:tcPr>
          <w:p>
            <w:pPr>
              <w:pStyle w:val="TableHeading"/>
              <w:rPr/>
            </w:pPr>
            <w:r>
              <w:rPr/>
              <w:t>Conjunto experimental</w:t>
            </w:r>
          </w:p>
        </w:tc>
        <w:tc>
          <w:tcPr>
            <w:tcW w:w="1927" w:type="dxa"/>
            <w:tcBorders/>
            <w:vAlign w:val="center"/>
          </w:tcPr>
          <w:p>
            <w:pPr>
              <w:pStyle w:val="TableHeading"/>
              <w:rPr/>
            </w:pPr>
            <w:r>
              <w:rPr/>
              <w:t>Tipo de perfil criado</w:t>
            </w:r>
          </w:p>
        </w:tc>
        <w:tc>
          <w:tcPr>
            <w:tcW w:w="2597" w:type="dxa"/>
            <w:tcBorders/>
            <w:vAlign w:val="center"/>
          </w:tcPr>
          <w:p>
            <w:pPr>
              <w:pStyle w:val="TableHeading"/>
              <w:rPr/>
            </w:pPr>
            <w:r>
              <w:rPr/>
              <w:t>Descrição usada como entrada</w:t>
            </w:r>
          </w:p>
        </w:tc>
        <w:tc>
          <w:tcPr>
            <w:tcW w:w="2595" w:type="dxa"/>
            <w:tcBorders/>
            <w:vAlign w:val="center"/>
          </w:tcPr>
          <w:p>
            <w:pPr>
              <w:pStyle w:val="TableHeading"/>
              <w:rPr/>
            </w:pPr>
            <w:r>
              <w:rPr/>
              <w:t>Finalidade da validação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dados demográficos e regionais</w:t>
            </w:r>
          </w:p>
        </w:tc>
        <w:tc>
          <w:tcPr>
            <w:tcW w:w="2597" w:type="dxa"/>
            <w:tcBorders/>
            <w:vAlign w:val="center"/>
          </w:tcPr>
          <w:p>
            <w:pPr>
              <w:pStyle w:val="TableContents"/>
              <w:rPr/>
            </w:pPr>
            <w:r>
              <w:rPr/>
              <w:t>man, 28 years old, 82 kg, 180 cm height, Brazil, arm length 70 cm</w:t>
            </w:r>
          </w:p>
        </w:tc>
        <w:tc>
          <w:tcPr>
            <w:tcW w:w="2595" w:type="dxa"/>
            <w:tcBorders/>
            <w:vAlign w:val="center"/>
          </w:tcPr>
          <w:p>
            <w:pPr>
              <w:pStyle w:val="TableContents"/>
              <w:rPr/>
            </w:pPr>
            <w:r>
              <w:rPr/>
              <w:t>Testar a inferência paramétrica sem medições diretas da mão</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Criança do sexo feminino, com estrutura corporal pequena</w:t>
            </w:r>
          </w:p>
        </w:tc>
        <w:tc>
          <w:tcPr>
            <w:tcW w:w="2597" w:type="dxa"/>
            <w:tcBorders/>
            <w:vAlign w:val="center"/>
          </w:tcPr>
          <w:p>
            <w:pPr>
              <w:pStyle w:val="TableContents"/>
              <w:rPr/>
            </w:pPr>
            <w:r>
              <w:rPr/>
              <w:t>girl, 10 years old, 32 kg, 138 cm height, Japan, small frame</w:t>
            </w:r>
          </w:p>
        </w:tc>
        <w:tc>
          <w:tcPr>
            <w:tcW w:w="2595" w:type="dxa"/>
            <w:tcBorders/>
            <w:vAlign w:val="center"/>
          </w:tcPr>
          <w:p>
            <w:pPr>
              <w:pStyle w:val="TableContents"/>
              <w:rPr/>
            </w:pPr>
            <w:r>
              <w:rPr/>
              <w:t>Verificar o ajuste à idade e a redução das dimensões e dos componentes mecânicos</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Mulher idosa com dados demográficos e regionais</w:t>
            </w:r>
          </w:p>
        </w:tc>
        <w:tc>
          <w:tcPr>
            <w:tcW w:w="2597" w:type="dxa"/>
            <w:tcBorders/>
            <w:vAlign w:val="center"/>
          </w:tcPr>
          <w:p>
            <w:pPr>
              <w:pStyle w:val="TableContents"/>
              <w:rPr/>
            </w:pPr>
            <w:r>
              <w:rPr/>
              <w:t>woman, 65 years old, 68 kg, 160 cm height, Nigeria, arm length 62 cm</w:t>
            </w:r>
          </w:p>
        </w:tc>
        <w:tc>
          <w:tcPr>
            <w:tcW w:w="2595" w:type="dxa"/>
            <w:tcBorders/>
            <w:vAlign w:val="center"/>
          </w:tcPr>
          <w:p>
            <w:pPr>
              <w:pStyle w:val="TableContents"/>
              <w:rPr/>
            </w:pPr>
            <w:r>
              <w:rPr/>
              <w:t>Avaliar a plausibilidade dos parâmetros num perfil adulto feminino e sénior</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Adulto masculino com indicação qualitativa de mãos largas</w:t>
            </w:r>
          </w:p>
        </w:tc>
        <w:tc>
          <w:tcPr>
            <w:tcW w:w="2597" w:type="dxa"/>
            <w:tcBorders/>
            <w:vAlign w:val="center"/>
          </w:tcPr>
          <w:p>
            <w:pPr>
              <w:pStyle w:val="TableContents"/>
              <w:rPr/>
            </w:pPr>
            <w:r>
              <w:rPr/>
              <w:t>man, 50 years old, 95 kg, 175 cm height, Germany, broad hands, arm length 66 cm</w:t>
            </w:r>
          </w:p>
        </w:tc>
        <w:tc>
          <w:tcPr>
            <w:tcW w:w="2595" w:type="dxa"/>
            <w:tcBorders/>
            <w:vAlign w:val="center"/>
          </w:tcPr>
          <w:p>
            <w:pPr>
              <w:pStyle w:val="TableContents"/>
              <w:rPr/>
            </w:pPr>
            <w:r>
              <w:rPr/>
              <w:t>Verificar a resposta do sistema a uma característica anatómica descrita qualitativamente</w:t>
            </w:r>
          </w:p>
        </w:tc>
      </w:tr>
      <w:tr>
        <w:trPr/>
        <w:tc>
          <w:tcPr>
            <w:tcW w:w="1907" w:type="dxa"/>
            <w:tcBorders/>
            <w:vAlign w:val="center"/>
          </w:tcPr>
          <w:p>
            <w:pPr>
              <w:pStyle w:val="TableContents"/>
              <w:rPr/>
            </w:pPr>
            <w:r>
              <w:rPr/>
              <w:t>Ensaio 1 — indicadores populacionais indiretos</w:t>
            </w:r>
          </w:p>
        </w:tc>
        <w:tc>
          <w:tcPr>
            <w:tcW w:w="1927" w:type="dxa"/>
            <w:tcBorders/>
            <w:vAlign w:val="center"/>
          </w:tcPr>
          <w:p>
            <w:pPr>
              <w:pStyle w:val="TableContents"/>
              <w:rPr/>
            </w:pPr>
            <w:r>
              <w:rPr/>
              <w:t>Adolescente masculino alto e magro</w:t>
            </w:r>
          </w:p>
        </w:tc>
        <w:tc>
          <w:tcPr>
            <w:tcW w:w="2597" w:type="dxa"/>
            <w:tcBorders/>
            <w:vAlign w:val="center"/>
          </w:tcPr>
          <w:p>
            <w:pPr>
              <w:pStyle w:val="TableContents"/>
              <w:rPr/>
            </w:pPr>
            <w:r>
              <w:rPr/>
              <w:t>teenage boy, 15 years old, 60 kg, 168 cm height, India, slim build, arm length 67 cm</w:t>
            </w:r>
          </w:p>
        </w:tc>
        <w:tc>
          <w:tcPr>
            <w:tcW w:w="2595" w:type="dxa"/>
            <w:tcBorders/>
            <w:vAlign w:val="center"/>
          </w:tcPr>
          <w:p>
            <w:pPr>
              <w:pStyle w:val="TableContents"/>
              <w:rPr/>
            </w:pPr>
            <w:r>
              <w:rPr/>
              <w:t>Testar a fronteira entre perfil pediátrico e dimensões próximas de adulto</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completa com medições da mão intacta</w:t>
            </w:r>
          </w:p>
        </w:tc>
        <w:tc>
          <w:tcPr>
            <w:tcW w:w="2597" w:type="dxa"/>
            <w:tcBorders/>
            <w:vAlign w:val="center"/>
          </w:tcPr>
          <w:p>
            <w:pPr>
              <w:pStyle w:val="TableContents"/>
              <w:rPr/>
            </w:pPr>
            <w:r>
              <w:rPr/>
              <w:t>Medições completas da mão esquerda intacta: palma 84 mm; indicador 72 mm; médio 78 mm; anelar 75 mm; mínimo 58 mm; polegar 64 mm; prótese necessária para a mão direita</w:t>
            </w:r>
          </w:p>
        </w:tc>
        <w:tc>
          <w:tcPr>
            <w:tcW w:w="2595" w:type="dxa"/>
            <w:tcBorders/>
            <w:vAlign w:val="center"/>
          </w:tcPr>
          <w:p>
            <w:pPr>
              <w:pStyle w:val="TableContents"/>
              <w:rPr/>
            </w:pPr>
            <w:r>
              <w:rPr/>
              <w:t>Confirmar a preservação dos valores fornecidos e a geração contralateral</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parcial com dados demográficos e uma medição direta</w:t>
            </w:r>
          </w:p>
        </w:tc>
        <w:tc>
          <w:tcPr>
            <w:tcW w:w="2597" w:type="dxa"/>
            <w:tcBorders/>
            <w:vAlign w:val="center"/>
          </w:tcPr>
          <w:p>
            <w:pPr>
              <w:pStyle w:val="TableContents"/>
              <w:rPr/>
            </w:pPr>
            <w:r>
              <w:rPr/>
              <w:t>Homem, 40 anos; mão direita intacta; largura da palma 90 mm; prótese necessária para a mão esquerda</w:t>
            </w:r>
          </w:p>
        </w:tc>
        <w:tc>
          <w:tcPr>
            <w:tcW w:w="2595" w:type="dxa"/>
            <w:tcBorders/>
            <w:vAlign w:val="center"/>
          </w:tcPr>
          <w:p>
            <w:pPr>
              <w:pStyle w:val="TableContents"/>
              <w:rPr/>
            </w:pPr>
            <w:r>
              <w:rPr/>
              <w:t>Confirmar a manutenção da medida fornecida e a estimativa proporcional dos campos em falta</w:t>
            </w:r>
          </w:p>
        </w:tc>
      </w:tr>
      <w:tr>
        <w:trPr/>
        <w:tc>
          <w:tcPr>
            <w:tcW w:w="1907" w:type="dxa"/>
            <w:tcBorders/>
            <w:vAlign w:val="center"/>
          </w:tcPr>
          <w:p>
            <w:pPr>
              <w:pStyle w:val="TableContents"/>
              <w:rPr/>
            </w:pPr>
            <w:r>
              <w:rPr/>
              <w:t>Ensaio 2 — amputação unilateral</w:t>
            </w:r>
          </w:p>
        </w:tc>
        <w:tc>
          <w:tcPr>
            <w:tcW w:w="1927" w:type="dxa"/>
            <w:tcBorders/>
            <w:vAlign w:val="center"/>
          </w:tcPr>
          <w:p>
            <w:pPr>
              <w:pStyle w:val="TableContents"/>
              <w:rPr/>
            </w:pPr>
            <w:r>
              <w:rPr/>
              <w:t>Entrada apenas demográfica</w:t>
            </w:r>
          </w:p>
        </w:tc>
        <w:tc>
          <w:tcPr>
            <w:tcW w:w="2597" w:type="dxa"/>
            <w:tcBorders/>
            <w:vAlign w:val="center"/>
          </w:tcPr>
          <w:p>
            <w:pPr>
              <w:pStyle w:val="TableContents"/>
              <w:rPr/>
            </w:pPr>
            <w:r>
              <w:rPr/>
              <w:t>Mulher, 30 anos, asiática oriental, 158 cm; prótese necessária para a mão direita</w:t>
            </w:r>
          </w:p>
        </w:tc>
        <w:tc>
          <w:tcPr>
            <w:tcW w:w="2595" w:type="dxa"/>
            <w:tcBorders/>
            <w:vAlign w:val="center"/>
          </w:tcPr>
          <w:p>
            <w:pPr>
              <w:pStyle w:val="TableContents"/>
              <w:rPr/>
            </w:pPr>
            <w:r>
              <w:rPr/>
              <w:t>Verificar a adaptação do sistema quando não existem medições diretas da mão</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Fonte: elaboração própria a partir dos prompts registados no protocolo de validação antropométrica assistida por IA (</w:t>
      </w:r>
      <w:r>
        <w:rPr>
          <w:rFonts w:ascii="Consolas" w:hAnsi="Consolas"/>
          <w:sz w:val="20"/>
          <w:lang w:val="pt-PT"/>
        </w:rPr>
        <w:t>docs/ai</w:t>
      </w:r>
      <w:r>
        <w:rPr>
          <w:i/>
          <w:lang w:val="pt-PT"/>
        </w:rPr>
        <w:t>anthropometric</w:t>
      </w:r>
      <w:r>
        <w:rPr>
          <w:lang w:val="pt-PT"/>
        </w:rPr>
        <w:t>validation.md</w:t>
      </w:r>
      <w:r>
        <w:rPr>
          <w:rFonts w:ascii="Consolas" w:hAnsi="Consolas"/>
          <w:sz w:val="20"/>
          <w:lang w:val="pt-PT"/>
        </w:rPr>
        <w:t>) e nos metadados de execução dos ensaios (</w:t>
      </w:r>
      <w:r>
        <w:rPr>
          <w:lang w:val="pt-PT"/>
        </w:rPr>
        <w:t>docs/</w:t>
      </w:r>
      <w:r>
        <w:rPr>
          <w:i/>
          <w:lang w:val="pt-PT"/>
        </w:rPr>
        <w:t>-ai-sim/run-metadata.json</w:t>
      </w:r>
      <w:r>
        <w:rPr>
          <w:rFonts w:ascii="Consolas" w:hAnsi="Consolas"/>
          <w:sz w:val="20"/>
          <w:lang w:val="pt-PT"/>
        </w:rPr>
        <w:t>). A coluna apresenta a entrada de paciente usada no prompt; o prompt completo incluía ainda o schema vivo do modelo, os intervalos permitidos e a instrução de devolver apenas JSON válido.</w:t>
      </w:r>
    </w:p>
    <w:p>
      <w:pPr>
        <w:pStyle w:val="Normal"/>
        <w:bidi w:val="0"/>
        <w:jc w:val="left"/>
        <w:rPr>
          <w:lang w:val="pt-PT"/>
        </w:rPr>
      </w:pPr>
      <w:r>
        <w:rPr>
          <w:lang w:val="pt-PT"/>
        </w:rPr>
      </w:r>
    </w:p>
    <w:p>
      <w:pPr>
        <w:pStyle w:val="Normal"/>
        <w:bidi w:val="0"/>
        <w:jc w:val="left"/>
        <w:rPr>
          <w:lang w:val="pt-PT"/>
        </w:rPr>
      </w:pPr>
      <w:r>
        <w:rPr>
          <w:lang w:val="pt-PT"/>
        </w:rPr>
        <w:t>A leitura dos resultados mostra uma adaptação coerente ao grau de detalhe da informação disponível. Nos perfis adultos, as dimensões sugeridas permaneceram dentro dos intervalos antropométricos usados como referência no sistema. No perfil infantil, as dimensões foram reduzidas de forma consistente e os parâmetros relativos aos componentes mecânicos das articulações flexíveis foram também ajustados, com base na informação presente nas legendas do esquema.</w:t>
      </w:r>
    </w:p>
    <w:p>
      <w:pPr>
        <w:pStyle w:val="Normal"/>
        <w:bidi w:val="0"/>
        <w:jc w:val="left"/>
        <w:rPr>
          <w:lang w:val="pt-PT"/>
        </w:rPr>
      </w:pPr>
      <w:r>
        <w:rPr>
          <w:lang w:val="pt-PT"/>
        </w:rPr>
        <w:t>No perfil adolescente, um critério preliminar de verificação assinalou a dimensão da palma como potencialmente excessiva. Contudo, a análise posterior mostrou que o valor era compatível com um adolescente alto em fase intermédia da adolescência.</w:t>
      </w:r>
    </w:p>
    <w:p>
      <w:pPr>
        <w:pStyle w:val="Normal"/>
        <w:bidi w:val="0"/>
        <w:jc w:val="left"/>
        <w:rPr>
          <w:lang w:val="pt-PT"/>
        </w:rPr>
      </w:pPr>
      <w:r>
        <w:rPr>
          <w:lang w:val="pt-PT"/>
        </w:rPr>
        <w:t>A falha, neste caso, estava na regra de teste demasiado rígida, e não na sugestão da IA.</w:t>
      </w:r>
    </w:p>
    <w:p>
      <w:pPr>
        <w:pStyle w:val="Normal"/>
        <w:bidi w:val="0"/>
        <w:jc w:val="left"/>
        <w:rPr>
          <w:lang w:val="pt-PT"/>
        </w:rPr>
      </w:pPr>
      <w:r>
        <w:rPr>
          <w:lang w:val="pt-PT"/>
        </w:rPr>
        <w:t>O segundo conjunto experimental avaliou três cenários de amputação unilateral com riqueza variável de dados. No caso com medições completas da mão intacta, os valores fornecidos foram preservados literalmente e o lado sugerido correspondeu à mão amputada. No caso parcial, a largura da palma fornecida foi mantida e os restantes comprimentos foram estimados proporcionalmente. No caso apenas demográfico, a IA gerou um conjunto completo de medidas plausíveis. Estes ensaios iniciais sugeriam lateralidade correta, mas a avaliação UCD posterior revelou que pedidos explícitos de mão esquerda podiam ser sistematicamente convertidos em mão direita. A correção subsequente retirou a lateralidade do espaço de decisão da IA e transferiu-a para um controlo determinístico da interface.</w:t>
      </w:r>
    </w:p>
    <w:p>
      <w:pPr>
        <w:pStyle w:val="Normal"/>
        <w:bidi w:val="0"/>
        <w:jc w:val="left"/>
        <w:rPr>
          <w:lang w:val="pt-PT"/>
        </w:rPr>
      </w:pPr>
      <w:r>
        <w:rPr>
          <w:lang w:val="pt-PT"/>
        </w:rPr>
      </w:r>
      <w:r>
        <w:br w:type="page"/>
      </w:r>
    </w:p>
    <w:p>
      <w:pPr>
        <w:pStyle w:val="Normal"/>
        <w:bidi w:val="0"/>
        <w:spacing w:before="0" w:after="0"/>
        <w:jc w:val="left"/>
        <w:rPr>
          <w:lang w:val="pt-PT"/>
        </w:rPr>
      </w:pPr>
      <w:r>
        <w:rPr>
          <w:lang w:val="pt-PT"/>
        </w:rPr>
        <w:t>Tabela 8.1 — Síntese da validação antropométrica assistida por IA</w:t>
      </w:r>
    </w:p>
    <w:p>
      <w:pPr>
        <w:pStyle w:val="Normal"/>
        <w:bidi w:val="0"/>
        <w:jc w:val="left"/>
        <w:rPr>
          <w:lang w:val="pt-PT"/>
        </w:rPr>
      </w:pPr>
      <w:r>
        <w:rPr>
          <w:lang w:val="pt-PT"/>
        </w:rPr>
      </w:r>
    </w:p>
    <w:tbl>
      <w:tblPr>
        <w:tblW w:w="9026" w:type="dxa"/>
        <w:jc w:val="left"/>
        <w:tblInd w:w="28" w:type="dxa"/>
        <w:tblLayout w:type="fixed"/>
        <w:tblCellMar>
          <w:top w:w="28" w:type="dxa"/>
          <w:left w:w="28" w:type="dxa"/>
          <w:bottom w:w="28" w:type="dxa"/>
          <w:right w:w="28" w:type="dxa"/>
        </w:tblCellMar>
      </w:tblPr>
      <w:tblGrid>
        <w:gridCol w:w="2298"/>
        <w:gridCol w:w="3719"/>
        <w:gridCol w:w="3009"/>
      </w:tblGrid>
      <w:tr>
        <w:trPr>
          <w:tblHeader w:val="true"/>
        </w:trPr>
        <w:tc>
          <w:tcPr>
            <w:tcW w:w="2298" w:type="dxa"/>
            <w:tcBorders/>
            <w:vAlign w:val="center"/>
          </w:tcPr>
          <w:p>
            <w:pPr>
              <w:pStyle w:val="TableHeading"/>
              <w:rPr/>
            </w:pPr>
            <w:r>
              <w:rPr/>
              <w:t>Eixo avaliado</w:t>
            </w:r>
          </w:p>
        </w:tc>
        <w:tc>
          <w:tcPr>
            <w:tcW w:w="3719" w:type="dxa"/>
            <w:tcBorders/>
            <w:vAlign w:val="center"/>
          </w:tcPr>
          <w:p>
            <w:pPr>
              <w:pStyle w:val="TableHeading"/>
              <w:rPr/>
            </w:pPr>
            <w:r>
              <w:rPr/>
              <w:t>Resultado observado</w:t>
            </w:r>
          </w:p>
        </w:tc>
        <w:tc>
          <w:tcPr>
            <w:tcW w:w="3009" w:type="dxa"/>
            <w:tcBorders/>
            <w:vAlign w:val="center"/>
          </w:tcPr>
          <w:p>
            <w:pPr>
              <w:pStyle w:val="TableHeading"/>
              <w:rPr/>
            </w:pPr>
            <w:r>
              <w:rPr/>
              <w:t>Interpretação</w:t>
            </w:r>
          </w:p>
        </w:tc>
      </w:tr>
      <w:tr>
        <w:trPr/>
        <w:tc>
          <w:tcPr>
            <w:tcW w:w="2298" w:type="dxa"/>
            <w:tcBorders/>
            <w:vAlign w:val="center"/>
          </w:tcPr>
          <w:p>
            <w:pPr>
              <w:pStyle w:val="TableContents"/>
              <w:rPr/>
            </w:pPr>
            <w:r>
              <w:rPr/>
              <w:t>Conformidade com o esquema</w:t>
            </w:r>
          </w:p>
        </w:tc>
        <w:tc>
          <w:tcPr>
            <w:tcW w:w="3719" w:type="dxa"/>
            <w:tcBorders/>
            <w:vAlign w:val="center"/>
          </w:tcPr>
          <w:p>
            <w:pPr>
              <w:pStyle w:val="TableContents"/>
              <w:rPr/>
            </w:pPr>
            <w:r>
              <w:rPr/>
              <w:t>Respostas interpretáveis, campos previstos e valores dentro dos limites definidos</w:t>
            </w:r>
          </w:p>
        </w:tc>
        <w:tc>
          <w:tcPr>
            <w:tcW w:w="3009" w:type="dxa"/>
            <w:tcBorders/>
            <w:vAlign w:val="center"/>
          </w:tcPr>
          <w:p>
            <w:pPr>
              <w:pStyle w:val="TableContents"/>
              <w:rPr/>
            </w:pPr>
            <w:r>
              <w:rPr/>
              <w:t>O esquema de parâmetros reduziu a ocorrência de sugestões inválidas</w:t>
            </w:r>
          </w:p>
        </w:tc>
      </w:tr>
      <w:tr>
        <w:trPr/>
        <w:tc>
          <w:tcPr>
            <w:tcW w:w="2298" w:type="dxa"/>
            <w:tcBorders/>
            <w:vAlign w:val="center"/>
          </w:tcPr>
          <w:p>
            <w:pPr>
              <w:pStyle w:val="TableContents"/>
              <w:rPr/>
            </w:pPr>
            <w:r>
              <w:rPr/>
              <w:t>Proporcionalidade digital</w:t>
            </w:r>
          </w:p>
        </w:tc>
        <w:tc>
          <w:tcPr>
            <w:tcW w:w="3719" w:type="dxa"/>
            <w:tcBorders/>
            <w:vAlign w:val="center"/>
          </w:tcPr>
          <w:p>
            <w:pPr>
              <w:pStyle w:val="TableContents"/>
              <w:rPr/>
            </w:pPr>
            <w:r>
              <w:rPr/>
              <w:t>Dedo médio mais longo, dedo mínimo mais curto e polegar inferior ao dedo médio</w:t>
            </w:r>
          </w:p>
        </w:tc>
        <w:tc>
          <w:tcPr>
            <w:tcW w:w="3009" w:type="dxa"/>
            <w:tcBorders/>
            <w:vAlign w:val="center"/>
          </w:tcPr>
          <w:p>
            <w:pPr>
              <w:pStyle w:val="TableContents"/>
              <w:rPr/>
            </w:pPr>
            <w:r>
              <w:rPr/>
              <w:t>As principais relações anatómicas entre os dedos foram preservadas</w:t>
            </w:r>
          </w:p>
        </w:tc>
      </w:tr>
      <w:tr>
        <w:trPr/>
        <w:tc>
          <w:tcPr>
            <w:tcW w:w="2298" w:type="dxa"/>
            <w:tcBorders/>
            <w:vAlign w:val="center"/>
          </w:tcPr>
          <w:p>
            <w:pPr>
              <w:pStyle w:val="TableContents"/>
              <w:rPr/>
            </w:pPr>
            <w:r>
              <w:rPr/>
              <w:t>Entradas completas</w:t>
            </w:r>
          </w:p>
        </w:tc>
        <w:tc>
          <w:tcPr>
            <w:tcW w:w="3719" w:type="dxa"/>
            <w:tcBorders/>
            <w:vAlign w:val="center"/>
          </w:tcPr>
          <w:p>
            <w:pPr>
              <w:pStyle w:val="TableContents"/>
              <w:rPr/>
            </w:pPr>
            <w:r>
              <w:rPr/>
              <w:t>Medições fornecidas mantidas sem alteração</w:t>
            </w:r>
          </w:p>
        </w:tc>
        <w:tc>
          <w:tcPr>
            <w:tcW w:w="3009" w:type="dxa"/>
            <w:tcBorders/>
            <w:vAlign w:val="center"/>
          </w:tcPr>
          <w:p>
            <w:pPr>
              <w:pStyle w:val="TableContents"/>
              <w:rPr/>
            </w:pPr>
            <w:r>
              <w:rPr/>
              <w:t>A IA preservou os valores diretamente declarados pelo utilizador</w:t>
            </w:r>
          </w:p>
        </w:tc>
      </w:tr>
      <w:tr>
        <w:trPr/>
        <w:tc>
          <w:tcPr>
            <w:tcW w:w="2298" w:type="dxa"/>
            <w:tcBorders/>
            <w:vAlign w:val="center"/>
          </w:tcPr>
          <w:p>
            <w:pPr>
              <w:pStyle w:val="TableContents"/>
              <w:rPr/>
            </w:pPr>
            <w:r>
              <w:rPr/>
              <w:t>Entradas parciais</w:t>
            </w:r>
          </w:p>
        </w:tc>
        <w:tc>
          <w:tcPr>
            <w:tcW w:w="3719" w:type="dxa"/>
            <w:tcBorders/>
            <w:vAlign w:val="center"/>
          </w:tcPr>
          <w:p>
            <w:pPr>
              <w:pStyle w:val="TableContents"/>
              <w:rPr/>
            </w:pPr>
            <w:r>
              <w:rPr/>
              <w:t>Campos em falta estimados a partir da medida fornecida</w:t>
            </w:r>
          </w:p>
        </w:tc>
        <w:tc>
          <w:tcPr>
            <w:tcW w:w="3009" w:type="dxa"/>
            <w:tcBorders/>
            <w:vAlign w:val="center"/>
          </w:tcPr>
          <w:p>
            <w:pPr>
              <w:pStyle w:val="TableContents"/>
              <w:rPr/>
            </w:pPr>
            <w:r>
              <w:rPr/>
              <w:t>O sistema combinou dados explícitos com referências populacionais</w:t>
            </w:r>
          </w:p>
        </w:tc>
      </w:tr>
      <w:tr>
        <w:trPr/>
        <w:tc>
          <w:tcPr>
            <w:tcW w:w="2298" w:type="dxa"/>
            <w:tcBorders/>
            <w:vAlign w:val="center"/>
          </w:tcPr>
          <w:p>
            <w:pPr>
              <w:pStyle w:val="TableContents"/>
              <w:rPr/>
            </w:pPr>
            <w:r>
              <w:rPr/>
              <w:t>Entradas apenas demográficas</w:t>
            </w:r>
          </w:p>
        </w:tc>
        <w:tc>
          <w:tcPr>
            <w:tcW w:w="3719" w:type="dxa"/>
            <w:tcBorders/>
            <w:vAlign w:val="center"/>
          </w:tcPr>
          <w:p>
            <w:pPr>
              <w:pStyle w:val="TableContents"/>
              <w:rPr/>
            </w:pPr>
            <w:r>
              <w:rPr/>
              <w:t>Conjunto completo e plausível de parâmetros</w:t>
            </w:r>
          </w:p>
        </w:tc>
        <w:tc>
          <w:tcPr>
            <w:tcW w:w="3009" w:type="dxa"/>
            <w:tcBorders/>
            <w:vAlign w:val="center"/>
          </w:tcPr>
          <w:p>
            <w:pPr>
              <w:pStyle w:val="TableContents"/>
              <w:rPr/>
            </w:pPr>
            <w:r>
              <w:rPr/>
              <w:t>O fluxo gerou um ponto de partida para utilizadores sem domínio técnico</w:t>
            </w:r>
          </w:p>
        </w:tc>
      </w:tr>
      <w:tr>
        <w:trPr/>
        <w:tc>
          <w:tcPr>
            <w:tcW w:w="2298" w:type="dxa"/>
            <w:tcBorders/>
            <w:vAlign w:val="center"/>
          </w:tcPr>
          <w:p>
            <w:pPr>
              <w:pStyle w:val="TableContents"/>
              <w:rPr/>
            </w:pPr>
            <w:r>
              <w:rPr/>
              <w:t>Lateralidade</w:t>
            </w:r>
          </w:p>
        </w:tc>
        <w:tc>
          <w:tcPr>
            <w:tcW w:w="3719" w:type="dxa"/>
            <w:tcBorders/>
            <w:vAlign w:val="center"/>
          </w:tcPr>
          <w:p>
            <w:pPr>
              <w:pStyle w:val="TableContents"/>
              <w:rPr/>
            </w:pPr>
            <w:r>
              <w:rPr/>
              <w:t>Correta nos cenários iniciais, mas inconsistente em pedidos explícitos de mão esquerda na avaliação centrada no utilizador</w:t>
            </w:r>
          </w:p>
        </w:tc>
        <w:tc>
          <w:tcPr>
            <w:tcW w:w="3009" w:type="dxa"/>
            <w:tcBorders/>
            <w:vAlign w:val="center"/>
          </w:tcPr>
          <w:p>
            <w:pPr>
              <w:pStyle w:val="TableContents"/>
              <w:rPr/>
            </w:pPr>
            <w:r>
              <w:rPr/>
              <w:t>A lateralidade passou a ser controlada pela interface e excluída das sugestões da IA</w:t>
            </w:r>
          </w:p>
        </w:tc>
      </w:tr>
    </w:tbl>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A repetição de perfis idênticos evidenciou a natureza estocástica da componente de IA. As diferenças observadas foram pequenas, tipicamente de poucos milímetros, e preservaram os invariantes anatómicos e os limites do modelo. Também se observou variação estrutural aceitável: em algumas execuções, certos parâmetros de hardware foram sugeridos explicitamente; noutras, foram omitidos e permaneceram nos valores correntes. A avaliação UCD alargou este teste a entradas vagas, comparativas, multilingues e sem medidas diretas, confirmando que o sistema manteve valores válidos e anatomicamente ordenados em descrições próximas das que um utilizador leigo poderia escrever. Esta variabilidade confirma que a avaliação deve privilegiar propriedades invariantes, taxas de aprovação e comportamento em cenários de baixo conhecimento, e não valores absolutos isolados.</w:t>
      </w:r>
    </w:p>
    <w:p>
      <w:pPr>
        <w:pStyle w:val="Heading3"/>
        <w:bidi w:val="0"/>
        <w:jc w:val="left"/>
        <w:rPr>
          <w:lang w:val="pt-PT"/>
        </w:rPr>
      </w:pPr>
      <w:r>
        <w:rPr>
          <w:lang w:val="pt-PT"/>
        </w:rPr>
      </w:r>
    </w:p>
    <w:p>
      <w:pPr>
        <w:pStyle w:val="Heading3"/>
        <w:bidi w:val="0"/>
        <w:jc w:val="left"/>
        <w:rPr>
          <w:lang w:val="pt-PT"/>
        </w:rPr>
      </w:pPr>
      <w:r>
        <w:rPr>
          <w:lang w:val="pt-PT"/>
        </w:rPr>
        <w:t>8.3 Validação geométrica entre modelos</w:t>
      </w:r>
    </w:p>
    <w:p>
      <w:pPr>
        <w:pStyle w:val="Heading3"/>
        <w:bidi w:val="0"/>
        <w:jc w:val="left"/>
        <w:rPr>
          <w:lang w:val="pt-PT"/>
        </w:rPr>
      </w:pPr>
      <w:r>
        <w:rPr>
          <w:lang w:val="pt-PT"/>
        </w:rPr>
      </w:r>
    </w:p>
    <w:p>
      <w:pPr>
        <w:pStyle w:val="Normal"/>
        <w:bidi w:val="0"/>
        <w:jc w:val="left"/>
        <w:rPr>
          <w:lang w:val="pt-PT"/>
        </w:rPr>
      </w:pPr>
      <w:r>
        <w:rPr>
          <w:lang w:val="pt-PT"/>
        </w:rPr>
        <w:t>A validação geométrica testou se os valores sugeridos chegavam à malha exportada em três modelos ativos da plataforma: Flexy Beast, Paraglider Hand e UnLimbited Phoenix. Para cada modelo foram comparados um baseline por omissão e três perfis antropométricos simulados: criança, mulher adulta e homem adulto. Todas as execuções devolveram sugestões ancoradas em perfis populacionais e valores dentro dos intervalos declarados.</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Tabela 8.2 — Modelos e mecanismos de escala avaliados</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Modelo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Entradas antropométricas principais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Mecanismo de escala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Implicação observada</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 e comprimentos dos cinco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Escalas independentes para palma e dedos</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crianças e mãos pequenas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Palma e dedos, com parâmetros adicionais de contexto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geral da palma e ajustes por dedo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Adequado a adultos e a uma gama ampla de perfis</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Largura da palma</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Escala uniforme limitada por piso mínimo</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Fiel ao modelo original, mas inadequado para mãos pequenas</w:t>
            </w:r>
          </w:p>
        </w:tc>
      </w:tr>
    </w:tbl>
    <w:p>
      <w:pPr>
        <w:pStyle w:val="Normal"/>
        <w:bidi w:val="0"/>
        <w:jc w:val="left"/>
        <w:rPr>
          <w:lang w:val="pt-PT"/>
        </w:rPr>
      </w:pPr>
      <w:r>
        <w:rPr>
          <w:lang w:val="pt-PT"/>
        </w:rPr>
      </w:r>
    </w:p>
    <w:p>
      <w:pPr>
        <w:pStyle w:val="Normal"/>
        <w:bidi w:val="0"/>
        <w:jc w:val="left"/>
        <w:rPr>
          <w:lang w:val="pt-PT"/>
        </w:rPr>
      </w:pPr>
      <w:r>
        <w:rPr>
          <w:lang w:val="pt-PT"/>
        </w:rPr>
        <w:t>Nota: os rácios apresentados são adimensionais. Um valor de 1,000 corresponde à dimensão do baseline; valores inferiores indicam redução e valores superiores indicam aumento face ao modelo de referência.</w:t>
      </w:r>
    </w:p>
    <w:p>
      <w:pPr>
        <w:pStyle w:val="Normal"/>
        <w:bidi w:val="0"/>
        <w:jc w:val="left"/>
        <w:rPr>
          <w:lang w:val="pt-PT"/>
        </w:rPr>
      </w:pPr>
      <w:r>
        <w:rPr>
          <w:lang w:val="pt-PT"/>
        </w:rPr>
      </w:r>
    </w:p>
    <w:p>
      <w:pPr>
        <w:pStyle w:val="Normal"/>
        <w:bidi w:val="0"/>
        <w:jc w:val="left"/>
        <w:rPr>
          <w:lang w:val="pt-PT"/>
        </w:rPr>
      </w:pPr>
      <w:r>
        <w:rPr>
          <w:lang w:val="pt-PT"/>
        </w:rPr>
        <w:t>Os resultados mostraram que o Flexy Beast e o Paraglider Hand respondem de forma semelhante aos mesmos perfis, reduzindo ou aumentando as dimensões da palma de modo aproximadamente linear. A criança produziu uma escala de cerca de 0,76 face ao baseline nos modelos escaláveis, a mulher adulta ficou próxima de 0,93 e o homem adulto ficou entre 1,15 e 1,16. No Phoenix, pelo contrário, o piso mínimo de escala impediu a redução abaixo de cerca de 82 mm de largura de palma, fazendo com que perfis pequenos fossem truncados para o tamanho mínimo suportado pelo próprio modelo.</w:t>
      </w:r>
    </w:p>
    <w:p>
      <w:pPr>
        <w:pStyle w:val="Normal"/>
        <w:bidi w:val="0"/>
        <w:jc w:val="left"/>
        <w:rPr>
          <w:lang w:val="pt-PT"/>
        </w:rPr>
      </w:pPr>
      <w:r>
        <w:rPr>
          <w:lang w:val="pt-PT"/>
        </w:rPr>
      </w:r>
    </w:p>
    <w:p>
      <w:pPr>
        <w:pStyle w:val="Normal"/>
        <w:bidi w:val="0"/>
        <w:jc w:val="left"/>
        <w:rPr>
          <w:lang w:val="pt-PT"/>
        </w:rPr>
      </w:pPr>
      <w:r>
        <w:rPr>
          <w:lang w:val="pt-PT"/>
        </w:rPr>
        <w:t xml:space="preserve">Tabela 8.3 — </w:t>
      </w:r>
      <w:r>
        <w:rPr/>
        <w:t>Rácio adimensional da maior dimensão da palma exportada face ao baseline</w:t>
      </w:r>
    </w:p>
    <w:tbl>
      <w:tblPr>
        <w:tblW w:w="5000" w:type="pct"/>
        <w:jc w:val="left"/>
        <w:tblInd w:w="108" w:type="dxa"/>
        <w:tblLayout w:type="fixed"/>
        <w:tblCellMar>
          <w:top w:w="0" w:type="dxa"/>
          <w:left w:w="108" w:type="dxa"/>
          <w:bottom w:w="0" w:type="dxa"/>
          <w:right w:w="108" w:type="dxa"/>
        </w:tblCellMar>
      </w:tblPr>
      <w:tblGrid>
        <w:gridCol w:w="2256"/>
        <w:gridCol w:w="2256"/>
        <w:gridCol w:w="2257"/>
        <w:gridCol w:w="2257"/>
      </w:tblGrid>
      <w:tr>
        <w:trPr>
          <w:tblHeader w:val="true"/>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Perfil</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Flexy Beast</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Paraglider Hand</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UnLimbited Phoenix</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Baseline</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Criança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0,761</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0,747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0,760 antes da correção; 1,000 após impor o piso</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Mulher adulta</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0,932</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0,928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1,000</w:t>
            </w:r>
          </w:p>
        </w:tc>
      </w:tr>
      <w:tr>
        <w:trPr/>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Homem adulto</w:t>
            </w:r>
          </w:p>
        </w:tc>
        <w:tc>
          <w:tcPr>
            <w:tcW w:w="2256"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1,148</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1,157</w:t>
            </w:r>
          </w:p>
        </w:tc>
        <w:tc>
          <w:tcPr>
            <w:tcW w:w="2257" w:type="dxa"/>
            <w:tcBorders>
              <w:top w:val="single" w:sz="4" w:space="0" w:color="808080"/>
              <w:left w:val="single" w:sz="4" w:space="0" w:color="808080"/>
              <w:bottom w:val="single" w:sz="4" w:space="0" w:color="808080"/>
              <w:right w:val="single" w:sz="4" w:space="0" w:color="808080"/>
            </w:tcBorders>
          </w:tcPr>
          <w:p>
            <w:pPr>
              <w:pStyle w:val="Normal"/>
              <w:bidi w:val="0"/>
              <w:jc w:val="left"/>
              <w:rPr>
                <w:lang w:val="pt-PT"/>
              </w:rPr>
            </w:pPr>
            <w:r>
              <w:rPr>
                <w:lang w:val="pt-PT"/>
              </w:rPr>
              <w:t>1,171</w:t>
            </w:r>
          </w:p>
        </w:tc>
      </w:tr>
    </w:tbl>
    <w:p>
      <w:pPr>
        <w:pStyle w:val="Normal"/>
        <w:bidi w:val="0"/>
        <w:jc w:val="left"/>
        <w:rPr>
          <w:lang w:val="pt-PT"/>
        </w:rPr>
      </w:pPr>
      <w:r>
        <w:rPr>
          <w:lang w:val="pt-PT"/>
        </w:rPr>
      </w:r>
    </w:p>
    <w:p>
      <w:pPr>
        <w:pStyle w:val="Normal"/>
        <w:bidi w:val="0"/>
        <w:jc w:val="left"/>
        <w:rPr>
          <w:lang w:val="pt-PT"/>
        </w:rPr>
      </w:pPr>
      <w:r>
        <w:rPr>
          <w:lang w:val="pt-PT"/>
        </w:rPr>
        <w:t>Esta validação revelou três fragilidades técnicas que não eram visíveis na análise numérica isolada. A primeira estava no mecanismo de correspondência populacional: a análise inicial de género e idade era demasiado frágil, e certas abreviaturas presentes no texto de entrada podiam ser interpretadas incorretamente, confundindo unidades de medida com indicação de sexo masculino.</w:t>
      </w:r>
    </w:p>
    <w:p>
      <w:pPr>
        <w:pStyle w:val="Normal"/>
        <w:bidi w:val="0"/>
        <w:jc w:val="left"/>
        <w:rPr>
          <w:lang w:val="pt-PT"/>
        </w:rPr>
      </w:pPr>
      <w:r>
        <w:rPr>
          <w:lang w:val="pt-PT"/>
        </w:rPr>
        <w:t>A correção passou por uma análise mais robusta do texto de entrada, capaz de reconhecer termos em diferentes línguas, respeitar fronteiras de palavra e classificar de forma mais fiável os grupos etários.</w:t>
      </w:r>
    </w:p>
    <w:p>
      <w:pPr>
        <w:pStyle w:val="Normal"/>
        <w:bidi w:val="0"/>
        <w:jc w:val="left"/>
        <w:rPr>
          <w:lang w:val="pt-PT"/>
        </w:rPr>
      </w:pPr>
      <w:r>
        <w:rPr>
          <w:lang w:val="pt-PT"/>
        </w:rPr>
        <w:t>A segunda fragilidade foi identificada no modelo Paraglider. Neste caso, a dimensão da palma da mão protésica não estava a responder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Normal"/>
        <w:bidi w:val="0"/>
        <w:jc w:val="left"/>
        <w:rPr>
          <w:lang w:val="pt-PT"/>
        </w:rPr>
      </w:pPr>
      <w:r>
        <w:rPr>
          <w:lang w:val="pt-PT"/>
        </w:rPr>
        <w:t>sta etapa confirmou que a validação das sugestões de IA deve prolongar-se para além da resposta em JSON, pois a geometria exportada pode revelar dependências internas, limites de escala e heranças de código invisíveis na análise numérica. Evidenciou ainda que os modelos integrados não são intercambiáveis, uma vez que cada um responde de forma distinta aos mesmos perfis antropométricos: o Flexy Beast é mais adequado a mãos pequenas, o Paraglider oferece uma escala ampla para perfis adultos e o Phoenix preserva elevada fidelidade ao original, mas apenas dentro de uma gama dimensional mais restrita.</w:t>
      </w:r>
    </w:p>
    <w:p>
      <w:pPr>
        <w:pStyle w:val="Heading3"/>
        <w:bidi w:val="0"/>
        <w:jc w:val="left"/>
        <w:rPr>
          <w:lang w:val="pt-PT"/>
        </w:rPr>
      </w:pPr>
      <w:r>
        <w:rPr>
          <w:lang w:val="pt-PT"/>
        </w:rPr>
      </w:r>
    </w:p>
    <w:p>
      <w:pPr>
        <w:pStyle w:val="Heading3"/>
        <w:bidi w:val="0"/>
        <w:jc w:val="left"/>
        <w:rPr>
          <w:lang w:val="pt-PT"/>
        </w:rPr>
      </w:pPr>
      <w:r>
        <w:rPr>
          <w:lang w:val="pt-PT"/>
        </w:rPr>
        <w:t>8.4 Discussão dos resultados face aos objetivos</w:t>
      </w:r>
    </w:p>
    <w:p>
      <w:pPr>
        <w:pStyle w:val="Heading3"/>
        <w:bidi w:val="0"/>
        <w:jc w:val="left"/>
        <w:rPr>
          <w:lang w:val="pt-PT"/>
        </w:rPr>
      </w:pPr>
      <w:r>
        <w:rPr>
          <w:lang w:val="pt-PT"/>
        </w:rPr>
      </w:r>
    </w:p>
    <w:p>
      <w:pPr>
        <w:pStyle w:val="Normal"/>
        <w:bidi w:val="0"/>
        <w:jc w:val="left"/>
        <w:rPr>
          <w:lang w:val="pt-PT"/>
        </w:rPr>
      </w:pPr>
      <w:r>
        <w:rPr>
          <w:lang w:val="pt-PT"/>
        </w:rPr>
        <w:t>Face aos objetivos da investigação, os resultados reforçam a pertinência de articular design paramétrico, dados antropométricos, interface web e IA numa plataforma única, desde que a IA permaneça enquadrada por regras explícitas e revisão humana. A contribuição não está em automatizar a conceção de uma prótese final, mas em estruturar um fluxo no qual informação incompleta pode ser convertida num ponto de partida  de dimensões plausíveis, editável, visualizável e passível de revisão crítica.</w:t>
      </w:r>
    </w:p>
    <w:p>
      <w:pPr>
        <w:pStyle w:val="Normal"/>
        <w:bidi w:val="0"/>
        <w:jc w:val="left"/>
        <w:rPr>
          <w:lang w:val="pt-PT"/>
        </w:rPr>
      </w:pPr>
      <w:r>
        <w:rPr>
          <w:lang w:val="pt-PT"/>
        </w:rPr>
        <w:t>Esta capacidade responde diretamente ao problema de acessibilidade identificado no projeto: muitos utilizadores conseguem descrever idade, altura, constituição física ou lado amputado, mas não dominam a nomenclatura nem os procedimentos de medição necessários para parametrizar uma mão protésica.</w:t>
      </w:r>
    </w:p>
    <w:p>
      <w:pPr>
        <w:pStyle w:val="Normal"/>
        <w:bidi w:val="0"/>
        <w:jc w:val="left"/>
        <w:rPr>
          <w:lang w:val="pt-PT"/>
        </w:rPr>
      </w:pPr>
      <w:r>
        <w:rPr>
          <w:lang w:val="pt-PT"/>
        </w:rPr>
        <w:t>A avaliação também delimita com clareza os limites do sistema. A variabilidade estocástica da IA impede tratar uma saída isolada como prescrição fixa; a ausência de uma referência clínica direta impede afirmar precisão individual; e a lateralidade revelou-se um parâmetro crítico que não deve ser delegado à inferência do modelo. A correção implementada resolve esse risco ao deslocar a decisão para a interface, mas exige ainda reforço de UX para tornar a escolha do lado suficientemente visível e obrigatória. Do mesmo modo, a validação geométrica demonstra que cada modelo transporta constrangimentos próprios: alguns aceitam escalas pequenas, outros impõem pisos mínimos ou preservam proporções globais herdadas do desenho original. Consequentemente, os resultados são promissores enquanto validação de coerência interna e de acessibilidade paramétrica, mas permanecem preliminares enquanto validação protésica.</w:t>
      </w:r>
    </w:p>
    <w:p>
      <w:pPr>
        <w:pStyle w:val="Normal"/>
        <w:bidi w:val="0"/>
        <w:jc w:val="left"/>
        <w:rPr>
          <w:lang w:val="pt-PT"/>
        </w:rPr>
      </w:pPr>
      <w:r>
        <w:rPr>
          <w:lang w:val="pt-PT"/>
        </w:rPr>
        <w:t>A principal conclusão metodológica é que a robustez do sistema depende menos da presença isolada da IA do que da qualidade das regras, limites e mecanismos de validação que enquadram a sua atuação. O esquema de parâmetros do modelo, os limites declarados, a filtragem dos campos devolvidos, a ancoragem em dados populacionais, a renderização por OpenSCAD/WebAssembly e a exportação em STL/3MF formam uma cadeia de verificações sucessivas.</w:t>
      </w:r>
    </w:p>
    <w:p>
      <w:pPr>
        <w:pStyle w:val="Normal"/>
        <w:bidi w:val="0"/>
        <w:jc w:val="left"/>
        <w:rPr>
          <w:lang w:val="pt-PT"/>
        </w:rPr>
      </w:pPr>
      <w:r>
        <w:rPr>
          <w:lang w:val="pt-PT"/>
        </w:rPr>
        <w:t>Quando essa cadeia é respeitada, a IA contribui para reduzir a barreira inicial de configuração; quando qualquer elo fica implícito, surgem riscos como lateralidade inferida, parâmetros sem correspondência geométrica ou escalas incompatíveis com o modelo físico.</w:t>
      </w:r>
    </w:p>
    <w:p>
      <w:pPr>
        <w:pStyle w:val="Normal"/>
        <w:bidi w:val="0"/>
        <w:jc w:val="left"/>
        <w:rPr>
          <w:lang w:val="pt-PT"/>
        </w:rPr>
      </w:pPr>
      <w:r>
        <w:rPr>
          <w:lang w:val="pt-PT"/>
        </w:rPr>
      </w:r>
    </w:p>
    <w:p>
      <w:pPr>
        <w:pStyle w:val="Heading2"/>
        <w:bidi w:val="0"/>
        <w:jc w:val="left"/>
        <w:rPr>
          <w:lang w:val="pt-PT"/>
        </w:rPr>
      </w:pPr>
      <w:r>
        <w:rPr>
          <w:lang w:val="pt-PT"/>
        </w:rPr>
        <w:t>Capítulo 9 — Conclusões e Trabalhos Futuros</w:t>
      </w:r>
    </w:p>
    <w:p>
      <w:pPr>
        <w:pStyle w:val="Heading3"/>
        <w:bidi w:val="0"/>
        <w:jc w:val="left"/>
        <w:rPr>
          <w:lang w:val="pt-PT"/>
        </w:rPr>
      </w:pPr>
      <w:r>
        <w:rPr>
          <w:lang w:val="pt-PT"/>
        </w:rPr>
      </w:r>
    </w:p>
    <w:p>
      <w:pPr>
        <w:pStyle w:val="Heading3"/>
        <w:bidi w:val="0"/>
        <w:jc w:val="left"/>
        <w:rPr>
          <w:lang w:val="pt-PT"/>
        </w:rPr>
      </w:pPr>
      <w:r>
        <w:rPr>
          <w:lang w:val="pt-PT"/>
        </w:rPr>
        <w:t>9.1 Síntese dos principais contributos</w:t>
      </w:r>
    </w:p>
    <w:p>
      <w:pPr>
        <w:pStyle w:val="Normal"/>
        <w:bidi w:val="0"/>
        <w:jc w:val="left"/>
        <w:rPr>
          <w:lang w:val="pt-PT"/>
        </w:rPr>
      </w:pPr>
      <w:r>
        <w:rPr>
          <w:lang w:val="pt-PT"/>
        </w:rPr>
      </w:r>
    </w:p>
    <w:p>
      <w:pPr>
        <w:pStyle w:val="Normal"/>
        <w:bidi w:val="0"/>
        <w:jc w:val="left"/>
        <w:rPr>
          <w:lang w:val="pt-PT"/>
        </w:rPr>
      </w:pPr>
      <w:r>
        <w:rPr>
          <w:lang w:val="pt-PT"/>
        </w:rPr>
        <w:t xml:space="preserve">A investigação desenvolveu e avaliou um sistema de design paramétrico assistido por IA para próteses personalizadas de membro superior, articulando modelação em OpenSCAD, renderização em ambiente web, gestão de parâmetros antropométricos, perfis populacionais e sugestões geradas a partir de linguagem natural. </w:t>
      </w:r>
      <w:r>
        <w:rPr/>
        <w:t>O contributo metodológico da investigação reside no desenvolvimento de uma infraestrutura de apoio à configuração protésica, capaz de tornar mais explícita, documentável e acessível a passagem entre dados do utilizador, parâmetros geométricos e geometria exportável, sem reivindicar validação clínica da prótese resultante.</w:t>
      </w:r>
    </w:p>
    <w:p>
      <w:pPr>
        <w:pStyle w:val="Normal"/>
        <w:bidi w:val="0"/>
        <w:jc w:val="left"/>
        <w:rPr>
          <w:lang w:val="pt-PT"/>
        </w:rPr>
      </w:pPr>
      <w:r>
        <w:rPr>
          <w:lang w:val="pt-PT"/>
        </w:rPr>
        <w:t>O trabalho confirma que a personalização paramétrica é mais robusta quando assenta numa gramática comum de medidas, limites e relações geométricas. A plataforma permitiu expor essa gramática numa interface utilizável, guardar configurações, renderizar modelos localmente e exportar ficheiros STL e 3MF.</w:t>
      </w:r>
    </w:p>
    <w:p>
      <w:pPr>
        <w:pStyle w:val="Normal"/>
        <w:bidi w:val="0"/>
        <w:jc w:val="left"/>
        <w:rPr>
          <w:lang w:val="pt-PT"/>
        </w:rPr>
      </w:pPr>
      <w:r>
        <w:rPr>
          <w:lang w:val="pt-PT"/>
        </w:rPr>
        <w:t>A integração da IA acrescentou uma camada de apoio à decisão, capaz de transformar descrições incompletas em pontos de partida plausíveis, desde que as sugestões sejam enquadradas pelo esquema de parâmetros do modelo, pelos limites definidos e por validação posterior.</w:t>
      </w:r>
    </w:p>
    <w:p>
      <w:pPr>
        <w:pStyle w:val="Normal"/>
        <w:bidi w:val="0"/>
        <w:jc w:val="left"/>
        <w:rPr>
          <w:lang w:val="pt-PT"/>
        </w:rPr>
      </w:pPr>
      <w:r>
        <w:rPr>
          <w:lang w:val="pt-PT"/>
        </w:rPr>
        <w:t>A validação realizada mostrou quatro resultados principais. Primeiro, as sugestões numéricas respeitaram os limites do modelo, preservaram proporções anatómicas e adaptaram-se de forma coerente à riqueza variável das entradas. Segundo, as medições diretamente fornecidas foram preservadas e os dados em falta foram estimados proporcionalmente.</w:t>
      </w:r>
    </w:p>
    <w:p>
      <w:pPr>
        <w:pStyle w:val="Normal"/>
        <w:bidi w:val="0"/>
        <w:jc w:val="left"/>
        <w:rPr>
          <w:lang w:val="pt-PT"/>
        </w:rPr>
      </w:pPr>
      <w:r>
        <w:rPr/>
        <w:t>Terceiro, a validação geométrica entre modelos demonstrou que a exportação em STL/3MF é indispensável para identificar constrangimentos que a resposta numérica não revela, como limites mínimos de escala, dependências herdadas do código original e diferenças efetivas entre modelos.</w:t>
      </w:r>
    </w:p>
    <w:p>
      <w:pPr>
        <w:pStyle w:val="Normal"/>
        <w:bidi w:val="0"/>
        <w:jc w:val="left"/>
        <w:rPr>
          <w:lang w:val="pt-PT"/>
        </w:rPr>
      </w:pPr>
      <w:r>
        <w:rPr>
          <w:lang w:val="pt-PT"/>
        </w:rPr>
        <w:t xml:space="preserve">Quarto, a avaliação centrada no utilizador revelou que a acessibilidade paramétrica depende tanto da qualidade da inferência - entendida como o processo através do qual a IA transforma informação incompleta, indireta ou descritiva em sugestões paramétricas plausíveis </w:t>
        <w:softHyphen/>
        <w:t>- como das salvaguardas incorporadas na interface: entradas vagas e formuladas em diferentes línguas foram tratadas com robustez, mas a lateralidade, a adequação do modelo escolhido e a proveniência das estimativas exigem controlos explícitos para evitar confiança excessiva no resultado.</w:t>
      </w:r>
    </w:p>
    <w:p>
      <w:pPr>
        <w:pStyle w:val="Normal"/>
        <w:bidi w:val="0"/>
        <w:jc w:val="left"/>
        <w:rPr>
          <w:lang w:val="pt-PT"/>
        </w:rPr>
      </w:pPr>
      <w:r>
        <w:rPr>
          <w:lang w:val="pt-PT"/>
        </w:rPr>
        <w:t>A mesma lógica sugere a possibilidade de extensão da arquitetura a outros segmentos corporais. A plataforma deixa de depender exclusivamente de pressupostos específicos da mão quando propriedades como lateralidade, tipo de membro e orientação antropométrica passam a ser declaradas no ficheiro de configuração do modelo.</w:t>
      </w:r>
    </w:p>
    <w:p>
      <w:pPr>
        <w:pStyle w:val="Normal"/>
        <w:bidi w:val="0"/>
        <w:jc w:val="left"/>
        <w:rPr>
          <w:lang w:val="pt-PT"/>
        </w:rPr>
      </w:pPr>
      <w:r>
        <w:rPr>
          <w:lang w:val="pt-PT"/>
        </w:rPr>
        <w:t>Este passo não valida automaticamente a plataforma para dispositivos destinados ao pé, à perna ou ao braço, uma vez que essa extensão exigiria novos conjuntos de dados, novos mapeamentos antropométricos e validação geométrica específica. Ainda assim, demonstra que a estrutura técnica pode evoluir de um configurador de membros superiores e mãos para uma plataforma paramétrica organizada por tipo de membro, desde que cada modelo declare a sua lógica dimensional, os parâmetros relevantes e os respetivos limites de fabrico.</w:t>
      </w:r>
    </w:p>
    <w:p>
      <w:pPr>
        <w:pStyle w:val="Normal"/>
        <w:bidi w:val="0"/>
        <w:jc w:val="left"/>
        <w:rPr>
          <w:lang w:val="pt-PT"/>
        </w:rPr>
      </w:pPr>
      <w:r>
        <w:rPr>
          <w:lang w:val="pt-PT"/>
        </w:rPr>
      </w:r>
    </w:p>
    <w:p>
      <w:pPr>
        <w:pStyle w:val="Heading3"/>
        <w:bidi w:val="0"/>
        <w:jc w:val="left"/>
        <w:rPr>
          <w:lang w:val="pt-PT"/>
        </w:rPr>
      </w:pPr>
      <w:r>
        <w:rPr>
          <w:lang w:val="pt-PT"/>
        </w:rPr>
        <w:t>9.2 Contributos para o Design Industrial</w:t>
      </w:r>
    </w:p>
    <w:p>
      <w:pPr>
        <w:pStyle w:val="Heading3"/>
        <w:bidi w:val="0"/>
        <w:jc w:val="left"/>
        <w:rPr>
          <w:lang w:val="pt-PT"/>
        </w:rPr>
      </w:pPr>
      <w:r>
        <w:rPr>
          <w:lang w:val="pt-PT"/>
        </w:rPr>
      </w:r>
    </w:p>
    <w:p>
      <w:pPr>
        <w:pStyle w:val="Normal"/>
        <w:bidi w:val="0"/>
        <w:jc w:val="left"/>
        <w:rPr>
          <w:lang w:val="pt-PT"/>
        </w:rPr>
      </w:pPr>
      <w:r>
        <w:rPr>
          <w:lang w:val="pt-PT"/>
        </w:rPr>
        <w:t>O contributo principal reside na demonstração de um processo em que o artefacto, a interface e a lógica paramétrica funcionam como instrumentos de investigação. A prótese é aqui entendida como sistema configurável, no qual requisitos anatómicos, funcionais, produtivos e de utilização são traduzidos em parâmetros passíveis de análise crítica.</w:t>
      </w:r>
    </w:p>
    <w:p>
      <w:pPr>
        <w:pStyle w:val="Normal"/>
        <w:bidi w:val="0"/>
        <w:jc w:val="left"/>
        <w:rPr>
          <w:lang w:val="pt-PT"/>
        </w:rPr>
      </w:pPr>
      <w:r>
        <w:rPr>
          <w:lang w:val="pt-PT"/>
        </w:rPr>
        <w:t>Esta abordagem reforça o papel do designer como mediador entre dados, tecnologia, fabrico e experiência humana.</w:t>
      </w:r>
    </w:p>
    <w:p>
      <w:pPr>
        <w:pStyle w:val="Normal"/>
        <w:bidi w:val="0"/>
        <w:jc w:val="left"/>
        <w:rPr>
          <w:lang w:val="pt-PT"/>
        </w:rPr>
      </w:pPr>
      <w:r>
        <w:rPr>
          <w:lang w:val="pt-PT"/>
        </w:rPr>
        <w:t>A plataforma também contribui para uma leitura mais disciplinada da personalização. Em vez de associar personalização a liberdade ilimitada de escolha, o sistema mostra a importância de definir que parâmetros são editáveis, quais permanecem sob controlo técnico, que intervalos são aceitáveis e que modelos são adequados a diferentes perfis. Esta contenção é particularmente relevante em dispositivos de apoio, nos quais a acessibilidade da configuração deve ser equilibrada com responsabilidade, segurança e coerência funcional.</w:t>
      </w:r>
    </w:p>
    <w:p>
      <w:pPr>
        <w:pStyle w:val="Normal"/>
        <w:bidi w:val="0"/>
        <w:jc w:val="left"/>
        <w:rPr>
          <w:lang w:val="pt-PT"/>
        </w:rPr>
      </w:pPr>
      <w:r>
        <w:rPr>
          <w:lang w:val="pt-PT"/>
        </w:rPr>
        <w:t xml:space="preserve">A integração da IA reforça essa mediação, mas não a substitui. O modelo de linguagem é útil quando reduz a barreira inicial de parametrização e apoia o utilizador não especialista; torna-se frágil quando a sua saída é interpretada como decisão autónoma. A contribuição projetual está, por isso, em enquadrar a IA como componente </w:t>
      </w:r>
      <w:r>
        <w:rPr>
          <w:i/>
          <w:iCs/>
          <w:lang w:val="pt-PT"/>
        </w:rPr>
        <w:t>human-in-the-loop</w:t>
      </w:r>
      <w:r>
        <w:rPr>
          <w:lang w:val="pt-PT"/>
        </w:rPr>
        <w:t>, articulada com regras explícitas, dados antropométricos, visualização, exportação e revisão técnica.</w:t>
      </w:r>
    </w:p>
    <w:p>
      <w:pPr>
        <w:pStyle w:val="Heading3"/>
        <w:bidi w:val="0"/>
        <w:jc w:val="left"/>
        <w:rPr>
          <w:lang w:val="pt-PT"/>
        </w:rPr>
      </w:pPr>
      <w:r>
        <w:rPr>
          <w:lang w:val="pt-PT"/>
        </w:rPr>
      </w:r>
    </w:p>
    <w:p>
      <w:pPr>
        <w:pStyle w:val="Heading3"/>
        <w:bidi w:val="0"/>
        <w:jc w:val="left"/>
        <w:rPr>
          <w:lang w:val="pt-PT"/>
        </w:rPr>
      </w:pPr>
      <w:r>
        <w:rPr>
          <w:lang w:val="pt-PT"/>
        </w:rPr>
        <w:t>9.3 Limitações e perspetivas de desenvolvimento futuro</w:t>
      </w:r>
    </w:p>
    <w:p>
      <w:pPr>
        <w:pStyle w:val="Heading3"/>
        <w:bidi w:val="0"/>
        <w:jc w:val="left"/>
        <w:rPr>
          <w:lang w:val="pt-PT"/>
        </w:rPr>
      </w:pPr>
      <w:r>
        <w:rPr>
          <w:lang w:val="pt-PT"/>
        </w:rPr>
      </w:r>
    </w:p>
    <w:p>
      <w:pPr>
        <w:pStyle w:val="Normal"/>
        <w:bidi w:val="0"/>
        <w:jc w:val="left"/>
        <w:rPr>
          <w:lang w:val="pt-PT"/>
        </w:rPr>
      </w:pPr>
      <w:r>
        <w:rPr>
          <w:lang w:val="pt-PT"/>
        </w:rPr>
        <w:t>O alcance das conclusões deve ser entendido a partir do caráter metodológico e técnico da validação realizada. A avaliação incidiu sobre perfis simulados, dados secundários e critérios internos de plausibilidade, deixando para investigação futura os testes com utilizadores reais, as avaliações clínicas, as medições diretas de conforto, os ensaios funcionais prolongados e a validação biomecânica completa. Assim, os resultados sustentam a validação do fluxo de personalização, sem constituírem demonstração de eficácia protésica em contexto de uso.</w:t>
      </w:r>
    </w:p>
    <w:p>
      <w:pPr>
        <w:pStyle w:val="Normal"/>
        <w:bidi w:val="0"/>
        <w:jc w:val="left"/>
        <w:rPr>
          <w:lang w:val="pt-PT"/>
        </w:rPr>
      </w:pPr>
      <w:r>
        <w:rPr>
          <w:lang w:val="pt-PT"/>
        </w:rPr>
        <w:t>A componente de IA exige desenvolvimento adicional, mesmo após a correção determinística da lateralidade. A saída deve ser validada por esquema JSON no servidor, prevendo-se a repetição automática do pedido sempre que a resposta se afaste da estrutura definida.</w:t>
      </w:r>
    </w:p>
    <w:p>
      <w:pPr>
        <w:pStyle w:val="Normal"/>
        <w:bidi w:val="0"/>
        <w:jc w:val="left"/>
        <w:rPr>
          <w:lang w:val="pt-PT"/>
        </w:rPr>
      </w:pPr>
      <w:r>
        <w:rPr>
          <w:lang w:val="pt-PT"/>
        </w:rPr>
        <w:t>A variabilidade estocástica deve ser quantificada com múltiplas extrações por perfil, reportando médias, dispersão e taxas de aprovação dos invariantes. A comparação com bases de dados antropométricas ou medições reais permitiria passar da plausibilidade para uma estimativa mais rigorosa de erro. Do ponto de vista da experiência de utilização, a plataforma deve também mostrar a proveniência das estimativas, a incerteza associada ao grupo populacional usado e avisos explícitos quando o modelo escolhido não consegue representar a dimensão estimada do utilizador.</w:t>
      </w:r>
    </w:p>
    <w:p>
      <w:pPr>
        <w:pStyle w:val="Normal"/>
        <w:bidi w:val="0"/>
        <w:jc w:val="left"/>
        <w:rPr>
          <w:lang w:val="pt-PT"/>
        </w:rPr>
      </w:pPr>
      <w:r>
        <w:rPr>
          <w:lang w:val="pt-PT"/>
        </w:rPr>
        <w:t>Do ponto de vista geométrico e produtivo, o trabalho futuro deve aprofundar a validação por impressão física, montagem, tolerâncias, resistência, desgaste e adequação ao uso. Também será necessário clarificar a seleção de modelos segundo faixas dimensionais: modelos como o Flexy Beast são mais adequados a mãos pequenas, enquanto modelos com piso mínimo, como o Phoenix, exigem restrições claras na interface para evitar expectativas incorretas. A plataforma deve, portanto, evoluir de um configurador que aceita parâmetros para um sistema que também orienta a escolha do modelo adequado ao perfil e ao objetivo de fabrico.</w:t>
      </w:r>
    </w:p>
    <w:p>
      <w:pPr>
        <w:pStyle w:val="Normal"/>
        <w:bidi w:val="0"/>
        <w:jc w:val="left"/>
        <w:rPr>
          <w:lang w:val="pt-PT"/>
        </w:rPr>
      </w:pPr>
      <w:r>
        <w:rPr>
          <w:lang w:val="pt-PT"/>
        </w:rPr>
        <w:t>Por fim, a investigação abre espaço para estudos com utilizadores, técnicos e designers, avaliando não apenas a geometria exportada, mas também a inteligibilidade da interface, a confiança nas sugestões, a distribuição de responsabilidade e a utilidade real do fluxo em contextos de prototipagem. A continuidade do projeto deve manter a distinção que estruturou esta dissertação: a IA pode ampliar a acessibilidade e a velocidade de exploração, mas a qualidade de uma prótese personalizada continua a depender da articulação entre design, dados, fabrico, validação técnica e experiência humana.</w:t>
      </w:r>
    </w:p>
    <w:p>
      <w:pPr>
        <w:pStyle w:val="Heading2"/>
        <w:bidi w:val="0"/>
        <w:jc w:val="left"/>
        <w:rPr>
          <w:lang w:val="pt-PT"/>
        </w:rPr>
      </w:pPr>
      <w:r>
        <w:rPr>
          <w:lang w:val="pt-PT"/>
        </w:rPr>
      </w:r>
      <w:r>
        <w:br w:type="page"/>
      </w:r>
    </w:p>
    <w:p>
      <w:pPr>
        <w:pStyle w:val="Heading2"/>
        <w:bidi w:val="0"/>
        <w:spacing w:before="0" w:after="0"/>
        <w:jc w:val="left"/>
        <w:rPr>
          <w:lang w:val="pt-PT"/>
        </w:rPr>
      </w:pPr>
      <w:r>
        <w:rPr>
          <w:lang w:val="pt-PT"/>
        </w:rPr>
        <w:t>Bibliografia</w:t>
      </w:r>
    </w:p>
    <w:p>
      <w:pPr>
        <w:pStyle w:val="Normal"/>
        <w:bidi w:val="0"/>
        <w:jc w:val="left"/>
        <w:rPr>
          <w:lang w:val="pt-PT"/>
        </w:rPr>
      </w:pPr>
      <w:r>
        <w:rPr>
          <w:lang w:val="pt-PT"/>
        </w:rPr>
        <w:t>&lt;a id="ref-alili-2023"&gt;&lt;/a&gt; Alili, A., Nalam, V., Li, M., Liu, M., Feng, J., Si, J., &amp; Huang, H. (2023). A novel framework to facilitate user preferred tuning for a robotic knee prosthesis. IEEE Transactions on Neural Systems and Rehabilitation Engineering, 31, 895-903. https://doi.org/10.1109/TNSRE.2023.3236217</w:t>
      </w:r>
    </w:p>
    <w:p>
      <w:pPr>
        <w:pStyle w:val="Normal"/>
        <w:bidi w:val="0"/>
        <w:jc w:val="left"/>
        <w:rPr>
          <w:lang w:val="pt-PT"/>
        </w:rPr>
      </w:pPr>
      <w:r>
        <w:rPr>
          <w:lang w:val="pt-PT"/>
        </w:rPr>
        <w:t>&lt;a id="ref-albin-2023"&gt;&lt;/a&gt; Albin, T., &amp; Molenbroek, J. F. M. (2023). Introduction to the special issue, anthropometry in design. https://repository.tudelft.nl/file/Fileda5bfdc9-98bc-41d3-a402-553d5f0d0a63</w:t>
      </w:r>
    </w:p>
    <w:p>
      <w:pPr>
        <w:pStyle w:val="Normal"/>
        <w:bidi w:val="0"/>
        <w:jc w:val="left"/>
        <w:rPr>
          <w:lang w:val="pt-PT"/>
        </w:rPr>
      </w:pPr>
      <w:r>
        <w:rPr>
          <w:lang w:val="pt-PT"/>
        </w:rPr>
        <w:t>&lt;a id="ref-arrieta-2020"&gt;&lt;/a&gt;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Normal"/>
        <w:bidi w:val="0"/>
        <w:jc w:val="left"/>
        <w:rPr>
          <w:lang w:val="pt-PT"/>
        </w:rPr>
      </w:pPr>
      <w:r>
        <w:rPr>
          <w:lang w:val="pt-PT"/>
        </w:rPr>
        <w:t>&lt;a id="ref-astm-international-2024"&gt;&lt;/a&gt; ASTM International. (2024). Standard guide for assessing fit accommodation of exoskeletons for manufacturers and designers. https://www.astm.org/f3661-24.html</w:t>
      </w:r>
    </w:p>
    <w:p>
      <w:pPr>
        <w:pStyle w:val="Normal"/>
        <w:bidi w:val="0"/>
        <w:jc w:val="left"/>
        <w:rPr>
          <w:lang w:val="pt-PT"/>
        </w:rPr>
      </w:pPr>
      <w:r>
        <w:rPr>
          <w:lang w:val="pt-PT"/>
        </w:rPr>
        <w:t>&lt;a id="ref-bai-2024"&gt;&lt;/a&gt; 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Normal"/>
        <w:bidi w:val="0"/>
        <w:jc w:val="left"/>
        <w:rPr>
          <w:lang w:val="pt-PT"/>
        </w:rPr>
      </w:pPr>
      <w:r>
        <w:rPr>
          <w:lang w:val="pt-PT"/>
        </w:rPr>
        <w:t>&lt;a id="ref-bates-2020"&gt;&lt;/a&gt; Bates, T., Fergason, J., &amp; Pierrie, S. N. (2020). Technological advances in prosthesis design and rehabilitation following upper extremity limb loss. https://www.semanticscholar.org/paper/905056ffa9fa963e8df8b974d90b94c05a5f7e29</w:t>
      </w:r>
    </w:p>
    <w:p>
      <w:pPr>
        <w:pStyle w:val="Normal"/>
        <w:bidi w:val="0"/>
        <w:jc w:val="left"/>
        <w:rPr>
          <w:lang w:val="pt-PT"/>
        </w:rPr>
      </w:pPr>
      <w:r>
        <w:rPr>
          <w:lang w:val="pt-PT"/>
        </w:rPr>
        <w:t>&lt;a id="ref-bradtmiller-2022"&gt;&lt;/a&gt; Bradtmiller, B. (2022). Design for all, design for disabled: How important is anthropometry? https://researchonline.jcu.edu.au/76898/</w:t>
      </w:r>
    </w:p>
    <w:p>
      <w:pPr>
        <w:pStyle w:val="Normal"/>
        <w:bidi w:val="0"/>
        <w:jc w:val="left"/>
        <w:rPr>
          <w:lang w:val="pt-PT"/>
        </w:rPr>
      </w:pPr>
      <w:r>
        <w:rPr>
          <w:lang w:val="pt-PT"/>
        </w:rPr>
        <w:t>&lt;a id="ref-chainando-2025"&gt;&lt;/a&gt;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Normal"/>
        <w:bidi w:val="0"/>
        <w:jc w:val="left"/>
        <w:rPr>
          <w:lang w:val="pt-PT"/>
        </w:rPr>
      </w:pPr>
      <w:r>
        <w:rPr>
          <w:lang w:val="pt-PT"/>
        </w:rPr>
        <w:t>&lt;a id="ref-kaygan-2025"&gt;&lt;/a&gt; Kaygan, H., &amp; Kaygan, P. (2025). Clients and carers: Healthcare professionals’ roles in medical device development processes in SMEs. The Design Journal, 28(2), 213-231. https://doi.org/10.1080/14606925.2024.2420152</w:t>
      </w:r>
    </w:p>
    <w:p>
      <w:pPr>
        <w:pStyle w:val="Normal"/>
        <w:bidi w:val="0"/>
        <w:jc w:val="left"/>
        <w:rPr>
          <w:lang w:val="pt-PT"/>
        </w:rPr>
      </w:pPr>
      <w:r>
        <w:rPr>
          <w:lang w:val="pt-PT"/>
        </w:rPr>
        <w:t>&lt;a id="ref-kellam-2019"&gt;&lt;/a&gt;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Normal"/>
        <w:bidi w:val="0"/>
        <w:jc w:val="left"/>
        <w:rPr>
          <w:lang w:val="pt-PT"/>
        </w:rPr>
      </w:pPr>
      <w:r>
        <w:rPr>
          <w:lang w:val="pt-PT"/>
        </w:rPr>
        <w:t>&lt;a id="ref-colombo-2015"&gt;&lt;/a&gt; Colombo, G., Facoetti, G., Rizzi, C., &amp; Vitali, A. (2015). Low cost hand-tracking devices to design customized medical devices. Interacción. https://doi.org/10.1007/978-3-319-21067-436</w:t>
      </w:r>
    </w:p>
    <w:p>
      <w:pPr>
        <w:pStyle w:val="Normal"/>
        <w:bidi w:val="0"/>
        <w:jc w:val="left"/>
        <w:rPr>
          <w:lang w:val="pt-PT"/>
        </w:rPr>
      </w:pPr>
      <w:r>
        <w:rPr>
          <w:lang w:val="pt-PT"/>
        </w:rPr>
        <w:t>&lt;a id="ref-da-silveira-romero-2025"&gt;&lt;/a&gt; 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Normal"/>
        <w:bidi w:val="0"/>
        <w:jc w:val="left"/>
        <w:rPr>
          <w:lang w:val="pt-PT"/>
        </w:rPr>
      </w:pPr>
      <w:r>
        <w:rPr>
          <w:lang w:val="pt-PT"/>
        </w:rPr>
        <w:t>&lt;a id="ref-gu-2024"&gt;&lt;/a&gt; 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Normal"/>
        <w:bidi w:val="0"/>
        <w:jc w:val="left"/>
        <w:rPr>
          <w:lang w:val="pt-PT"/>
        </w:rPr>
      </w:pPr>
      <w:r>
        <w:rPr>
          <w:lang w:val="pt-PT"/>
        </w:rPr>
        <w:t>&lt;a id="ref-engdahl-2024"&gt;&lt;/a&gt; Engdahl, S., Gonzalez, M. A., Lee, C., &amp; Gates, D. H. (2024). Perspectives on the comparative benefits of body-powered and myoelectric upper limb prostheses. https://jneuroengrehab.biomedcentral.com/counter/pdf/10.1186/s12984-024-01436-4</w:t>
      </w:r>
    </w:p>
    <w:p>
      <w:pPr>
        <w:pStyle w:val="Normal"/>
        <w:bidi w:val="0"/>
        <w:jc w:val="left"/>
        <w:rPr>
          <w:lang w:val="pt-PT"/>
        </w:rPr>
      </w:pPr>
      <w:r>
        <w:rPr>
          <w:lang w:val="pt-PT"/>
        </w:rPr>
        <w:t>&lt;a id="ref-elbreki-2022"&gt;&lt;/a&gt; 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Normal"/>
        <w:bidi w:val="0"/>
        <w:jc w:val="left"/>
        <w:rPr>
          <w:lang w:val="pt-PT"/>
        </w:rPr>
      </w:pPr>
      <w:r>
        <w:rPr>
          <w:lang w:val="pt-PT"/>
        </w:rPr>
        <w:t>&lt;a id="ref-fink-2023"&gt;&lt;/a&gt; Fink, C., &amp; Diamond, Y. (2023). Prosthesis options and management in upper extremity amputation. https://www.semanticscholar.org/paper/3532a770446eb6144ef25a6b0162d1f98b61e0ff</w:t>
      </w:r>
    </w:p>
    <w:p>
      <w:pPr>
        <w:pStyle w:val="Normal"/>
        <w:bidi w:val="0"/>
        <w:jc w:val="left"/>
        <w:rPr>
          <w:lang w:val="pt-PT"/>
        </w:rPr>
      </w:pPr>
      <w:r>
        <w:rPr>
          <w:lang w:val="pt-PT"/>
        </w:rPr>
        <w:t>&lt;a id="ref-ibrahim-2024"&gt;&lt;/a&gt; 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Normal"/>
        <w:bidi w:val="0"/>
        <w:jc w:val="left"/>
        <w:rPr>
          <w:lang w:val="pt-PT"/>
        </w:rPr>
      </w:pPr>
      <w:r>
        <w:rPr>
          <w:lang w:val="pt-PT"/>
        </w:rPr>
        <w:t>&lt;a id="ref-kandikjan-2022"&gt;&lt;/a&gt; Kandikjan, T., Djokikj, J., Mircheski, I., &amp; Angeleska, E. (2022). Integrating parametric design and additive manufacturing knowledge in industrial design education. https://www.semanticscholar.org/paper/7d28a8c124ef0a3599dd937791a3f3e093775ac0</w:t>
      </w:r>
    </w:p>
    <w:p>
      <w:pPr>
        <w:pStyle w:val="Normal"/>
        <w:bidi w:val="0"/>
        <w:jc w:val="left"/>
        <w:rPr>
          <w:lang w:val="pt-PT"/>
        </w:rPr>
      </w:pPr>
      <w:r>
        <w:rPr>
          <w:lang w:val="pt-PT"/>
        </w:rPr>
        <w:t>&lt;a id="ref-kannenberg-2024"&gt;&lt;/a&gt; Kannenberg, A., Buis, A. W. P., Sengeh, D. M., &amp; Worsley, P. R. (2024). Insights into the spectrum of transtibial prosthetic socket design from expert clinicians and their digital records. Frontiers in Rehabilitation Sciences, 5. https://doi.org/10.3389/fresc.2024.1354069</w:t>
      </w:r>
    </w:p>
    <w:p>
      <w:pPr>
        <w:pStyle w:val="Normal"/>
        <w:bidi w:val="0"/>
        <w:jc w:val="left"/>
        <w:rPr>
          <w:lang w:val="pt-PT"/>
        </w:rPr>
      </w:pPr>
      <w:r>
        <w:rPr>
          <w:lang w:val="pt-PT"/>
        </w:rPr>
        <w:t>&lt;a id="ref-lei-2016"&gt;&lt;/a&gt; Lei, N., Yao, X., Moon, S. K., &amp; Bi, G. (2016). An additive manufacturing process model for product family design. https://dr.ntu.edu.sg/bitstream/10356/83735/1/An%20additive%20manufacturing%20process%20model%20for%20product%20family%20design.pdf</w:t>
      </w:r>
    </w:p>
    <w:p>
      <w:pPr>
        <w:pStyle w:val="Normal"/>
        <w:bidi w:val="0"/>
        <w:jc w:val="left"/>
        <w:rPr>
          <w:lang w:val="pt-PT"/>
        </w:rPr>
      </w:pPr>
      <w:r>
        <w:rPr>
          <w:lang w:val="pt-PT"/>
        </w:rPr>
        <w:t>&lt;a id="ref-lindell-2021"&gt;&lt;/a&gt; Lindell, E., Tingsvik, H., Guo, L., &amp; Peterson, J. (2021). 3D body scan as anthropometric tool for individualized prosthetic socks. https://sciendo.com/pdf/10.2478/aut-2021-0007</w:t>
      </w:r>
    </w:p>
    <w:p>
      <w:pPr>
        <w:pStyle w:val="Normal"/>
        <w:bidi w:val="0"/>
        <w:jc w:val="left"/>
        <w:rPr>
          <w:lang w:val="pt-PT"/>
        </w:rPr>
      </w:pPr>
      <w:r>
        <w:rPr>
          <w:lang w:val="pt-PT"/>
        </w:rPr>
        <w:t>&lt;a id="ref-lim-d-georgiou-t-bhardwaj"&gt;&lt;/a&gt;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Normal"/>
        <w:bidi w:val="0"/>
        <w:jc w:val="left"/>
        <w:rPr>
          <w:lang w:val="pt-PT"/>
        </w:rPr>
      </w:pPr>
      <w:r>
        <w:rPr>
          <w:lang w:val="pt-PT"/>
        </w:rPr>
        <w:t>&lt;a id="ref-ozdemir-2022"&gt;&lt;/a&gt; 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Normal"/>
        <w:bidi w:val="0"/>
        <w:jc w:val="left"/>
        <w:rPr>
          <w:lang w:val="pt-PT"/>
        </w:rPr>
      </w:pPr>
      <w:r>
        <w:rPr>
          <w:lang w:val="pt-PT"/>
        </w:rPr>
        <w:t>&lt;a id="ref-peixoto-2025"&gt;&lt;/a&gt; Peixoto, S., Martins, N., Miranda, D., Matos, D., &amp; Carvalho, V. (2025). The design process in the development of an online platform for personalizing wearable prostheses: A preliminary approach. Designs, 9(2), 39. https://doi.org/10.3390/designs9020039</w:t>
      </w:r>
    </w:p>
    <w:p>
      <w:pPr>
        <w:pStyle w:val="Normal"/>
        <w:bidi w:val="0"/>
        <w:jc w:val="left"/>
        <w:rPr>
          <w:lang w:val="pt-PT"/>
        </w:rPr>
      </w:pPr>
      <w:r>
        <w:rPr>
          <w:lang w:val="pt-PT"/>
        </w:rPr>
        <w:t>&lt;a id="ref-parlamento-europeu-2017"&gt;&lt;/a&gt; Parlamento Europeu, &amp; Conselho da União Europeia. (2017). Regulation (EU) 2017/745 of the European Parliament and of the Council of 5 April 2017 on medical devices. https://eur-lex.europa.eu/eli/reg/2017/745/oj</w:t>
      </w:r>
    </w:p>
    <w:p>
      <w:pPr>
        <w:pStyle w:val="Normal"/>
        <w:bidi w:val="0"/>
        <w:jc w:val="left"/>
        <w:rPr>
          <w:lang w:val="pt-PT"/>
        </w:rPr>
      </w:pPr>
      <w:r>
        <w:rPr>
          <w:lang w:val="pt-PT"/>
        </w:rPr>
        <w:t>&lt;a id="ref-chapman-2025"&gt;&lt;/a&gt; Chapman, K., Allen, C., &amp; Kendall, E. (2025). Methods for co-designing health communication initiatives with people with disability: A scoping review. Health Communication. https://doi.org/10.1080/10810730.2025.2462679</w:t>
      </w:r>
    </w:p>
    <w:p>
      <w:pPr>
        <w:pStyle w:val="Normal"/>
        <w:bidi w:val="0"/>
        <w:jc w:val="left"/>
        <w:rPr>
          <w:lang w:val="pt-PT"/>
        </w:rPr>
      </w:pPr>
      <w:r>
        <w:rPr>
          <w:lang w:val="pt-PT"/>
        </w:rPr>
        <w:t>&lt;a id="ref-clarkson-2010"&gt;&lt;/a&gt; Clarkson, J., &amp; Coleman, R. (2010). Inclusive design. Design Studies. https://doi.org/10.1080/09544821003693689</w:t>
      </w:r>
    </w:p>
    <w:p>
      <w:pPr>
        <w:pStyle w:val="Normal"/>
        <w:bidi w:val="0"/>
        <w:jc w:val="left"/>
        <w:rPr>
          <w:lang w:val="pt-PT"/>
        </w:rPr>
      </w:pPr>
      <w:r>
        <w:rPr>
          <w:lang w:val="pt-PT"/>
        </w:rPr>
        <w:t>&lt;a id="ref-chtioui-2023"&gt;&lt;/a&gt; Chtioui, N., Gaha, R., &amp; Benamara, A. (2023). Design for additive manufacturing: Review and framework proposal. https://sei.ardascience.com/index.php/journal/article/download/185/169</w:t>
      </w:r>
    </w:p>
    <w:p>
      <w:pPr>
        <w:pStyle w:val="Normal"/>
        <w:bidi w:val="0"/>
        <w:jc w:val="left"/>
        <w:rPr>
          <w:lang w:val="pt-PT"/>
        </w:rPr>
      </w:pPr>
      <w:r>
        <w:rPr>
          <w:lang w:val="pt-PT"/>
        </w:rPr>
        <w:t>&lt;a id="ref-fisher-2020"&gt;&lt;/a&gt; Fisher, M., &amp; Johansen, E. (2020). Human-centered design for medical devices and diagnostics in global health. https://www.semanticscholar.org/paper/89c3c6bd56f4d0b54f5da3e3c96f18e815d9f5d4</w:t>
      </w:r>
    </w:p>
    <w:p>
      <w:pPr>
        <w:pStyle w:val="Normal"/>
        <w:bidi w:val="0"/>
        <w:jc w:val="left"/>
        <w:rPr>
          <w:lang w:val="pt-PT"/>
        </w:rPr>
      </w:pPr>
      <w:r>
        <w:rPr>
          <w:lang w:val="pt-PT"/>
        </w:rPr>
        <w:t>&lt;a id="ref-millet-2018"&gt;&lt;/a&gt; Millet, A., Akle, A. A., &amp; Legardeur, J. (2018). Human centred criteria for healthcare design. https://www.semanticscholar.org/paper/267b655f123f4f167f1f9e7e6c8a1f17f73a73d0</w:t>
      </w:r>
    </w:p>
    <w:p>
      <w:pPr>
        <w:pStyle w:val="Normal"/>
        <w:bidi w:val="0"/>
        <w:jc w:val="left"/>
        <w:rPr>
          <w:lang w:val="pt-PT"/>
        </w:rPr>
      </w:pPr>
      <w:r>
        <w:rPr>
          <w:lang w:val="pt-PT"/>
        </w:rPr>
        <w:t>&lt;a id="ref-oldfrey-2024"&gt;&lt;/a&gt; Oldfrey, B., Ramirez, D. Z. M., Miodownik, M., et al. (2024). A scoping review of digital fabrication techniques applied to prosthetics and orthotics: Part 1 of 2—Prosthetics. Prosthetics and Orthotics International. https://doi.org/10.1097/PXR.0000000000000351</w:t>
      </w:r>
    </w:p>
    <w:p>
      <w:pPr>
        <w:pStyle w:val="Normal"/>
        <w:bidi w:val="0"/>
        <w:jc w:val="left"/>
        <w:rPr>
          <w:lang w:val="pt-PT"/>
        </w:rPr>
      </w:pPr>
      <w:r>
        <w:rPr>
          <w:lang w:val="pt-PT"/>
        </w:rPr>
        <w:t>&lt;a id="ref-quintero-2018"&gt;&lt;/a&gt; 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Normal"/>
        <w:bidi w:val="0"/>
        <w:jc w:val="left"/>
        <w:rPr>
          <w:lang w:val="pt-PT"/>
        </w:rPr>
      </w:pPr>
      <w:r>
        <w:rPr>
          <w:lang w:val="pt-PT"/>
        </w:rPr>
        <w:t>&lt;a id="ref-resnik-2010"&gt;&lt;/a&gt; Resnik, L., Klinger, S. L., Krauthamer, V., &amp; Barnabe, K. (2010). U.S. Food and Drug Administration regulation of prosthetic research, development, and testing. https://www.semanticscholar.org/paper/71e1fef52dde69cbcea4f62c709f7c6689f9463d</w:t>
      </w:r>
    </w:p>
    <w:p>
      <w:pPr>
        <w:pStyle w:val="Normal"/>
        <w:bidi w:val="0"/>
        <w:jc w:val="left"/>
        <w:rPr>
          <w:lang w:val="pt-PT"/>
        </w:rPr>
      </w:pPr>
      <w:r>
        <w:rPr>
          <w:lang w:val="pt-PT"/>
        </w:rPr>
        <w:t>&lt;a id="ref-romero-2025"&gt;&lt;/a&gt;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Normal"/>
        <w:bidi w:val="0"/>
        <w:jc w:val="left"/>
        <w:rPr>
          <w:lang w:val="pt-PT"/>
        </w:rPr>
      </w:pPr>
      <w:r>
        <w:rPr>
          <w:lang w:val="pt-PT"/>
        </w:rPr>
        <w:t>&lt;a id="ref-segura-2024"&gt;&lt;/a&gt; Segura, D., Romero, E., Abarca, V. E., &amp; Elías, D. A. (2024). Upper limb prostheses by the level of amputation: A systematic review. Prosthesis, 6(2), 22. https://www.mdpi.com/2673-1592/6/2/22/pdf?version=1710818539</w:t>
      </w:r>
    </w:p>
    <w:p>
      <w:pPr>
        <w:pStyle w:val="Normal"/>
        <w:bidi w:val="0"/>
        <w:jc w:val="left"/>
        <w:rPr>
          <w:lang w:val="pt-PT"/>
        </w:rPr>
      </w:pPr>
      <w:r>
        <w:rPr>
          <w:lang w:val="pt-PT"/>
        </w:rPr>
        <w:t>&lt;a id="ref-smail-2020"&gt;&lt;/a&gt; Smail, L. C., Neal, C., Wilkins, C., &amp; Packham, T. (2020). Comfort and function remain key factors in upper limb prosthetic abandonment: Findings of a scoping review. https://www.semanticscholar.org/paper/b5eb3fd2414ebedaa5d2283451268fafa2db0a81</w:t>
      </w:r>
    </w:p>
    <w:p>
      <w:pPr>
        <w:pStyle w:val="Normal"/>
        <w:bidi w:val="0"/>
        <w:jc w:val="left"/>
        <w:rPr>
          <w:lang w:val="pt-PT"/>
        </w:rPr>
      </w:pPr>
      <w:r>
        <w:rPr>
          <w:lang w:val="pt-PT"/>
        </w:rPr>
        <w:t>&lt;a id="ref-soyer-2016"&gt;&lt;/a&gt; Soyer, K., Unver, B., Tamer, S., &amp; Ulger, O. (2016). The importance of rehabilitation concerning upper extremity amputees: A systematic review. https://pjms.com.pk/index.php/pjms/article/view/9922/4660</w:t>
      </w:r>
    </w:p>
    <w:p>
      <w:pPr>
        <w:pStyle w:val="Normal"/>
        <w:bidi w:val="0"/>
        <w:jc w:val="left"/>
        <w:rPr>
          <w:lang w:val="pt-PT"/>
        </w:rPr>
      </w:pPr>
      <w:r>
        <w:rPr>
          <w:lang w:val="pt-PT"/>
        </w:rPr>
        <w:t>&lt;a id="ref-saldarriaga-2024"&gt;&lt;/a&gt; 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Normal"/>
        <w:bidi w:val="0"/>
        <w:jc w:val="left"/>
        <w:rPr>
          <w:lang w:val="pt-PT"/>
        </w:rPr>
      </w:pPr>
      <w:r>
        <w:rPr>
          <w:lang w:val="pt-PT"/>
        </w:rPr>
        <w:t>&lt;a id="ref-shah-2006"&gt;&lt;/a&gt; Shah, S., &amp; Robinson, I. (2006). User involvement in healthcare technology development and assessment: Structured literature review. https://www.semanticscholar.org/paper/299d5b2c1d65791cc4c9f2db76edf20f479adcbc</w:t>
      </w:r>
    </w:p>
    <w:p>
      <w:pPr>
        <w:pStyle w:val="Normal"/>
        <w:bidi w:val="0"/>
        <w:jc w:val="left"/>
        <w:rPr>
          <w:lang w:val="pt-PT"/>
        </w:rPr>
      </w:pPr>
      <w:r>
        <w:rPr>
          <w:lang w:val="pt-PT"/>
        </w:rPr>
        <w:t>&lt;a id="ref-silva-alcara-2018"&gt;&lt;/a&gt; Silva, L. A. da, Medola, F. O., Rodrigues, O. V., Rodrigues, A. C. T., &amp; Sandnes, F. E. (2018). Interdisciplinary-based development of user-friendly customized 3D printed upper limb prosthesis. Comunicação em conferência.</w:t>
      </w:r>
    </w:p>
    <w:p>
      <w:pPr>
        <w:pStyle w:val="Normal"/>
        <w:bidi w:val="0"/>
        <w:jc w:val="left"/>
        <w:rPr>
          <w:lang w:val="pt-PT"/>
        </w:rPr>
      </w:pPr>
      <w:r>
        <w:rPr>
          <w:lang w:val="pt-PT"/>
        </w:rPr>
        <w:t>&lt;a id="ref-silva-2024"&gt;&lt;/a&gt; Silva, R., Silva, B., Fernandes, C., Morouco, P., Alves, N., &amp; Veloso, A. (2024). A review on 3D scanners studies for producing customized orthoses. Sensors, 24(5), 1373. https://pmc.ncbi.nlm.nih.gov/articles/PMC10935386/pdf/sensors-24-01373.pdf</w:t>
      </w:r>
    </w:p>
    <w:p>
      <w:pPr>
        <w:pStyle w:val="Normal"/>
        <w:bidi w:val="0"/>
        <w:jc w:val="left"/>
        <w:rPr>
          <w:lang w:val="pt-PT"/>
        </w:rPr>
      </w:pPr>
      <w:r>
        <w:rPr>
          <w:lang w:val="pt-PT"/>
        </w:rPr>
        <w:t>&lt;a id="ref-story-2006"&gt;&lt;/a&gt; Story, M. (2006). Applying the principles of universal design to medical devices. https://www.semanticscholar.org/paper/d0d84425d517331607c9120290ed26d1bf2e1862</w:t>
      </w:r>
    </w:p>
    <w:p>
      <w:pPr>
        <w:pStyle w:val="Normal"/>
        <w:bidi w:val="0"/>
        <w:jc w:val="left"/>
        <w:rPr>
          <w:lang w:val="pt-PT"/>
        </w:rPr>
      </w:pPr>
      <w:r>
        <w:rPr>
          <w:lang w:val="pt-PT"/>
        </w:rPr>
        <w:t>&lt;a id="ref-stralen-2018"&gt;&lt;/a&gt; Stralen, M. V. (2018). Mass customization: A critical perspective on parametric design, digital fabrication and design democratization. https://www.semanticscholar.org/paper/a18f2c4d248e791d2a9b84f3cab268d5a377cc10</w:t>
      </w:r>
    </w:p>
    <w:p>
      <w:pPr>
        <w:pStyle w:val="Normal"/>
        <w:bidi w:val="0"/>
        <w:jc w:val="left"/>
        <w:rPr>
          <w:lang w:val="pt-PT"/>
        </w:rPr>
      </w:pPr>
      <w:r>
        <w:rPr>
          <w:lang w:val="pt-PT"/>
        </w:rPr>
        <w:t>&lt;a id="ref-squibb-2024"&gt;&lt;/a&gt; 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Normal"/>
        <w:bidi w:val="0"/>
        <w:jc w:val="left"/>
        <w:rPr>
          <w:lang w:val="pt-PT"/>
        </w:rPr>
      </w:pPr>
      <w:r>
        <w:rPr>
          <w:lang w:val="pt-PT"/>
        </w:rPr>
        <w:t>&lt;a id="ref-sunderland-2024"&gt;&lt;/a&gt; 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Normal"/>
        <w:bidi w:val="0"/>
        <w:jc w:val="left"/>
        <w:rPr>
          <w:lang w:val="pt-PT"/>
        </w:rPr>
      </w:pPr>
      <w:r>
        <w:rPr>
          <w:lang w:val="pt-PT"/>
        </w:rPr>
        <w:t>&lt;a id="ref-cklacandr-2022"&gt;&lt;/a&gt; Çıklaçandır, S., Yilmaz, M., Ozmert, O. S., Şahin, A. M., &amp; Mihçin, S. (2022). Comparison of traditional, MRI, and 3D scanning anthropometric measurements in hand prosthesis design. https://www.semanticscholar.org/paper/a24aab5d4434a01eeeda73c8a62f921580ceba54</w:t>
      </w:r>
    </w:p>
    <w:p>
      <w:pPr>
        <w:pStyle w:val="Normal"/>
        <w:bidi w:val="0"/>
        <w:jc w:val="left"/>
        <w:rPr>
          <w:lang w:val="pt-PT"/>
        </w:rPr>
      </w:pPr>
      <w:r>
        <w:rPr>
          <w:lang w:val="pt-PT"/>
        </w:rPr>
        <w:t>&lt;a id="ref-white-2022"&gt;&lt;/a&gt; White, J., &amp; Mosca, E. I. (2022). Developing innovative solutions for universal design in healthcare and other sectors. https://www.semanticscholar.org/paper/df2bb0d53af547bd89b2c716933c2a544bf422b1</w:t>
      </w:r>
    </w:p>
    <w:p>
      <w:pPr>
        <w:pStyle w:val="Normal"/>
        <w:bidi w:val="0"/>
        <w:jc w:val="left"/>
        <w:rPr>
          <w:lang w:val="pt-PT"/>
        </w:rPr>
      </w:pPr>
      <w:r>
        <w:rPr>
          <w:lang w:val="pt-PT"/>
        </w:rPr>
        <w:t>&lt;a id="ref-wiberg-2019"&gt;&lt;/a&gt; Wiberg, A., Persson, J., &amp; Ölvander, J. (2019). Design for additive manufacturing: A review of available design methods and software. https://www.semanticscholar.org/paper/e03bf769f344512519f1005baa1d6b83fe4fc8ed</w:t>
      </w:r>
    </w:p>
    <w:p>
      <w:pPr>
        <w:pStyle w:val="Normal"/>
        <w:bidi w:val="0"/>
        <w:jc w:val="left"/>
        <w:rPr>
          <w:lang w:val="pt-PT"/>
        </w:rPr>
      </w:pPr>
      <w:r>
        <w:rPr>
          <w:lang w:val="pt-PT"/>
        </w:rPr>
        <w:t>&lt;a id="ref-wilke-2020"&gt;&lt;/a&gt; Wilke, H., Badke-Schaub, P., &amp; Thoring, K. (2020). The healthcare design dilemma: Perils of a technology-driven design process for medical products. https://www.semanticscholar.org/paper/078781d9389d4618fc1b5db9347ab68ca7ef46d9</w:t>
      </w:r>
    </w:p>
    <w:p>
      <w:pPr>
        <w:pStyle w:val="Normal"/>
        <w:bidi w:val="0"/>
        <w:jc w:val="left"/>
        <w:rPr>
          <w:lang w:val="pt-PT"/>
        </w:rPr>
      </w:pPr>
      <w:r>
        <w:rPr>
          <w:lang w:val="pt-PT"/>
        </w:rPr>
        <w:t>&lt;a id="ref-walters-2025"&gt;&lt;/a&gt; Walters, S., Seminati, E., Metcalfe, B., Bailey, N. Y., &amp; Pegg, E. C. (2025). Demystifying upper limb hybrid prostheses: A scoping review. https://www.semanticscholar.org/paper/d659aff9bb182a3c92377571973e6e077a3b1838</w:t>
      </w:r>
    </w:p>
    <w:p>
      <w:pPr>
        <w:pStyle w:val="Normal"/>
        <w:bidi w:val="0"/>
        <w:jc w:val="left"/>
        <w:rPr>
          <w:lang w:val="pt-PT"/>
        </w:rPr>
      </w:pPr>
      <w:r>
        <w:rPr>
          <w:lang w:val="pt-PT"/>
        </w:rPr>
        <w:t>&lt;a id="ref-yao-2016"&gt;&lt;/a&gt; Yao, X., Moon, S. K., &amp; Bi, G. (2016). A cost-driven design methodology for additive manufactured variable platforms in product families. https://www.semanticscholar.org/paper/f7bc9dc2a80714c18ac068f45b99408b0f4fe65e</w:t>
      </w:r>
    </w:p>
    <w:p>
      <w:pPr>
        <w:pStyle w:val="Normal"/>
        <w:bidi w:val="0"/>
        <w:jc w:val="left"/>
        <w:rPr>
          <w:lang w:val="pt-PT"/>
        </w:rPr>
      </w:pPr>
      <w:r>
        <w:rPr>
          <w:lang w:val="pt-PT"/>
        </w:rPr>
        <w:t>&lt;a id="ref-young-2023"&gt;&lt;/a&gt; 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Normal"/>
        <w:bidi w:val="0"/>
        <w:jc w:val="left"/>
        <w:rPr>
          <w:lang w:val="pt-PT"/>
        </w:rPr>
      </w:pPr>
      <w:r>
        <w:rPr>
          <w:lang w:val="pt-PT"/>
        </w:rPr>
        <w:t>&lt;a id="ref-ao-2025"&gt;&lt;/a&gt; Ao, Y., Li, S., &amp; Duan, H. (2025). Artificial intelligence-aided design (AIAD) for structures and engineering: A state-of-the-art review and future perspectives. Archives of Computational Methods in Engineering. https://link.springer.com/content/pdf/10.1007/s11831-025-10264-1.pdf</w:t>
      </w:r>
    </w:p>
    <w:p>
      <w:pPr>
        <w:pStyle w:val="Normal"/>
        <w:bidi w:val="0"/>
        <w:jc w:val="left"/>
        <w:rPr>
          <w:lang w:val="pt-PT"/>
        </w:rPr>
      </w:pPr>
      <w:r>
        <w:rPr>
          <w:lang w:val="pt-PT"/>
        </w:rPr>
        <w:t>&lt;a id="ref-burnap-2019"&gt;&lt;/a&gt; Burnap, A., Hauser, J., &amp; Timoshenko, A. (2019). Design and evaluation of product aesthetics: A human-machine hybrid approach. https://www.semanticscholar.org/paper/7a7994f2de74a61cbdeb3c230d1ee343a0d5e783</w:t>
      </w:r>
    </w:p>
    <w:p>
      <w:pPr>
        <w:pStyle w:val="Normal"/>
        <w:bidi w:val="0"/>
        <w:jc w:val="left"/>
        <w:rPr>
          <w:lang w:val="pt-PT"/>
        </w:rPr>
      </w:pPr>
      <w:r>
        <w:rPr>
          <w:lang w:val="pt-PT"/>
        </w:rPr>
        <w:t>&lt;a id="ref-choudhury-2025"&gt;&lt;/a&gt; 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Normal"/>
        <w:bidi w:val="0"/>
        <w:jc w:val="left"/>
        <w:rPr>
          <w:lang w:val="pt-PT"/>
        </w:rPr>
      </w:pPr>
      <w:r>
        <w:rPr>
          <w:lang w:val="pt-PT"/>
        </w:rPr>
        <w:t>&lt;a id="ref-figoli-2022"&gt;&lt;/a&gt; Figoli, F. A., Mattioli, F., &amp; Rampino, L. (2022). AI in design idea development: A workshop on creativity and human-AI collaboration. https://dl.designresearchsociety.org/cgi/viewcontent.cgi?article=2915&amp;context=drs-conference-papers</w:t>
      </w:r>
    </w:p>
    <w:p>
      <w:pPr>
        <w:pStyle w:val="Normal"/>
        <w:bidi w:val="0"/>
        <w:jc w:val="left"/>
        <w:rPr>
          <w:lang w:val="pt-PT"/>
        </w:rPr>
      </w:pPr>
      <w:r>
        <w:rPr>
          <w:lang w:val="pt-PT"/>
        </w:rPr>
        <w:t>&lt;a id="ref-idris-2024"&gt;&lt;/a&gt; Idris, M. Z., Hashim, M. E. A. H. B., Albakry, N., &amp; Septian, N. (2024). Exploring the integration of artificial intelligence in co-design framework for designer. https://ebpj.e-iph.co.uk/index.php/EBProceedings/article/download/6348/3640</w:t>
      </w:r>
    </w:p>
    <w:p>
      <w:pPr>
        <w:pStyle w:val="Normal"/>
        <w:bidi w:val="0"/>
        <w:jc w:val="left"/>
        <w:rPr>
          <w:lang w:val="pt-PT"/>
        </w:rPr>
      </w:pPr>
      <w:r>
        <w:rPr>
          <w:lang w:val="pt-PT"/>
        </w:rPr>
        <w:t>&lt;a id="ref-kadenhe-2025"&gt;&lt;/a&gt; Kadenhe, N., Al Musleh, M., &amp; Lompot, A. (2025). Human-AI co-design and co-creation: A review of emerging approaches, challenges, and future directions. https://www.semanticscholar.org/paper/61c04706b7af0be5be4b0d15f595d4ab41874d12</w:t>
      </w:r>
    </w:p>
    <w:p>
      <w:pPr>
        <w:pStyle w:val="Normal"/>
        <w:bidi w:val="0"/>
        <w:jc w:val="left"/>
        <w:rPr>
          <w:lang w:val="pt-PT"/>
        </w:rPr>
      </w:pPr>
      <w:r>
        <w:rPr>
          <w:lang w:val="pt-PT"/>
        </w:rPr>
        <w:t>&lt;a id="ref-khanolkar-2023"&gt;&lt;/a&gt; Khanolkar, P., Vrolijk, A., &amp; Olechowski, A. (2023). Mapping artificial intelligence-based methods to engineering design stages: A focused literature review. https://www.semanticscholar.org/paper/4d63443d45e1a7156c5972ef009ed07bb0650117</w:t>
      </w:r>
    </w:p>
    <w:p>
      <w:pPr>
        <w:pStyle w:val="Normal"/>
        <w:bidi w:val="0"/>
        <w:jc w:val="left"/>
        <w:rPr>
          <w:lang w:val="pt-PT"/>
        </w:rPr>
      </w:pPr>
      <w:r>
        <w:rPr>
          <w:lang w:val="pt-PT"/>
        </w:rPr>
        <w:t>&lt;a id="ref-krahe-2020"&gt;&lt;/a&gt; Krahe, C., Bräunche, A., Jacob, A., Stricker, N., &amp; Lanza, G. (2020). Deep learning for automated product design. https://www.semanticscholar.org/paper/a5b9b4f63805f2b1773bc8214b29e38dbac27975</w:t>
      </w:r>
    </w:p>
    <w:p>
      <w:pPr>
        <w:pStyle w:val="Normal"/>
        <w:bidi w:val="0"/>
        <w:jc w:val="left"/>
        <w:rPr>
          <w:lang w:val="pt-PT"/>
        </w:rPr>
      </w:pPr>
      <w:r>
        <w:rPr>
          <w:lang w:val="pt-PT"/>
        </w:rPr>
        <w:t>&lt;a id="ref-li-2021"&gt;&lt;/a&gt; Li, X., Demirel, H., Goldstein, M., &amp; Sha, Z. (2021). Exploring generative design thinking for engineering design and design education. https://peer.asee.org/38349.pdf</w:t>
      </w:r>
    </w:p>
    <w:p>
      <w:pPr>
        <w:pStyle w:val="Normal"/>
        <w:bidi w:val="0"/>
        <w:jc w:val="left"/>
        <w:rPr>
          <w:lang w:val="pt-PT"/>
        </w:rPr>
      </w:pPr>
      <w:r>
        <w:rPr>
          <w:lang w:val="pt-PT"/>
        </w:rPr>
        <w:t>&lt;a id="ref-menaka-2025"&gt;&lt;/a&gt; Menaka, S., Raja, W., Ramakrishnan, S., Karthikeswaran, D., Sridar, K., &amp; Sivaranjani, T. (2025). AI-driven computer-aided design (CAD) systems: Leveraging neural networks for optimized engineering product development. https://ijamjournal.org/ijam/publication/index.php/ijam/article/download/341/311</w:t>
      </w:r>
    </w:p>
    <w:p>
      <w:pPr>
        <w:pStyle w:val="Normal"/>
        <w:bidi w:val="0"/>
        <w:jc w:val="left"/>
        <w:rPr>
          <w:lang w:val="pt-PT"/>
        </w:rPr>
      </w:pPr>
      <w:r>
        <w:rPr>
          <w:lang w:val="pt-PT"/>
        </w:rPr>
        <w:t>&lt;a id="ref-panchal-2019"&gt;&lt;/a&gt; Panchal, J. H., Fuge, M., Liu, Y., Missoum, S., &amp; Tucker, C. S. (2019). Special issue: Machine learning for engineering design. Journal of Mechanical Design. https://www.semanticscholar.org/paper/2c4f7ca9381db7debefe61d04da51f9e8e63d09d</w:t>
      </w:r>
    </w:p>
    <w:p>
      <w:pPr>
        <w:pStyle w:val="Normal"/>
        <w:bidi w:val="0"/>
        <w:jc w:val="left"/>
        <w:rPr>
          <w:lang w:val="pt-PT"/>
        </w:rPr>
      </w:pPr>
      <w:r>
        <w:rPr>
          <w:lang w:val="pt-PT"/>
        </w:rPr>
        <w:t>&lt;a id="ref-ramnath-2019"&gt;&lt;/a&gt; Ramnath, S., Haghighi, P., Kim, J. H., Detwiler, D., Berry, M., Shah, J., Aulig, N., Wollstadt, P., &amp; Menzel, S. (2019). Automatically generating 60,000 CAD variants for big data applications. https://www.semanticscholar.org/paper/40a0b51e5b01234cec3e807158b26a284ea77e0f</w:t>
      </w:r>
    </w:p>
    <w:p>
      <w:pPr>
        <w:pStyle w:val="Normal"/>
        <w:bidi w:val="0"/>
        <w:jc w:val="left"/>
        <w:rPr>
          <w:lang w:val="pt-PT"/>
        </w:rPr>
      </w:pPr>
      <w:r>
        <w:rPr>
          <w:lang w:val="pt-PT"/>
        </w:rPr>
        <w:t>&lt;a id="ref-rezwana-2022"&gt;&lt;/a&gt; Rezwana, J., &amp; Maher, M. (2022). Understanding user perceptions, collaborative experience, and user engagement in different human-AI interaction designs for co-creative systems. https://arxiv.org/pdf/2204.13217</w:t>
      </w:r>
    </w:p>
    <w:p>
      <w:pPr>
        <w:pStyle w:val="Normal"/>
        <w:bidi w:val="0"/>
        <w:jc w:val="left"/>
        <w:rPr>
          <w:lang w:val="pt-PT"/>
        </w:rPr>
      </w:pPr>
      <w:r>
        <w:rPr>
          <w:lang w:val="pt-PT"/>
        </w:rPr>
        <w:t>&lt;a id="ref-saeidnia-2024"&gt;&lt;/a&gt; 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Normal"/>
        <w:bidi w:val="0"/>
        <w:jc w:val="left"/>
        <w:rPr>
          <w:lang w:val="pt-PT"/>
        </w:rPr>
      </w:pPr>
      <w:r>
        <w:rPr>
          <w:lang w:val="pt-PT"/>
        </w:rPr>
        <w:t>&lt;a id="ref-verganti-2020"&gt;&lt;/a&gt; Verganti, R., Vendraminelli, L., &amp; Iansiti, M. (2020). Innovation and design in the age of artificial intelligence. https://onlinelibrary.wiley.com/doi/pdfdirect/10.1111/jpim.12523</w:t>
      </w:r>
    </w:p>
    <w:p>
      <w:pPr>
        <w:pStyle w:val="Normal"/>
        <w:bidi w:val="0"/>
        <w:jc w:val="left"/>
        <w:rPr>
          <w:lang w:val="pt-PT"/>
        </w:rPr>
      </w:pPr>
      <w:r>
        <w:rPr>
          <w:lang w:val="pt-PT"/>
        </w:rPr>
        <w:t>&lt;a id="ref-viros-i-martin-2021"&gt;&lt;/a&gt; Virós-i-Martin, A., &amp; Selva, D. (2021). A framework to study human-AI collaborative design space exploration. https://www.semanticscholar.org/paper/716be148371af443169531b0856ae07dfe400869</w:t>
      </w:r>
    </w:p>
    <w:p>
      <w:pPr>
        <w:pStyle w:val="Normal"/>
        <w:bidi w:val="0"/>
        <w:jc w:val="left"/>
        <w:rPr>
          <w:lang w:val="pt-PT"/>
        </w:rPr>
      </w:pPr>
      <w:r>
        <w:rPr>
          <w:lang w:val="pt-PT"/>
        </w:rPr>
        <w:t>&lt;a id="ref-wang-2024"&gt;&lt;/a&gt; Wang, X., &amp; Hu, B. (2024). Machine learning algorithms for improved product design user experience. https://www.semanticscholar.org/paper/717e7ad25dcafec12f01b6732773bdf9c5a49661</w:t>
      </w:r>
    </w:p>
    <w:p>
      <w:pPr>
        <w:pStyle w:val="Normal"/>
        <w:bidi w:val="0"/>
        <w:jc w:val="left"/>
        <w:rPr>
          <w:lang w:val="pt-PT"/>
        </w:rPr>
      </w:pPr>
      <w:r>
        <w:rPr>
          <w:lang w:val="pt-PT"/>
        </w:rPr>
        <w:t>&lt;a id="ref-yuksel-2023"&gt;&lt;/a&gt; Yüksel, N., Börklü, H. R., Sezer, H. K., &amp; Canyurt, O. (2023). Review of artificial intelligence applications in engineering design perspective. https://www.semanticscholar.org/paper/cd38b58edf6690459767097aca745a3806824236</w:t>
      </w:r>
    </w:p>
    <w:p>
      <w:pPr>
        <w:pStyle w:val="Normal"/>
        <w:bidi w:val="0"/>
        <w:jc w:val="left"/>
        <w:rPr>
          <w:lang w:val="pt-PT"/>
        </w:rPr>
      </w:pPr>
      <w:r>
        <w:rPr>
          <w:lang w:val="pt-PT"/>
        </w:rPr>
        <w:t>&lt;a id="ref-akasaka-2022"&gt;&lt;/a&gt; Akasaka, M., Veeckman, C., Georges, A., Schuurman, D., &amp; Coorevits, L. (2022). A framework for configuring participation in living labs. https://www.semanticscholar.org/paper/305d55af5fda06b4d1b33e7d29c1f16d1b7ea488</w:t>
      </w:r>
    </w:p>
    <w:p>
      <w:pPr>
        <w:pStyle w:val="Normal"/>
        <w:bidi w:val="0"/>
        <w:jc w:val="left"/>
        <w:rPr>
          <w:lang w:val="pt-PT"/>
        </w:rPr>
      </w:pPr>
      <w:r>
        <w:rPr>
          <w:lang w:val="pt-PT"/>
        </w:rPr>
        <w:t>&lt;a id="ref-akyol-2021"&gt;&lt;/a&gt; Akyol, P., Barker, T., Hall, R., Morrissey, K., McCarthy, J., &amp; Mackley, K. L. (2021). DiaFit: Designing customizable wearables for Type 1 diabetes monitoring. https://www.semanticscholar.org/paper/ea18361f7564fb19db367899adb6295a07bfa05c</w:t>
      </w:r>
    </w:p>
    <w:p>
      <w:pPr>
        <w:pStyle w:val="Normal"/>
        <w:bidi w:val="0"/>
        <w:jc w:val="left"/>
        <w:rPr>
          <w:lang w:val="pt-PT"/>
        </w:rPr>
      </w:pPr>
      <w:r>
        <w:rPr>
          <w:lang w:val="pt-PT"/>
        </w:rPr>
        <w:t>&lt;a id="ref-cole-2011"&gt;&lt;/a&gt; Cole, E. (2011). Patient-centered design: Interface personalization for individuals with brain injury.</w:t>
      </w:r>
    </w:p>
    <w:p>
      <w:pPr>
        <w:pStyle w:val="Normal"/>
        <w:bidi w:val="0"/>
        <w:jc w:val="left"/>
        <w:rPr>
          <w:lang w:val="pt-PT"/>
        </w:rPr>
      </w:pPr>
      <w:r>
        <w:rPr>
          <w:lang w:val="pt-PT"/>
        </w:rPr>
        <w:t>&lt;a id="ref-costabile-2007"&gt;&lt;/a&gt; Costabile, M. F., Fogli, D., Lanzilotti, R., Marcante, A., Mussio, P., Provenza, L. P., &amp; Piccinno, A. (2007). Meta-design to face co-evolution and communication gaps between users and designers.</w:t>
      </w:r>
    </w:p>
    <w:p>
      <w:pPr>
        <w:pStyle w:val="Normal"/>
        <w:bidi w:val="0"/>
        <w:jc w:val="left"/>
        <w:rPr>
          <w:lang w:val="pt-PT"/>
        </w:rPr>
      </w:pPr>
      <w:r>
        <w:rPr>
          <w:lang w:val="pt-PT"/>
        </w:rPr>
        <w:t>&lt;a id="ref-dechev-2023"&gt;&lt;/a&gt; Dechev, N., Penner, A., Barlow, I., Vukovic, G., &amp; Lalji, M. (2023). Accessible prosthetic arms: Victoria Hand Project and the impact of 3D printing.</w:t>
      </w:r>
    </w:p>
    <w:p>
      <w:pPr>
        <w:pStyle w:val="Normal"/>
        <w:bidi w:val="0"/>
        <w:jc w:val="left"/>
        <w:rPr>
          <w:lang w:val="pt-PT"/>
        </w:rPr>
      </w:pPr>
      <w:r>
        <w:rPr>
          <w:lang w:val="pt-PT"/>
        </w:rPr>
        <w:t>&lt;a id="ref-dexter-2013"&gt;&lt;/a&gt; Dexter, M., Crooks, E., Davies, P., &amp; Simm, W. (2013). Open design and cystic fibrosis: Enabling participation in the design process.</w:t>
      </w:r>
    </w:p>
    <w:p>
      <w:pPr>
        <w:pStyle w:val="Normal"/>
        <w:bidi w:val="0"/>
        <w:jc w:val="left"/>
        <w:rPr>
          <w:lang w:val="pt-PT"/>
        </w:rPr>
      </w:pPr>
      <w:r>
        <w:rPr>
          <w:lang w:val="pt-PT"/>
        </w:rPr>
        <w:t>&lt;a id="ref-fischer-2004"&gt;&lt;/a&gt; Fischer, G., Giaccardi, E., Ye, Y., Sutcliffe, A. G., &amp; Mehandjiev, N. (2004). Meta-design.</w:t>
      </w:r>
    </w:p>
    <w:p>
      <w:pPr>
        <w:pStyle w:val="Normal"/>
        <w:bidi w:val="0"/>
        <w:jc w:val="left"/>
        <w:rPr>
          <w:lang w:val="pt-PT"/>
        </w:rPr>
      </w:pPr>
      <w:r>
        <w:rPr>
          <w:lang w:val="pt-PT"/>
        </w:rPr>
        <w:t>&lt;a id="ref-fischer-2017"&gt;&lt;/a&gt; Fischer, G., Fogli, D., &amp; Piccinno, A. (2017). Revisiting and broadening the meta-design framework for end-user development.</w:t>
      </w:r>
    </w:p>
    <w:p>
      <w:pPr>
        <w:pStyle w:val="Normal"/>
        <w:bidi w:val="0"/>
        <w:jc w:val="left"/>
        <w:rPr>
          <w:lang w:val="pt-PT"/>
        </w:rPr>
      </w:pPr>
      <w:r>
        <w:rPr>
          <w:lang w:val="pt-PT"/>
        </w:rPr>
        <w:t>&lt;a id="ref-frangos-2016"&gt;&lt;/a&gt; Frangos, P., Mierdel, S., &amp; Koirala, S. (2016). Democratising design in scientific innovation: Application of an open value network to open source hardware design.</w:t>
      </w:r>
    </w:p>
    <w:p>
      <w:pPr>
        <w:pStyle w:val="Normal"/>
        <w:bidi w:val="0"/>
        <w:jc w:val="left"/>
        <w:rPr>
          <w:lang w:val="pt-PT"/>
        </w:rPr>
      </w:pPr>
      <w:r>
        <w:rPr>
          <w:lang w:val="pt-PT"/>
        </w:rPr>
        <w:t>&lt;a id="ref-franke-2002"&gt;&lt;/a&gt; Franke, N., &amp; von Hippel, E. (2002). Satisfying heterogeneous user needs via innovation toolkits: The case of Apache security software.</w:t>
      </w:r>
    </w:p>
    <w:p>
      <w:pPr>
        <w:pStyle w:val="Normal"/>
        <w:bidi w:val="0"/>
        <w:jc w:val="left"/>
        <w:rPr>
          <w:lang w:val="pt-PT"/>
        </w:rPr>
      </w:pPr>
      <w:r>
        <w:rPr>
          <w:lang w:val="pt-PT"/>
        </w:rPr>
        <w:t>&lt;a id="ref-govender-2020"&gt;&lt;/a&gt; Govender, R., Abrahmsén-Alami, S., Larsson, A., Borde, A., Liljeblad, A., &amp; Folestad, S. (2020). Independent tailoring of dose and drug release via a modularized product design concept for mass customization. Pharmaceutics.</w:t>
      </w:r>
    </w:p>
    <w:p>
      <w:pPr>
        <w:pStyle w:val="Normal"/>
        <w:bidi w:val="0"/>
        <w:jc w:val="left"/>
        <w:rPr>
          <w:lang w:val="pt-PT"/>
        </w:rPr>
      </w:pPr>
      <w:r>
        <w:rPr>
          <w:lang w:val="pt-PT"/>
        </w:rPr>
        <w:t>&lt;a id="ref-howard-2022"&gt;&lt;/a&gt; Howard, D., Davies, L., Dwyer, A., &amp; Williams, J. (2022). Assessing the use of co-design to produce bespoke assistive technology solutions within a current healthcare service: A service evaluation.</w:t>
      </w:r>
    </w:p>
    <w:p>
      <w:pPr>
        <w:pStyle w:val="Normal"/>
        <w:bidi w:val="0"/>
        <w:jc w:val="left"/>
        <w:rPr>
          <w:lang w:val="pt-PT"/>
        </w:rPr>
      </w:pPr>
      <w:r>
        <w:rPr>
          <w:lang w:val="pt-PT"/>
        </w:rPr>
        <w:t>&lt;a id="ref-hippel-2002"&gt;&lt;/a&gt; Hippel, E. von, &amp; Katz, R. (2002). Shifting innovation to users via toolkits. Management Science, 48(7).</w:t>
      </w:r>
    </w:p>
    <w:p>
      <w:pPr>
        <w:pStyle w:val="Normal"/>
        <w:bidi w:val="0"/>
        <w:jc w:val="left"/>
        <w:rPr>
          <w:lang w:val="pt-PT"/>
        </w:rPr>
      </w:pPr>
      <w:r>
        <w:rPr>
          <w:lang w:val="pt-PT"/>
        </w:rPr>
        <w:t>&lt;a id="ref-hussaini-2023"&gt;&lt;/a&gt; Hussaini, A., Kyberd, P., Mulindwa, B., Ssekitoleko, R., Keeble, W., Kenney, L., &amp; Howard, D. (2023). 3D printing in LMICs: Functional design for upper limb prosthetics in Uganda.</w:t>
      </w:r>
    </w:p>
    <w:p>
      <w:pPr>
        <w:pStyle w:val="Normal"/>
        <w:bidi w:val="0"/>
        <w:jc w:val="left"/>
        <w:rPr>
          <w:lang w:val="pt-PT"/>
        </w:rPr>
      </w:pPr>
      <w:r>
        <w:rPr>
          <w:lang w:val="pt-PT"/>
        </w:rPr>
        <w:t>&lt;a id="ref-kerr-2024"&gt;&lt;/a&gt; Kerr, A., Del Din, S., Clarkson, P. J., &amp; Rochester, L. (2024). A participatory model for cocreating accessible rehabilitation technology for stroke survivors: User-centered design approach.</w:t>
      </w:r>
    </w:p>
    <w:p>
      <w:pPr>
        <w:pStyle w:val="Normal"/>
        <w:bidi w:val="0"/>
        <w:jc w:val="left"/>
        <w:rPr>
          <w:lang w:val="pt-PT"/>
        </w:rPr>
      </w:pPr>
      <w:r>
        <w:rPr>
          <w:lang w:val="pt-PT"/>
        </w:rPr>
        <w:t>&lt;a id="ref-kuhl-2020"&gt;&lt;/a&gt; Kuhl, M., Lutz, J., Krause, D., &amp; Vielhaber, M. (2020). Design of personalized devices: The tradeoff between individual value and personalization workload. Applied Sciences.</w:t>
      </w:r>
    </w:p>
    <w:p>
      <w:pPr>
        <w:pStyle w:val="Normal"/>
        <w:bidi w:val="0"/>
        <w:jc w:val="left"/>
        <w:rPr>
          <w:lang w:val="pt-PT"/>
        </w:rPr>
      </w:pPr>
      <w:r>
        <w:rPr>
          <w:lang w:val="pt-PT"/>
        </w:rPr>
        <w:t>&lt;a id="ref-mikoajewski-2023"&gt;&lt;/a&gt; Mikołajewski, D., Rojek, I., Kotlarz, P., Dorożyński, J., &amp; Kopowski, J. (2023). Personalization of the 3D-printed upper limb exoskeleton design: Mechanical and IT aspects. Applied Sciences.</w:t>
      </w:r>
    </w:p>
    <w:p>
      <w:pPr>
        <w:pStyle w:val="Normal"/>
        <w:bidi w:val="0"/>
        <w:jc w:val="left"/>
        <w:rPr>
          <w:lang w:val="pt-PT"/>
        </w:rPr>
      </w:pPr>
      <w:r>
        <w:rPr>
          <w:lang w:val="pt-PT"/>
        </w:rPr>
        <w:t>&lt;a id="ref-peters-2023"&gt;&lt;/a&gt; Peters, C., &amp; Richter, P. (2023). Individualizing patient pathways through modularization: Design and evaluation of healthcare-specific modularization parameters.</w:t>
      </w:r>
    </w:p>
    <w:p>
      <w:pPr>
        <w:pStyle w:val="Normal"/>
        <w:bidi w:val="0"/>
        <w:jc w:val="left"/>
        <w:rPr>
          <w:lang w:val="pt-PT"/>
        </w:rPr>
      </w:pPr>
      <w:r>
        <w:rPr>
          <w:lang w:val="pt-PT"/>
        </w:rPr>
        <w:t>&lt;a id="ref-seregni-2021"&gt;&lt;/a&gt; Seregni, F., Arlati, S., Colombo, V., Spoladore, D., Greci, L., Pedroli, E., Serino, S., Cipresso, P., Goulene, K., Stroulia, E., Rizzo, A., &amp; Sacco, M. (2021). Virtual coaching for rehabilitation: The participatory design experience of the vCare Project.</w:t>
      </w:r>
    </w:p>
    <w:p>
      <w:pPr>
        <w:pStyle w:val="Normal"/>
        <w:bidi w:val="0"/>
        <w:jc w:val="left"/>
        <w:rPr>
          <w:lang w:val="pt-PT"/>
        </w:rPr>
      </w:pPr>
      <w:r>
        <w:rPr>
          <w:lang w:val="pt-PT"/>
        </w:rPr>
        <w:t>&lt;a id="ref-sims-2017"&gt;&lt;/a&gt; Sims, T., Cranny, A., Metcalf, C., Chappell, P., &amp; Donovan-Hall, M. (2017). Participatory design of pediatric upper limb prostheses: Qualitative methods and prototyping.</w:t>
      </w:r>
    </w:p>
    <w:p>
      <w:pPr>
        <w:pStyle w:val="Normal"/>
        <w:bidi w:val="0"/>
        <w:jc w:val="left"/>
        <w:rPr>
          <w:lang w:val="pt-PT"/>
        </w:rPr>
      </w:pPr>
      <w:r>
        <w:rPr>
          <w:lang w:val="pt-PT"/>
        </w:rPr>
        <w:t>&lt;a id="ref-thorsen-2023"&gt;&lt;/a&gt; Thorsen, R., Hansen, A. H., &amp; Nilsen, E. R. (2023). From patient to maker: A workflow including people with cerebral palsy in co-creating assistive devices using 3D printing technologies.</w:t>
      </w:r>
    </w:p>
    <w:p>
      <w:pPr>
        <w:pStyle w:val="Normal"/>
        <w:bidi w:val="0"/>
        <w:jc w:val="left"/>
        <w:rPr>
          <w:lang w:val="pt-PT"/>
        </w:rPr>
      </w:pPr>
      <w:r>
        <w:rPr>
          <w:lang w:val="pt-PT"/>
        </w:rPr>
        <w:t>&lt;a id="ref-zhu-2022"&gt;&lt;/a&gt; Zhu, Z., &amp; Zhong, R. Y. (2022). A digital twin enabled wearable device for customized healthcare.</w:t>
      </w:r>
    </w:p>
    <w:p>
      <w:pPr>
        <w:pStyle w:val="Normal"/>
        <w:bidi w:val="0"/>
        <w:jc w:val="left"/>
        <w:rPr>
          <w:lang w:val="pt-PT"/>
        </w:rPr>
      </w:pPr>
      <w:r>
        <w:rPr>
          <w:lang w:val="pt-PT"/>
        </w:rPr>
        <w:t>&lt;a id="ref-alluhydan-2023"&gt;&lt;/a&gt; Alluhydan, A., Alsaadi, S., Almutairi, A., &amp; Alharbi, A. (2023). Functionality and comfort design of lower-limb prosthetics: A review.</w:t>
      </w:r>
    </w:p>
    <w:p>
      <w:pPr>
        <w:pStyle w:val="Normal"/>
        <w:bidi w:val="0"/>
        <w:jc w:val="left"/>
        <w:rPr>
          <w:lang w:val="pt-PT"/>
        </w:rPr>
      </w:pPr>
      <w:r>
        <w:rPr>
          <w:lang w:val="pt-PT"/>
        </w:rPr>
        <w:t>&lt;a id="ref-anderson-2024"&gt;&lt;/a&gt; Anderson, C. B., Stephens, A. R., Scully, A., Pasquina, P. F., &amp; Highsmith, M. J. (2024). A narrative review of prosthesis design decision making after lower-limb amputation for developing shared decision-making resources.</w:t>
      </w:r>
    </w:p>
    <w:p>
      <w:pPr>
        <w:pStyle w:val="Normal"/>
        <w:bidi w:val="0"/>
        <w:jc w:val="left"/>
        <w:rPr>
          <w:lang w:val="pt-PT"/>
        </w:rPr>
      </w:pPr>
      <w:r>
        <w:rPr>
          <w:lang w:val="pt-PT"/>
        </w:rPr>
        <w:t>&lt;a id="ref-andrysek-2010"&gt;&lt;/a&gt; Andrysek, J. (2010). Lower-limb prosthetic technologies in the developing world: A review of literature from 1994-2010.</w:t>
      </w:r>
    </w:p>
    <w:p>
      <w:pPr>
        <w:pStyle w:val="Normal"/>
        <w:bidi w:val="0"/>
        <w:jc w:val="left"/>
        <w:rPr>
          <w:lang w:val="pt-PT"/>
        </w:rPr>
      </w:pPr>
      <w:r>
        <w:rPr>
          <w:lang w:val="pt-PT"/>
        </w:rPr>
        <w:t>&lt;a id="ref-baldock-2023"&gt;&lt;/a&gt; Baldock, C., Greaves, M., Chockalingam, N., &amp; Kark, L. (2023). Adjustable prosthetic sockets: A systematic review of industrial and research design characteristics and their justifications.</w:t>
      </w:r>
    </w:p>
    <w:p>
      <w:pPr>
        <w:pStyle w:val="Normal"/>
        <w:bidi w:val="0"/>
        <w:jc w:val="left"/>
        <w:rPr>
          <w:lang w:val="pt-PT"/>
        </w:rPr>
      </w:pPr>
      <w:r>
        <w:rPr>
          <w:lang w:val="pt-PT"/>
        </w:rPr>
        <w:t>&lt;a id="ref-baumann-2023"&gt;&lt;/a&gt; Baumann, C., &amp; Maria, P. (2023). Improving access to prosthetic limbs in Germany: An explorative review.</w:t>
      </w:r>
    </w:p>
    <w:p>
      <w:pPr>
        <w:pStyle w:val="Normal"/>
        <w:bidi w:val="0"/>
        <w:jc w:val="left"/>
        <w:rPr>
          <w:lang w:val="pt-PT"/>
        </w:rPr>
      </w:pPr>
      <w:r>
        <w:rPr>
          <w:lang w:val="pt-PT"/>
        </w:rPr>
        <w:t>&lt;a id="ref-chadwell-2020"&gt;&lt;/a&gt; Chadwell, A., Kenney, L., Thies, S., Galpin, A., &amp; Head, J. (2020). Technology for monitoring everyday prosthesis use: A systematic review.</w:t>
      </w:r>
    </w:p>
    <w:p>
      <w:pPr>
        <w:pStyle w:val="Normal"/>
        <w:bidi w:val="0"/>
        <w:jc w:val="left"/>
        <w:rPr>
          <w:lang w:val="pt-PT"/>
        </w:rPr>
      </w:pPr>
      <w:r>
        <w:rPr>
          <w:lang w:val="pt-PT"/>
        </w:rPr>
        <w:t>&lt;a id="ref-cordella-2016"&gt;&lt;/a&gt; Cordella, F., Ciancio, A. L., Sacchetti, R., Davalli, A., Cutti, A. G., Guglielmelli, E., &amp; Zollo, L. (2016). Literature review on needs of upper limb prosthesis users.</w:t>
      </w:r>
    </w:p>
    <w:p>
      <w:pPr>
        <w:pStyle w:val="Normal"/>
        <w:bidi w:val="0"/>
        <w:jc w:val="left"/>
        <w:rPr>
          <w:lang w:val="pt-PT"/>
        </w:rPr>
      </w:pPr>
      <w:r>
        <w:rPr>
          <w:lang w:val="pt-PT"/>
        </w:rPr>
        <w:t>&lt;a id="ref-dominguez-ruiz-2023"&gt;&lt;/a&gt; Domínguez-Ruiz, M., Ráez-Ballesteros, E., &amp; Castillo-Castañeda, E. (2023). Low limb prostheses and complex human prosthetic interaction: A systematic literature review.</w:t>
      </w:r>
    </w:p>
    <w:p>
      <w:pPr>
        <w:pStyle w:val="Normal"/>
        <w:bidi w:val="0"/>
        <w:jc w:val="left"/>
        <w:rPr>
          <w:lang w:val="pt-PT"/>
        </w:rPr>
      </w:pPr>
      <w:r>
        <w:rPr>
          <w:lang w:val="pt-PT"/>
        </w:rPr>
        <w:t>&lt;a id="ref-ghillebert-2019"&gt;&lt;/a&gt; Ghillebert, J., Schoukens, J., &amp; Vanderborght, B. (2019). Guidelines and recommendations to investigate the efficacy of a lower-limb prosthetic device: A systematic review.</w:t>
      </w:r>
    </w:p>
    <w:p>
      <w:pPr>
        <w:pStyle w:val="Normal"/>
        <w:bidi w:val="0"/>
        <w:jc w:val="left"/>
        <w:rPr>
          <w:lang w:val="pt-PT"/>
        </w:rPr>
      </w:pPr>
      <w:r>
        <w:rPr>
          <w:lang w:val="pt-PT"/>
        </w:rPr>
        <w:t>&lt;a id="ref-hafner-2016"&gt;&lt;/a&gt; Hafner, B. J., &amp; Sawers, A. B. (2016). Issues affecting the level of prosthetics research evidence: Secondary analysis of a systematic review.</w:t>
      </w:r>
    </w:p>
    <w:p>
      <w:pPr>
        <w:pStyle w:val="Normal"/>
        <w:bidi w:val="0"/>
        <w:jc w:val="left"/>
        <w:rPr>
          <w:lang w:val="pt-PT"/>
        </w:rPr>
      </w:pPr>
      <w:r>
        <w:rPr>
          <w:lang w:val="pt-PT"/>
        </w:rPr>
        <w:t>&lt;a id="ref-manz-2022"&gt;&lt;/a&gt; Manz, S. M., Menges, M. M., Schaffernicht, E., Mattes, K., &amp; Kannenberg, A. (2022). A review of user needs to inform the development of lower-limb prostheses.</w:t>
      </w:r>
    </w:p>
    <w:p>
      <w:pPr>
        <w:pStyle w:val="Normal"/>
        <w:bidi w:val="0"/>
        <w:jc w:val="left"/>
        <w:rPr>
          <w:lang w:val="pt-PT"/>
        </w:rPr>
      </w:pPr>
      <w:r>
        <w:rPr>
          <w:lang w:val="pt-PT"/>
        </w:rPr>
        <w:t>&lt;a id="ref-marinelli-2022"&gt;&lt;/a&gt; Marinelli, M., Putrino, D., Stella, F., &amp; Guglielmelli, E. (2022). Active upper limb prostheses: A review on current state and upcoming breakthroughs.</w:t>
      </w:r>
    </w:p>
    <w:p>
      <w:pPr>
        <w:pStyle w:val="Normal"/>
        <w:bidi w:val="0"/>
        <w:jc w:val="left"/>
        <w:rPr>
          <w:lang w:val="pt-PT"/>
        </w:rPr>
      </w:pPr>
      <w:r>
        <w:rPr>
          <w:lang w:val="pt-PT"/>
        </w:rPr>
        <w:t>&lt;a id="ref-richardson-2017"&gt;&lt;/a&gt; Richardson, C., &amp; Dillon, M. P. (2017). User experience of transtibial prosthetic liners: A systematic review.</w:t>
      </w:r>
    </w:p>
    <w:p>
      <w:pPr>
        <w:pStyle w:val="Normal"/>
        <w:bidi w:val="0"/>
        <w:jc w:val="left"/>
        <w:rPr>
          <w:lang w:val="pt-PT"/>
        </w:rPr>
      </w:pPr>
      <w:r>
        <w:rPr>
          <w:lang w:val="pt-PT"/>
        </w:rPr>
        <w:t>&lt;a id="ref-samuelsson-2012"&gt;&lt;/a&gt; Samuelsson, K. A. M., Töytäri, O., Salminen, A.-L., &amp; Brandt, Å. (2012). Effects of lower limb prosthesis on activity, participation, and quality of life: A systematic review.</w:t>
      </w:r>
    </w:p>
    <w:p>
      <w:pPr>
        <w:pStyle w:val="Normal"/>
        <w:bidi w:val="0"/>
        <w:jc w:val="left"/>
        <w:rPr>
          <w:lang w:val="pt-PT"/>
        </w:rPr>
      </w:pPr>
      <w:r>
        <w:rPr>
          <w:lang w:val="pt-PT"/>
        </w:rPr>
        <w:t>&lt;a id="ref-walker-2019"&gt;&lt;/a&gt; Walker, M., Paras, A., Boonstra, N., &amp; Murrup-Stewart, C. (2019). Towards including end-users in the design of prosthetic hands: Ethical analysis of a survey of Australians with upper-limb difference.</w:t>
      </w:r>
    </w:p>
    <w:p>
      <w:pPr>
        <w:pStyle w:val="Normal"/>
        <w:bidi w:val="0"/>
        <w:jc w:val="left"/>
        <w:rPr>
          <w:lang w:val="pt-PT"/>
        </w:rPr>
      </w:pPr>
      <w:r>
        <w:rPr>
          <w:lang w:val="pt-PT"/>
        </w:rPr>
        <w:t>&lt;a id="ref-windrich-2016"&gt;&lt;/a&gt; Windrich, M., Grimmer, M., Christ, O., Rinderknecht, S., &amp; Beckerle, P. (2016). Active lower limb prosthetics: A systematic review of design issues and solutions.</w:t>
      </w:r>
    </w:p>
    <w:p>
      <w:pPr>
        <w:pStyle w:val="Normal"/>
        <w:bidi w:val="0"/>
        <w:jc w:val="left"/>
        <w:rPr>
          <w:lang w:val="pt-PT"/>
        </w:rPr>
      </w:pPr>
      <w:r>
        <w:rPr>
          <w:lang w:val="pt-PT"/>
        </w:rPr>
        <w:t>&lt;a id="ref-anacleto-filho-2023"&gt;&lt;/a&gt; 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Normal"/>
        <w:bidi w:val="0"/>
        <w:jc w:val="left"/>
        <w:rPr>
          <w:lang w:val="pt-PT"/>
        </w:rPr>
      </w:pPr>
      <w:r>
        <w:rPr>
          <w:lang w:val="pt-PT"/>
        </w:rPr>
        <w:t>&lt;a id="ref-chatzioglou-2024"&gt;&lt;/a&gt; Chatzioglou, G. N., Pinar, Y., &amp; Govsa, F. (2024). Biometric analysis hand parameters in young adults for prosthetic hand and ergonomic product applications. Anatomy &amp; Cell Biology, 57, 172-182. https://doi.org/10.5115/acb.23.310</w:t>
      </w:r>
    </w:p>
    <w:p>
      <w:pPr>
        <w:pStyle w:val="Normal"/>
        <w:bidi w:val="0"/>
        <w:jc w:val="left"/>
        <w:rPr>
          <w:lang w:val="pt-PT"/>
        </w:rPr>
      </w:pPr>
      <w:r>
        <w:rPr>
          <w:lang w:val="pt-PT"/>
        </w:rPr>
        <w:t>&lt;a id="ref-gordon-1989"&gt;&lt;/a&gt; 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Normal"/>
        <w:bidi w:val="0"/>
        <w:jc w:val="left"/>
        <w:rPr>
          <w:lang w:val="pt-PT"/>
        </w:rPr>
      </w:pPr>
      <w:r>
        <w:rPr>
          <w:lang w:val="pt-PT"/>
        </w:rPr>
        <w:t>&lt;a id="ref-gorski-2022"&gt;&lt;/a&gt; Górski, F., Zawadzki, P., Wichniarek, R., Kuczko, W., Słupińska, S., &amp; Żukowska, M. (2022). Automated design and rapid manufacturing of low-cost customized upper limb prostheses. Journal of Physics: Conference Series, 2198, 012040. https://doi.org/10.1088/1742-6596/2198/1/012040</w:t>
      </w:r>
    </w:p>
    <w:p>
      <w:pPr>
        <w:pStyle w:val="Normal"/>
        <w:bidi w:val="0"/>
        <w:jc w:val="left"/>
        <w:rPr>
          <w:lang w:val="pt-PT"/>
        </w:rPr>
      </w:pPr>
      <w:r>
        <w:rPr>
          <w:lang w:val="pt-PT"/>
        </w:rPr>
        <w:t>&lt;a id="ref-ibiwari-2025"&gt;&lt;/a&gt; 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Normal"/>
        <w:bidi w:val="0"/>
        <w:jc w:val="left"/>
        <w:rPr>
          <w:lang w:val="pt-PT"/>
        </w:rPr>
      </w:pPr>
      <w:r>
        <w:rPr>
          <w:lang w:val="pt-PT"/>
        </w:rPr>
        <w:t>&lt;a id="ref-nag-2003"&gt;&lt;/a&gt; Nag, A., Nag, P. K., &amp; Desai, H. (2003). Hand anthropometry of Indian women. Indian Journal of Medical Research, 117, 260-269.</w:t>
      </w:r>
    </w:p>
    <w:p>
      <w:pPr>
        <w:pStyle w:val="Normal"/>
        <w:bidi w:val="0"/>
        <w:jc w:val="left"/>
        <w:rPr>
          <w:lang w:val="pt-PT"/>
        </w:rPr>
      </w:pPr>
      <w:r>
        <w:rPr>
          <w:lang w:val="pt-PT"/>
        </w:rPr>
        <w:t>&lt;a id="ref-rodriguez-vega-2024"&gt;&lt;/a&gt; Rodríguez-Vega, G., &amp; Rodríguez-Vega, D. A. (2024). Normative data for the anthropometric hand dimensions of the Mexican population. European Public &amp; Social Innovation Review, 9, 1-15. https://doi.org/10.31637/epsir-2024-932</w:t>
      </w:r>
    </w:p>
    <w:p>
      <w:pPr>
        <w:pStyle w:val="Normal"/>
        <w:bidi w:val="0"/>
        <w:jc w:val="left"/>
        <w:rPr>
          <w:lang w:val="pt-PT"/>
        </w:rPr>
      </w:pPr>
      <w:r>
        <w:rPr>
          <w:lang w:val="pt-PT"/>
        </w:rPr>
        <w:t>&lt;a id="ref-gordon-2015"&gt;&lt;/a&gt; 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Normal"/>
        <w:bidi w:val="0"/>
        <w:jc w:val="left"/>
        <w:rPr>
          <w:lang w:val="pt-PT"/>
        </w:rPr>
      </w:pPr>
      <w:r>
        <w:rPr>
          <w:lang w:val="pt-PT"/>
        </w:rPr>
        <w:t>&lt;a id="ref-hu-2007"&gt;&lt;/a&gt; Hu, H., Li, Z., Yan, J., Wang, X., Xiao, H., Duan, J., &amp; Zheng, L. (2007). Anthropometric measurement of the Chinese elderly living in the Beijing area. International Journal of Industrial Ergonomics, 37(4), 303-311. https://doi.org/10.1016/j.ergon.2006.11.006</w:t>
      </w:r>
    </w:p>
    <w:p>
      <w:pPr>
        <w:pStyle w:val="Normal"/>
        <w:bidi w:val="0"/>
        <w:jc w:val="left"/>
        <w:rPr>
          <w:lang w:val="pt-PT"/>
        </w:rPr>
      </w:pPr>
      <w:r>
        <w:rPr>
          <w:lang w:val="pt-PT"/>
        </w:rPr>
        <w:t>&lt;a id="ref-mistarihi-2020"&gt;&lt;/a&gt; Mistarihi, M. Z. (2020). A data set on anthropometric measurements and degree of discomfort of physically disabled workers for ergonomic requirements in work space design. Data in Brief, 30, 105420. https://doi.org/10.1016/j.dib.2020.105420</w:t>
      </w:r>
    </w:p>
    <w:p>
      <w:pPr>
        <w:pStyle w:val="Normal"/>
        <w:bidi w:val="0"/>
        <w:jc w:val="left"/>
        <w:rPr>
          <w:lang w:val="pt-PT"/>
        </w:rPr>
      </w:pPr>
      <w:r>
        <w:rPr>
          <w:lang w:val="pt-PT"/>
        </w:rPr>
        <w:t>&lt;a id="ref-molenbroek-1998"&gt;&lt;/a&gt; Molenbroek, J. F. M. (1998). Geron study on Dutch elderly anthropometry. DINED database. Delft University of Technology. https://dined.io.tudelft.nl</w:t>
      </w:r>
    </w:p>
    <w:p>
      <w:pPr>
        <w:pStyle w:val="Normal"/>
        <w:bidi w:val="0"/>
        <w:jc w:val="left"/>
        <w:rPr>
          <w:lang w:val="pt-PT"/>
        </w:rPr>
      </w:pPr>
      <w:r>
        <w:rPr>
          <w:lang w:val="pt-PT"/>
        </w:rPr>
        <w:t>&lt;a id="ref-molenbroek-2003"&gt;&lt;/a&gt; Molenbroek, J. F. M., Kroon-Ramaekers, Y. M. T., &amp; Snijders, C. J. (2003). Revision of the Dutch standard for furniture in schools. Ergonomics, 46(5), 491-498. https://doi.org/10.1080/0014013031000085635</w:t>
      </w:r>
    </w:p>
    <w:p>
      <w:pPr>
        <w:pStyle w:val="Normal"/>
        <w:bidi w:val="0"/>
        <w:jc w:val="left"/>
        <w:rPr>
          <w:lang w:val="pt-PT"/>
        </w:rPr>
      </w:pPr>
      <w:r>
        <w:rPr>
          <w:lang w:val="pt-PT"/>
        </w:rPr>
        <w:t>&lt;a id="ref-steenbekkers-1998"&gt;&lt;/a&gt; Steenbekkers, L. P. A., &amp; van Beijsterveldt, C. E. M. (Eds.). (1998). Design-relevant characteristics of ageing users. Delft University Press.</w:t>
      </w:r>
    </w:p>
    <w:p>
      <w:pPr>
        <w:pStyle w:val="Normal"/>
        <w:bidi w:val="0"/>
        <w:jc w:val="left"/>
        <w:rPr>
          <w:lang w:val="pt-PT"/>
        </w:rPr>
      </w:pPr>
      <w:r>
        <w:rPr>
          <w:lang w:val="pt-PT"/>
        </w:rPr>
        <w:t>&lt;a id="ref-cross-1982"&gt;&lt;/a&gt; Cross, N. (1982). Designerly ways of knowing. Design Studies, 3(4), 221-227. https://doi.org/10.1016/0142-694X(82)90040-0</w:t>
      </w:r>
    </w:p>
    <w:p>
      <w:pPr>
        <w:pStyle w:val="Normal"/>
        <w:bidi w:val="0"/>
        <w:jc w:val="left"/>
        <w:rPr>
          <w:lang w:val="pt-PT"/>
        </w:rPr>
      </w:pPr>
      <w:r>
        <w:rPr>
          <w:lang w:val="pt-PT"/>
        </w:rPr>
        <w:t>&lt;a id="ref-design-council-2020"&gt;&lt;/a&gt; Design Council. (2020). Framework for innovation. https://www.designcouncil.org.uk/our-resources/framework-for-innovation/</w:t>
      </w:r>
    </w:p>
    <w:p>
      <w:pPr>
        <w:pStyle w:val="Normal"/>
        <w:bidi w:val="0"/>
        <w:jc w:val="left"/>
        <w:rPr>
          <w:lang w:val="pt-PT"/>
        </w:rPr>
      </w:pPr>
      <w:r>
        <w:rPr>
          <w:lang w:val="pt-PT"/>
        </w:rPr>
        <w:t>&lt;a id="ref-frayling-1994"&gt;&lt;/a&gt; Frayling, C. (1994). Research in art and design (Royal College of Art Research Papers, Vol. 1, No. 1, 1993/4). Royal College of Art.</w:t>
      </w:r>
    </w:p>
    <w:p>
      <w:pPr>
        <w:pStyle w:val="Normal"/>
        <w:bidi w:val="0"/>
        <w:jc w:val="left"/>
        <w:rPr>
          <w:lang w:val="pt-PT"/>
        </w:rPr>
      </w:pPr>
      <w:r>
        <w:rPr>
          <w:lang w:val="pt-PT"/>
        </w:rPr>
        <w:t>&lt;a id="ref-zimmerman-2007"&gt;&lt;/a&gt; Zimmerman, J., Forlizzi, J., &amp; Evenson, S. (2007). Research through design as a method for interaction design research in HCI. In Proceedings of the SIGCHI Conference on Human Factors in Computing Systems (pp. 493-502). ACM. https://doi.org/10.1145/1240624.1240704</w:t>
      </w:r>
    </w:p>
    <w:p>
      <w:pPr>
        <w:pStyle w:val="Normal"/>
        <w:bidi w:val="0"/>
        <w:jc w:val="left"/>
        <w:rPr>
          <w:lang w:val="pt-PT"/>
        </w:rPr>
      </w:pPr>
      <w:r>
        <w:rPr>
          <w:lang w:val="pt-PT"/>
        </w:rPr>
        <w:t>&lt;a id="ref-biddiss-2007"&gt;&lt;/a&gt; Biddiss, E., Beaton, D., &amp; Chau, T. (2007). Consumer design priorities for upper limb prosthetics. Disability and Rehabilitation: Assistive Technology, 2(6), 346-357. https://doi.org/10.1080/17483100701714733</w:t>
      </w:r>
    </w:p>
    <w:p>
      <w:pPr>
        <w:pStyle w:val="Normal"/>
        <w:bidi w:val="0"/>
        <w:jc w:val="left"/>
        <w:rPr>
          <w:lang w:val="pt-PT"/>
        </w:rPr>
      </w:pPr>
      <w:r>
        <w:rPr>
          <w:lang w:val="pt-PT"/>
        </w:rPr>
        <w:t>&lt;a id="ref-brack-2021"&gt;&lt;/a&gt; Brack, T., &amp; Amalu, E. H. (2021). A review of technology, materials and R&amp;D challenges of upper limb prosthesis for improved user suitability. Journal of Orthopaedics, 24, 88-96. https://doi.org/10.1016/j.jor.2021.03.011</w:t>
      </w:r>
    </w:p>
    <w:p>
      <w:pPr>
        <w:pStyle w:val="Normal"/>
        <w:bidi w:val="0"/>
        <w:jc w:val="left"/>
        <w:rPr>
          <w:lang w:val="pt-PT"/>
        </w:rPr>
      </w:pPr>
      <w:r>
        <w:rPr>
          <w:lang w:val="pt-PT"/>
        </w:rPr>
        <w:t>&lt;a id="ref-guo-2025"&gt;&lt;/a&gt; Guo, M. (2025). Human-centered design strategies for prosthetics based on user needs. Interdisciplinary Humanities and Communication Studies, 1(1), 39-48.</w:t>
      </w:r>
    </w:p>
    <w:p>
      <w:pPr>
        <w:pStyle w:val="Normal"/>
        <w:bidi w:val="0"/>
        <w:jc w:val="left"/>
        <w:rPr>
          <w:lang w:val="pt-PT"/>
        </w:rPr>
      </w:pPr>
      <w:r>
        <w:rPr>
          <w:lang w:val="pt-PT"/>
        </w:rPr>
        <w:t>&lt;a id="ref-henao-2025"&gt;&lt;/a&gt; 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Normal"/>
        <w:bidi w:val="0"/>
        <w:jc w:val="left"/>
        <w:rPr>
          <w:lang w:val="pt-PT"/>
        </w:rPr>
      </w:pPr>
      <w:r>
        <w:rPr>
          <w:lang w:val="pt-PT"/>
        </w:rPr>
        <w:t>&lt;a id="ref-herneth-2024"&gt;&lt;/a&gt; 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Normal"/>
        <w:bidi w:val="0"/>
        <w:jc w:val="left"/>
        <w:rPr>
          <w:lang w:val="pt-PT"/>
        </w:rPr>
      </w:pPr>
      <w:r>
        <w:rPr>
          <w:lang w:val="pt-PT"/>
        </w:rPr>
        <w:t>&lt;a id="ref-hofmann-2016"&gt;&lt;/a&gt; 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Normal"/>
        <w:bidi w:val="0"/>
        <w:jc w:val="left"/>
        <w:rPr>
          <w:lang w:val="pt-PT"/>
        </w:rPr>
      </w:pPr>
      <w:r>
        <w:rPr>
          <w:lang w:val="pt-PT"/>
        </w:rPr>
        <w:t>&lt;a id="ref-jones-2023"&gt;&lt;/a&gt; Jones, M. L. H., Vrieling, A. H., Steadman, J., &amp; Kyberd, P. J. (2023). Evidencing the effectiveness of upper limb prostheses: A multi-stakeholder perspective on study requirements. Frontiers in Health Services, 3, 1123682. https://doi.org/10.3389/frhs.2023.1123682</w:t>
      </w:r>
    </w:p>
    <w:p>
      <w:pPr>
        <w:pStyle w:val="Normal"/>
        <w:bidi w:val="0"/>
        <w:jc w:val="left"/>
        <w:rPr>
          <w:lang w:val="pt-PT"/>
        </w:rPr>
      </w:pPr>
      <w:r>
        <w:rPr>
          <w:lang w:val="pt-PT"/>
        </w:rPr>
        <w:t>&lt;a id="ref-peerdeman-2011"&gt;&lt;/a&gt; 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Normal"/>
        <w:bidi w:val="0"/>
        <w:jc w:val="left"/>
        <w:rPr>
          <w:lang w:val="pt-PT"/>
        </w:rPr>
      </w:pPr>
      <w:r>
        <w:rPr>
          <w:lang w:val="pt-PT"/>
        </w:rPr>
        <w:t>&lt;a id="ref-baron-2020"&gt;&lt;/a&gt; 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Normal"/>
        <w:bidi w:val="0"/>
        <w:jc w:val="left"/>
        <w:rPr>
          <w:lang w:val="pt-PT"/>
        </w:rPr>
      </w:pPr>
      <w:r>
        <w:rPr>
          <w:lang w:val="pt-PT"/>
        </w:rPr>
        <w:t>&lt;a id="ref-cabibihan-2018"&gt;&lt;/a&gt; Cabibihan, J.-J., Pattofatto, S., Jomaa, M., Benallal, A., &amp; Carrozza, M. C. (2018). A method for 3-D printing patient-specific prosthetic arms with high accuracy shape and size. IEEE Access, 6, 25029-25039. https://doi.org/10.1109/ACCESS.2018.2831907</w:t>
      </w:r>
    </w:p>
    <w:p>
      <w:pPr>
        <w:pStyle w:val="Normal"/>
        <w:bidi w:val="0"/>
        <w:jc w:val="left"/>
        <w:rPr>
          <w:lang w:val="pt-PT"/>
        </w:rPr>
      </w:pPr>
      <w:r>
        <w:rPr>
          <w:lang w:val="pt-PT"/>
        </w:rPr>
        <w:t>&lt;a id="ref-herbst-2021"&gt;&lt;/a&gt; 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Normal"/>
        <w:bidi w:val="0"/>
        <w:jc w:val="left"/>
        <w:rPr>
          <w:lang w:val="pt-PT"/>
        </w:rPr>
      </w:pPr>
      <w:r>
        <w:rPr>
          <w:lang w:val="pt-PT"/>
        </w:rPr>
        <w:t>&lt;a id="ref-lim-2018"&gt;&lt;/a&gt; Lim, S. H., Bae, M., &amp; Kim, S. H. (2018). Customization of a 3D printed prosthetic finger using parametric modeling. In ASME 2018 International Design Engineering Technical Conferences and Computers and Information in Engineering Conference. ASME. https://doi.org/10.1115/DETC2018-86211</w:t>
      </w:r>
    </w:p>
    <w:p>
      <w:pPr>
        <w:pStyle w:val="Normal"/>
        <w:bidi w:val="0"/>
        <w:jc w:val="left"/>
        <w:rPr>
          <w:lang w:val="pt-PT"/>
        </w:rPr>
      </w:pPr>
      <w:r>
        <w:rPr>
          <w:lang w:val="pt-PT"/>
        </w:rPr>
        <w:t>&lt;a id="ref-li-aflatoony-2025"&gt;&lt;/a&gt; Li, M., &amp; Aflatoony, L. (2025). Parametric design and three-dimensional printing: Enabling occupational therapists to develop custom hand grips. Disability and Rehabilitation: Assistive Technology, 20(6), 1829-1837. https://doi.org/10.1080/17483107.2025.2483953</w:t>
      </w:r>
    </w:p>
    <w:p>
      <w:pPr>
        <w:pStyle w:val="Normal"/>
        <w:bidi w:val="0"/>
        <w:jc w:val="left"/>
        <w:rPr>
          <w:lang w:val="pt-PT"/>
        </w:rPr>
      </w:pPr>
      <w:r>
        <w:rPr>
          <w:lang w:val="pt-PT"/>
        </w:rPr>
        <w:t>&lt;a id="ref-moreo-2016"&gt;&lt;/a&gt; Moreo, A. M. (2016). Parametric design of a 3D printable hand prosthesis for children in developing countries [Master's thesis, Delft University of Technology].</w:t>
      </w:r>
    </w:p>
    <w:p>
      <w:pPr>
        <w:pStyle w:val="Normal"/>
        <w:bidi w:val="0"/>
        <w:jc w:val="left"/>
        <w:rPr>
          <w:lang w:val="pt-PT"/>
        </w:rPr>
      </w:pPr>
      <w:r>
        <w:rPr>
          <w:lang w:val="pt-PT"/>
        </w:rPr>
        <w:t>&lt;a id="ref-romero-2025"&gt;&lt;/a&gt; Romero, M., Sánchez, J., &amp; Álvarez, H. (2025). Development of parametric prostheses for different levels of human hand amputations manufactured through additive manufacturing. Applied Sciences, 15(3), 1124. https://doi.org/10.3390/app15031124</w:t>
      </w:r>
    </w:p>
    <w:p>
      <w:pPr>
        <w:pStyle w:val="Normal"/>
        <w:bidi w:val="0"/>
        <w:jc w:val="left"/>
        <w:rPr>
          <w:lang w:val="pt-PT"/>
        </w:rPr>
      </w:pPr>
      <w:r>
        <w:rPr>
          <w:lang w:val="pt-PT"/>
        </w:rPr>
        <w:t>&lt;a id="ref-machado-2019"&gt;&lt;/a&gt; Machado, F., Malpica, N., &amp; Borromeo, S. (2019). Parametric CAD modeling for open source scientific hardware: Comparing OpenSCAD and FreeCAD Python scripts. PLOS ONE, 14(12), e0225795. https://doi.org/10.1371/journal.pone.0225795</w:t>
      </w:r>
    </w:p>
    <w:p>
      <w:pPr>
        <w:pStyle w:val="Normal"/>
        <w:bidi w:val="0"/>
        <w:jc w:val="left"/>
        <w:rPr>
          <w:lang w:val="pt-PT"/>
        </w:rPr>
      </w:pPr>
      <w:r>
        <w:rPr>
          <w:lang w:val="pt-PT"/>
        </w:rPr>
        <w:t>&lt;a id="ref-manero-2019"&gt;&lt;/a&gt;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Normal"/>
        <w:bidi w:val="0"/>
        <w:jc w:val="left"/>
        <w:rPr>
          <w:lang w:val="pt-PT"/>
        </w:rPr>
      </w:pPr>
      <w:r>
        <w:rPr>
          <w:lang w:val="pt-PT"/>
        </w:rPr>
        <w:t>&lt;a id="ref-menaka-2025"&gt;&lt;/a&gt; Menaka, S., Raja A, W., Ramakrishnan, S., Karthikeswaran, D., Sridar, K., &amp; Sivaranjani, T. (2025). AI-driven computer-aided design (CAD) systems: Leveraging neural networks for optimized engineering product development. International Journal of Applied Mathematics, 38(5s).</w:t>
      </w:r>
    </w:p>
    <w:p>
      <w:pPr>
        <w:pStyle w:val="Normal"/>
        <w:bidi w:val="0"/>
        <w:jc w:val="left"/>
        <w:rPr>
          <w:lang w:val="pt-PT"/>
        </w:rPr>
      </w:pPr>
      <w:r>
        <w:rPr>
          <w:lang w:val="pt-PT"/>
        </w:rPr>
        <w:t>&lt;a id="ref-nilsiam-2017"&gt;&lt;/a&gt; Nilsiam, Y., &amp; Pearce, J. M. (2017). Free and open source 3-D model customizer for websites to democratize design with OpenSCAD. Designs, 1(1), 5. https://doi.org/10.3390/designs1010005</w:t>
      </w:r>
    </w:p>
    <w:p>
      <w:pPr>
        <w:pStyle w:val="Normal"/>
        <w:bidi w:val="0"/>
        <w:jc w:val="left"/>
        <w:rPr>
          <w:lang w:val="pt-PT"/>
        </w:rPr>
      </w:pPr>
      <w:r>
        <w:rPr>
          <w:lang w:val="pt-PT"/>
        </w:rPr>
        <w:t>&lt;a id="ref-nini-2024"&gt;&lt;/a&gt;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Normal"/>
        <w:bidi w:val="0"/>
        <w:jc w:val="left"/>
        <w:rPr>
          <w:lang w:val="pt-PT"/>
        </w:rPr>
      </w:pPr>
      <w:r>
        <w:rPr>
          <w:lang w:val="pt-PT"/>
        </w:rPr>
        <w:t>&lt;a id="ref-ten-kate-2017"&gt;&lt;/a&gt; ten Kate, J., Smit, G., &amp; Breedveld, P. (2017). 3D-printed upper limb prostheses: A review. Disability and Rehabilitation: Assistive Technology, 12(3), 300-314. https://doi.org/10.1080/17483107.2016.1253117</w:t>
      </w:r>
    </w:p>
    <w:p>
      <w:pPr>
        <w:pStyle w:val="Normal"/>
        <w:bidi w:val="0"/>
        <w:jc w:val="left"/>
        <w:rPr>
          <w:lang w:val="pt-PT"/>
        </w:rPr>
      </w:pPr>
      <w:r>
        <w:rPr>
          <w:lang w:val="pt-PT"/>
        </w:rPr>
        <w:t>&lt;a id="ref-yu-2013"&gt;&lt;/a&gt; Yu, A., Yick, K. L., Ng, S. P., &amp; Yip, J. (2013). 2D and 3D anatomical analyses of hand dimensions for custom-made gloves. Applied Ergonomics, 44, 381-392.</w:t>
      </w:r>
    </w:p>
    <w:p>
      <w:pPr>
        <w:pStyle w:val="Normal"/>
        <w:bidi w:val="0"/>
        <w:jc w:val="left"/>
        <w:rPr>
          <w:lang w:val="pt-PT"/>
        </w:rPr>
      </w:pPr>
      <w:r>
        <w:rPr>
          <w:lang w:val="pt-PT"/>
        </w:rPr>
        <w:t xml:space="preserve">&lt;a id="ref-base-local-antropometrica-2026"&gt;&lt;/a&gt; Base local consolidada de dados antropométricos da mão e do membro superior distal. (2026). [Conjunto de dados]. Material de apoio da investigação, </w:t>
      </w:r>
      <w:r>
        <w:rPr>
          <w:rFonts w:ascii="Consolas" w:hAnsi="Consolas"/>
          <w:sz w:val="20"/>
          <w:lang w:val="pt-PT"/>
        </w:rPr>
        <w:t>material/antropometria/dados antropométricos/multi</w:t>
      </w:r>
      <w:r>
        <w:rPr>
          <w:i/>
          <w:lang w:val="pt-PT"/>
        </w:rPr>
        <w:t>population</w:t>
      </w:r>
      <w:r>
        <w:rPr>
          <w:lang w:val="pt-PT"/>
        </w:rPr>
        <w:t>hand.csv</w:t>
      </w:r>
      <w:r>
        <w:rPr>
          <w:rFonts w:ascii="Consolas" w:hAnsi="Consolas"/>
          <w:sz w:val="20"/>
          <w:lang w:val="pt-PT"/>
        </w:rPr>
        <w:t>.</w:t>
      </w:r>
    </w:p>
    <w:p>
      <w:pPr>
        <w:pStyle w:val="Normal"/>
        <w:bidi w:val="0"/>
        <w:jc w:val="left"/>
        <w:rPr>
          <w:lang w:val="pt-PT"/>
        </w:rPr>
      </w:pPr>
      <w:r>
        <w:rPr>
          <w:lang w:val="pt-PT"/>
        </w:rPr>
      </w:r>
    </w:p>
    <w:p>
      <w:pPr>
        <w:pStyle w:val="Normal"/>
        <w:bidi w:val="0"/>
        <w:jc w:val="left"/>
        <w:rPr>
          <w:lang w:val="pt-PT"/>
        </w:rPr>
      </w:pPr>
      <w:r>
        <w:rPr>
          <w:lang w:val="pt-PT"/>
        </w:rPr>
      </w:r>
    </w:p>
    <w:p>
      <w:pPr>
        <w:pStyle w:val="Normal"/>
        <w:bidi w:val="0"/>
        <w:rPr>
          <w:rFonts w:ascii="Calibri" w:hAnsi="Calibri"/>
          <w:b w:val="false"/>
          <w:i w:val="false"/>
          <w:sz w:val="22"/>
        </w:rPr>
      </w:pPr>
      <w:r>
        <w:rPr>
          <w:b w:val="false"/>
          <w:i w:val="false"/>
          <w:sz w:val="22"/>
        </w:rPr>
      </w:r>
    </w:p>
    <w:p>
      <w:pPr>
        <w:pStyle w:val="Normal"/>
        <w:bidi w:val="0"/>
        <w:rPr>
          <w:rFonts w:ascii="Calibri" w:hAnsi="Calibri"/>
          <w:b w:val="false"/>
          <w:i w:val="false"/>
          <w:sz w:val="22"/>
        </w:rPr>
      </w:pPr>
      <w:r>
        <w:rPr>
          <w:b w:val="false"/>
          <w:i w:val="false"/>
          <w:sz w:val="22"/>
        </w:rPr>
        <w:t xml:space="preserve">   </w:t>
      </w:r>
      <w:r>
        <w:rPr>
          <w:b w:val="false"/>
          <w:i w:val="false"/>
          <w:sz w:val="22"/>
        </w:rPr>
        <w:t>Brack, R., &amp; Amalu, E. H. (2021). A review  of technology, materials and R&amp;D  challenges of upper limb prosthesis for  improved user suitability. Journal of</w:t>
      </w:r>
    </w:p>
    <w:p>
      <w:pPr>
        <w:pStyle w:val="Normal"/>
        <w:bidi w:val="0"/>
        <w:rPr>
          <w:rFonts w:ascii="Calibri" w:hAnsi="Calibri"/>
          <w:b w:val="false"/>
          <w:i w:val="false"/>
          <w:sz w:val="22"/>
        </w:rPr>
      </w:pPr>
      <w:r>
        <w:rPr>
          <w:b w:val="false"/>
          <w:i w:val="false"/>
          <w:sz w:val="22"/>
        </w:rPr>
        <w:t xml:space="preserve">   </w:t>
      </w:r>
      <w:r>
        <w:rPr>
          <w:b w:val="false"/>
          <w:i w:val="false"/>
          <w:sz w:val="22"/>
        </w:rPr>
        <w:t>Orthopaedics, 23, 88–96.  https://doi.org/10.1016/j.jor.2020.12.009</w:t>
      </w:r>
    </w:p>
    <w:p>
      <w:pPr>
        <w:pStyle w:val="Normal"/>
        <w:bidi w:val="0"/>
        <w:rPr>
          <w:rFonts w:ascii="Calibri" w:hAnsi="Calibri"/>
          <w:b w:val="false"/>
          <w:i w:val="false"/>
          <w:sz w:val="22"/>
        </w:rPr>
      </w:pPr>
      <w:r>
        <w:rPr>
          <w:b w:val="false"/>
          <w:i w:val="false"/>
          <w:sz w:val="22"/>
        </w:rPr>
      </w:r>
    </w:p>
    <w:p>
      <w:pPr>
        <w:pStyle w:val="Normal"/>
        <w:bidi w:val="0"/>
        <w:jc w:val="left"/>
        <w:rPr>
          <w:lang w:val="pt-PT"/>
        </w:rPr>
      </w:pPr>
      <w:r>
        <w:rPr>
          <w:lang w:val="pt-PT"/>
        </w:rPr>
      </w:r>
    </w:p>
    <w:p>
      <w:pPr>
        <w:pStyle w:val="Normal"/>
        <w:bidi w:val="0"/>
        <w:jc w:val="left"/>
        <w:rPr>
          <w:lang w:val="pt-PT"/>
        </w:rPr>
      </w:pPr>
      <w:r>
        <w:rPr>
          <w:lang w:val="pt-PT"/>
        </w:rPr>
      </w:r>
    </w:p>
    <w:p>
      <w:pPr>
        <w:pStyle w:val="Normal"/>
        <w:bidi w:val="0"/>
        <w:jc w:val="left"/>
        <w:rPr>
          <w:lang w:val="pt-PT"/>
        </w:rPr>
      </w:pPr>
      <w:r>
        <w:rPr>
          <w:lang w:val="pt-PT"/>
        </w:rPr>
        <w:t>&lt;a id="ref-2-meter-este-link-na-bibliog"&gt;&lt;/a&gt;</w:t>
      </w:r>
    </w:p>
    <w:p>
      <w:pPr>
        <w:pStyle w:val="Normal"/>
        <w:bidi w:val="0"/>
        <w:jc w:val="left"/>
        <w:rPr>
          <w:lang w:val="pt-PT"/>
        </w:rPr>
      </w:pPr>
      <w:r>
        <w:rPr>
          <w:lang w:val="pt-PT"/>
        </w:rPr>
        <w:t>&lt;a id="ref-3-nao-e-bem-marcacao-ne-te"&gt;&lt;/a&gt;</w:t>
      </w:r>
    </w:p>
    <w:p>
      <w:pPr>
        <w:pStyle w:val="Normal"/>
        <w:bidi w:val="0"/>
        <w:jc w:val="left"/>
        <w:rPr>
          <w:lang w:val="pt-PT"/>
        </w:rPr>
      </w:pPr>
      <w:r>
        <w:rPr>
          <w:lang w:val="pt-PT"/>
        </w:rPr>
        <w:t>&lt;a id="ref-4-cool-mas-se-calhar-so-se"&gt;&lt;/a&gt;</w:t>
      </w:r>
    </w:p>
    <w:p>
      <w:pPr>
        <w:pStyle w:val="Normal"/>
        <w:bidi w:val="0"/>
        <w:jc w:val="left"/>
        <w:rPr>
          <w:lang w:val="pt-PT"/>
        </w:rPr>
      </w:pPr>
      <w:r>
        <w:rPr>
          <w:lang w:val="pt-PT"/>
        </w:rPr>
        <w:t>&lt;a id="ref-5-vamos-adicionar-a-citacao"&gt;&lt;/a&gt;</w:t>
      </w:r>
    </w:p>
    <w:p>
      <w:pPr>
        <w:pStyle w:val="Normal"/>
        <w:bidi w:val="0"/>
        <w:jc w:val="left"/>
        <w:rPr>
          <w:lang w:val="pt-PT"/>
        </w:rPr>
      </w:pPr>
      <w:r>
        <w:rPr>
          <w:lang w:val="pt-PT"/>
        </w:rPr>
        <w:t>&lt;a id="ref-6-explicar-oque-sao-todos-es"&gt;&lt;/a&gt;</w:t>
      </w:r>
    </w:p>
    <w:p>
      <w:pPr>
        <w:pStyle w:val="Normal"/>
        <w:bidi w:val="0"/>
        <w:jc w:val="left"/>
        <w:rPr>
          <w:lang w:val="pt-PT"/>
        </w:rPr>
      </w:pPr>
      <w:r>
        <w:rPr>
          <w:lang w:val="pt-PT"/>
        </w:rPr>
        <w:t>&lt;a id="ref-8-escalonados-amplicados-e"&gt;&lt;/a&gt;</w:t>
      </w:r>
    </w:p>
    <w:p>
      <w:pPr>
        <w:pStyle w:val="Normal"/>
        <w:bidi w:val="0"/>
        <w:jc w:val="left"/>
        <w:rPr>
          <w:lang w:val="pt-PT"/>
        </w:rPr>
      </w:pPr>
      <w:r>
        <w:rPr>
          <w:lang w:val="pt-PT"/>
        </w:rPr>
        <w:t>&lt;a id="ref-9-toda-esta-frase-podia-ser"&gt;&lt;/a&gt;</w:t>
      </w:r>
    </w:p>
    <w:p>
      <w:pPr>
        <w:pStyle w:val="Normal"/>
        <w:bidi w:val="0"/>
        <w:jc w:val="left"/>
        <w:rPr>
          <w:lang w:val="pt-PT"/>
        </w:rPr>
      </w:pPr>
      <w:r>
        <w:rPr>
          <w:lang w:val="pt-PT"/>
        </w:rPr>
        <w:t>&lt;a id="ref-10-posso-igualmente-aumentar"&gt;&lt;/a&gt;</w:t>
      </w:r>
    </w:p>
    <w:p>
      <w:pPr>
        <w:pStyle w:val="Normal"/>
        <w:bidi w:val="0"/>
        <w:jc w:val="left"/>
        <w:rPr>
          <w:lang w:val="pt-PT"/>
        </w:rPr>
      </w:pPr>
      <w:r>
        <w:rPr>
          <w:lang w:val="pt-PT"/>
        </w:rPr>
        <w:t>&lt;a id="ref-11-nao-me-soa-super-bem"&gt;&lt;/a&gt;</w:t>
      </w:r>
    </w:p>
    <w:p>
      <w:pPr>
        <w:pStyle w:val="Normal"/>
        <w:bidi w:val="0"/>
        <w:jc w:val="left"/>
        <w:rPr>
          <w:lang w:val="pt-PT"/>
        </w:rPr>
      </w:pPr>
      <w:r>
        <w:rPr>
          <w:lang w:val="pt-PT"/>
        </w:rPr>
        <w:t>&lt;a id="ref-12-estou-a-bater-mal-ou-ja-e"&gt;&lt;/a&gt;</w:t>
      </w:r>
    </w:p>
    <w:p>
      <w:pPr>
        <w:pStyle w:val="Normal"/>
        <w:bidi w:val="0"/>
        <w:jc w:val="left"/>
        <w:rPr>
          <w:lang w:val="pt-PT"/>
        </w:rPr>
      </w:pPr>
      <w:r>
        <w:rPr>
          <w:lang w:val="pt-PT"/>
        </w:rPr>
        <w:t>&lt;a id="ref-13-penalizacoes-e-um-pouco-f"&gt;&lt;/a&gt;</w:t>
      </w:r>
    </w:p>
    <w:p>
      <w:pPr>
        <w:pStyle w:val="Normal"/>
        <w:rPr/>
      </w:pPr>
      <w:r>
        <w:rPr/>
      </w:r>
      <w:r>
        <w:br w:type="page"/>
      </w:r>
    </w:p>
    <w:p>
      <w:pPr>
        <w:pStyle w:val="Heading2"/>
        <w:spacing w:before="0" w:after="0"/>
        <w:rPr/>
      </w:pPr>
      <w:r>
        <w:rPr/>
        <w:t>Anexo A — Metodologia de extração e codificação de dados antropométricos da mão</w:t>
      </w:r>
    </w:p>
    <w:p>
      <w:pPr>
        <w:pStyle w:val="Heading3"/>
        <w:rPr/>
      </w:pPr>
      <w:r>
        <w:rPr/>
        <w:t>A.1 Contexto e Objetivo</w:t>
      </w:r>
    </w:p>
    <w:p>
      <w:pPr>
        <w:pStyle w:val="Normal"/>
        <w:rPr/>
      </w:pPr>
      <w:r>
        <w:rPr/>
        <w:t>O desenvolvimento de um gerador paramétrico de próteses de mão requer dados antropométricos da mão humana que sejam suficientemente variados para cobrir diferentes populações, sexos e grupos etários. O objetivo deste processo foi construir uma base de dados estruturada em formato CSV que servisse de entrada direta ao modelo paramétrico, contendo medições reais retiradas de literatura científica publicada e de relatórios militares de referência.</w:t>
      </w:r>
    </w:p>
    <w:p>
      <w:pPr>
        <w:pStyle w:val="Normal"/>
        <w:rPr/>
      </w:pPr>
      <w:r>
        <w:rPr/>
        <w:t>Foram produzidos três ficheiros CSV complementares:</w:t>
      </w:r>
    </w:p>
    <w:p>
      <w:pPr>
        <w:pStyle w:val="ListBullet"/>
        <w:rPr/>
      </w:pPr>
      <w:r>
        <w:rPr/>
        <w:t xml:space="preserve">- </w:t>
      </w:r>
      <w:r>
        <w:rPr>
          <w:rFonts w:ascii="Consolas" w:hAnsi="Consolas"/>
          <w:sz w:val="20"/>
        </w:rPr>
        <w:t>ansur</w:t>
      </w:r>
      <w:r>
        <w:rPr>
          <w:i/>
        </w:rPr>
        <w:t>1988</w:t>
      </w:r>
      <w:r>
        <w:rPr/>
        <w:t>complete.csv</w:t>
      </w:r>
      <w:r>
        <w:rPr>
          <w:rFonts w:ascii="Consolas" w:hAnsi="Consolas"/>
          <w:sz w:val="20"/>
        </w:rPr>
        <w:t xml:space="preserve"> — 2.726 linhas, 47 dimensões corporais do estudo ANSUR 1988 (Gordon et al., 1989), população militar norte-americana</w:t>
      </w:r>
    </w:p>
    <w:p>
      <w:pPr>
        <w:pStyle w:val="ListBullet"/>
        <w:rPr/>
      </w:pPr>
      <w:r>
        <w:rPr/>
        <w:t xml:space="preserve">- </w:t>
      </w:r>
      <w:r>
        <w:rPr>
          <w:rFonts w:ascii="Consolas" w:hAnsi="Consolas"/>
          <w:sz w:val="20"/>
        </w:rPr>
        <w:t>ansur</w:t>
      </w:r>
      <w:r>
        <w:rPr>
          <w:i/>
        </w:rPr>
        <w:t>1988</w:t>
      </w:r>
      <w:r>
        <w:rPr/>
        <w:t>hand</w:t>
      </w:r>
      <w:r>
        <w:rPr>
          <w:i/>
        </w:rPr>
        <w:t>arm.csv</w:t>
      </w:r>
      <w:r>
        <w:rPr>
          <w:rFonts w:ascii="Consolas" w:hAnsi="Consolas"/>
          <w:sz w:val="20"/>
        </w:rPr>
        <w:t xml:space="preserve"> — 696 linhas, subconjunto do ANSUR restrito às medições da mão, antebraço e braço</w:t>
      </w:r>
    </w:p>
    <w:p>
      <w:pPr>
        <w:pStyle w:val="ListBullet"/>
        <w:rPr/>
      </w:pPr>
      <w:r>
        <w:rPr/>
        <w:t xml:space="preserve">- </w:t>
      </w:r>
      <w:r>
        <w:rPr>
          <w:rFonts w:ascii="Consolas" w:hAnsi="Consolas"/>
          <w:sz w:val="20"/>
        </w:rPr>
        <w:t>multi</w:t>
      </w:r>
      <w:r>
        <w:rPr>
          <w:i/>
        </w:rPr>
        <w:t>population</w:t>
      </w:r>
      <w:r>
        <w:rPr/>
        <w:t>hand.csv</w:t>
      </w:r>
      <w:r>
        <w:rPr>
          <w:rFonts w:ascii="Consolas" w:hAnsi="Consolas"/>
          <w:sz w:val="20"/>
        </w:rPr>
        <w:t xml:space="preserve"> — 1.790 linhas, dados de onze estudos populacionais independentes de nove países diferentes</w:t>
      </w:r>
    </w:p>
    <w:p>
      <w:pPr>
        <w:pStyle w:val="Normal"/>
        <w:pBdr>
          <w:bottom w:val="single" w:sz="6" w:space="1" w:color="808080"/>
        </w:pBdr>
        <w:rPr/>
      </w:pPr>
      <w:r>
        <w:rPr/>
      </w:r>
    </w:p>
    <w:p>
      <w:pPr>
        <w:pStyle w:val="Heading3"/>
        <w:rPr/>
      </w:pPr>
      <w:r>
        <w:rPr/>
        <w:t>A.2 Estratégia de Pesquisa Bibliográfica</w:t>
      </w:r>
    </w:p>
    <w:p>
      <w:pPr>
        <w:pStyle w:val="Heading3"/>
        <w:rPr/>
      </w:pPr>
      <w:r>
        <w:rPr/>
        <w:t>A.2.1 Pesquisa bibliográfica assistida e revisões sistemáticas</w:t>
      </w:r>
    </w:p>
    <w:p>
      <w:pPr>
        <w:pStyle w:val="Normal"/>
        <w:rPr/>
      </w:pPr>
      <w:r>
        <w:rPr/>
        <w:t>A pesquisa de literatura foi conduzida através de pesquisas bibliográficas orientadas por questões, complementadas por ferramentas de apoio à revisão e triagem, com o objetivo de identificar estudos de antropometria da mão com dados primários tabelados. As questões-chave incluíam variações de:</w:t>
      </w:r>
    </w:p>
    <w:p>
      <w:pPr>
        <w:pStyle w:val="Quote"/>
        <w:rPr/>
      </w:pPr>
      <w:r>
        <w:rPr>
          <w:i/>
        </w:rPr>
        <w:t>"hand anthropometry normative data population study percentiles"</w:t>
      </w:r>
      <w:r>
        <w:rPr/>
        <w:t xml:space="preserve"> </w:t>
      </w:r>
      <w:r>
        <w:rPr>
          <w:i/>
        </w:rPr>
        <w:t>"hand dimensions measurement ergonomics working population"</w:t>
      </w:r>
      <w:r>
        <w:rPr/>
        <w:t xml:space="preserve"> </w:t>
      </w:r>
      <w:r>
        <w:rPr>
          <w:i/>
        </w:rPr>
        <w:t>"anthropometric survey finger length breadth caliper"</w:t>
      </w:r>
    </w:p>
    <w:p>
      <w:pPr>
        <w:pStyle w:val="Normal"/>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Heading3"/>
        <w:rPr/>
      </w:pPr>
      <w:r>
        <w:rPr/>
        <w:t>A.2.2 Base ANSUR 1988</w:t>
      </w:r>
    </w:p>
    <w:p>
      <w:pPr>
        <w:pStyle w:val="Normal"/>
        <w:rPr/>
      </w:pPr>
      <w:r>
        <w:rPr/>
        <w:t>O relatório ANSUR 1988 (Gordon et al., 1989) foi identificado como fonte de referência fundamental por ser um dos estudos antropométricos com maior dimensão amostral disponíveis publicamente (n=9.068 militares norte-americanos). Os dados foram extraídos diretamente das tabelas estatísticas detalhadas do relatório (Appendix B), que fornece, para cada dimensão e por sexo, a média, o desvio-padrão, os percentis P5, P10, P25, P50, P75, P90, P95, o mínimo e o máximo.</w:t>
      </w:r>
    </w:p>
    <w:p>
      <w:pPr>
        <w:pStyle w:val="Normal"/>
        <w:pBdr>
          <w:bottom w:val="single" w:sz="6" w:space="1" w:color="808080"/>
        </w:pBdr>
        <w:rPr/>
      </w:pPr>
      <w:r>
        <w:rPr/>
      </w:r>
    </w:p>
    <w:p>
      <w:pPr>
        <w:pStyle w:val="Heading3"/>
        <w:rPr/>
      </w:pPr>
      <w:r>
        <w:rPr/>
        <w:t>A.3 Critérios de Inclusão e Exclusão de Estudos</w:t>
      </w:r>
    </w:p>
    <w:p>
      <w:pPr>
        <w:pStyle w:val="Normal"/>
        <w:rPr/>
      </w:pPr>
      <w:r>
        <w:rPr/>
        <w:t>Para cada estudo identificado, a decisão de incluir ou excluir os seus dados na base CSV seguiu critérios explícitos.</w:t>
      </w:r>
    </w:p>
    <w:p>
      <w:pPr>
        <w:pStyle w:val="Heading3"/>
        <w:rPr/>
      </w:pPr>
      <w:r>
        <w:rPr/>
        <w:t>A.3.1 Critérios de inclusão</w:t>
      </w:r>
    </w:p>
    <w:p>
      <w:pPr>
        <w:pStyle w:val="Normal"/>
        <w:rPr/>
      </w:pPr>
      <w:r>
        <w:rPr/>
        <w:t>Um estudo foi incluído se satisfazia simultaneamente as seguintes condições:</w:t>
      </w:r>
    </w:p>
    <w:p>
      <w:pPr>
        <w:pStyle w:val="ListNumber"/>
        <w:rPr/>
      </w:pPr>
      <w:r>
        <w:rPr/>
        <w:t xml:space="preserve">1. </w:t>
      </w:r>
      <w:r>
        <w:rPr>
          <w:b/>
        </w:rPr>
        <w:t>Dados primários</w:t>
      </w:r>
      <w:r>
        <w:rPr/>
        <w:t xml:space="preserve"> — o estudo apresenta medições recolhidas pelos seus próprios autores sobre participantes reais, não reutilizando tabelas de terceiros sem transformação.</w:t>
      </w:r>
    </w:p>
    <w:p>
      <w:pPr>
        <w:pStyle w:val="ListNumber"/>
        <w:rPr/>
      </w:pPr>
      <w:r>
        <w:rPr/>
        <w:t xml:space="preserve">2. </w:t>
      </w:r>
      <w:r>
        <w:rPr>
          <w:b/>
        </w:rPr>
        <w:t>Dimensões da mão ou do membro superior</w:t>
      </w:r>
      <w:r>
        <w:rPr/>
        <w:t xml:space="preserve"> — pelo menos uma medição refere-se à mão, dedos, palma, antebraço ou punho.</w:t>
      </w:r>
    </w:p>
    <w:p>
      <w:pPr>
        <w:pStyle w:val="ListNumber"/>
        <w:rPr/>
      </w:pPr>
      <w:r>
        <w:rPr/>
        <w:t xml:space="preserve">3. </w:t>
      </w:r>
      <w:r>
        <w:rPr>
          <w:b/>
        </w:rPr>
        <w:t>Estatística descritiva legível</w:t>
      </w:r>
      <w:r>
        <w:rPr/>
        <w:t xml:space="preserve"> — a tabela do artigo fornece, no mínimo, a média. A presença de desvio-padrão e/ou percentis constituía um critério de preferência.</w:t>
      </w:r>
    </w:p>
    <w:p>
      <w:pPr>
        <w:pStyle w:val="ListNumber"/>
        <w:rPr/>
      </w:pPr>
      <w:r>
        <w:rPr/>
        <w:t xml:space="preserve">4. </w:t>
      </w:r>
      <w:r>
        <w:rPr>
          <w:b/>
        </w:rPr>
        <w:t>Identificação clara da população</w:t>
      </w:r>
      <w:r>
        <w:rPr/>
        <w:t xml:space="preserve"> — o artigo especifica país, sexo, dimensão amostral e método de medição.</w:t>
      </w:r>
    </w:p>
    <w:p>
      <w:pPr>
        <w:pStyle w:val="Heading3"/>
        <w:rPr/>
      </w:pPr>
      <w:r>
        <w:rPr/>
        <w:t>A.3.2 Critérios de exclusão</w:t>
      </w:r>
    </w:p>
    <w:p>
      <w:pPr>
        <w:pStyle w:val="Normal"/>
        <w:rPr/>
      </w:pPr>
      <w:r>
        <w:rPr/>
        <w:t>Um estudo foi excluído nas seguintes situações:</w:t>
      </w:r>
    </w:p>
    <w:p>
      <w:pPr>
        <w:pStyle w:val="ListBullet"/>
        <w:rPr/>
      </w:pPr>
      <w:r>
        <w:rPr/>
        <w:t xml:space="preserve">- </w:t>
      </w:r>
      <w:r>
        <w:rPr>
          <w:b/>
        </w:rPr>
        <w:t>Dados secundários sem valor acrescentado</w:t>
      </w:r>
      <w:r>
        <w:rPr/>
        <w:t xml:space="preserve">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ListBullet"/>
        <w:rPr/>
      </w:pPr>
      <w:r>
        <w:rPr/>
        <w:t xml:space="preserve">- </w:t>
      </w:r>
      <w:r>
        <w:rPr>
          <w:b/>
        </w:rPr>
        <w:t>Artigos de engenharia sem tabelas antropométricas</w:t>
      </w:r>
      <w:r>
        <w:rPr/>
        <w:t xml:space="preserve"> — estudos centrados em materiais, análise de elementos finitos ou fabrico aditivo que referenciam dimensões da mão apenas de forma incidental e sem estatística descritiva.</w:t>
      </w:r>
    </w:p>
    <w:p>
      <w:pPr>
        <w:pStyle w:val="ListBullet"/>
        <w:rPr/>
      </w:pPr>
      <w:r>
        <w:rPr/>
        <w:t xml:space="preserve">- </w:t>
      </w:r>
      <w:r>
        <w:rPr>
          <w:b/>
        </w:rPr>
        <w:t>Dimensões não da mão em estudos mistos</w:t>
      </w:r>
      <w:r>
        <w:rPr/>
        <w:t xml:space="preserve"> — medições de outras regiões corporais presentes no mesmo artigo foram excluídas se não existia uma razão direta para a prótese de mão (exceção: comprimento cotovelo-ponta dos dedos, incluído por ser relevante para o encaixe do socket).</w:t>
      </w:r>
    </w:p>
    <w:p>
      <w:pPr>
        <w:pStyle w:val="Normal"/>
        <w:pBdr>
          <w:bottom w:val="single" w:sz="6" w:space="1" w:color="808080"/>
        </w:pBdr>
        <w:rPr/>
      </w:pPr>
      <w:r>
        <w:rPr/>
      </w:r>
    </w:p>
    <w:p>
      <w:pPr>
        <w:pStyle w:val="Heading3"/>
        <w:rPr/>
      </w:pPr>
      <w:r>
        <w:rPr/>
        <w:t>A.4 Processo de Extração de Dados</w:t>
      </w:r>
    </w:p>
    <w:p>
      <w:pPr>
        <w:pStyle w:val="Heading3"/>
        <w:rPr/>
      </w:pPr>
      <w:r>
        <w:rPr/>
        <w:t>A.4.1 Leitura dos PDFs e localização das tabelas</w:t>
      </w:r>
    </w:p>
    <w:p>
      <w:pPr>
        <w:pStyle w:val="Normal"/>
        <w:rPr/>
      </w:pPr>
      <w:r>
        <w:rPr/>
        <w:t xml:space="preserve">Cada artigo foi lido integralmente, com foco nas secções de </w:t>
      </w:r>
      <w:r>
        <w:rPr>
          <w:i/>
        </w:rPr>
        <w:t>Methods</w:t>
      </w:r>
      <w:r>
        <w:rPr/>
        <w:t xml:space="preserve"> (para identificar o instrumento de medição, a mão medida, e a posição do participante) e </w:t>
      </w:r>
      <w:r>
        <w:rPr>
          <w:i/>
        </w:rPr>
        <w:t>Results</w:t>
      </w:r>
      <w:r>
        <w:rPr/>
        <w:t xml:space="preserve"> (para localizar as tabelas com estatística descritiva). A página exata de cada tabela foi registada no campo </w:t>
      </w:r>
      <w:r>
        <w:rPr>
          <w:rFonts w:ascii="Consolas" w:hAnsi="Consolas"/>
          <w:sz w:val="20"/>
        </w:rPr>
        <w:t>source</w:t>
      </w:r>
      <w:r>
        <w:rPr>
          <w:i/>
        </w:rPr>
        <w:t>page</w:t>
      </w:r>
      <w:r>
        <w:rPr>
          <w:rFonts w:ascii="Consolas" w:hAnsi="Consolas"/>
          <w:sz w:val="20"/>
        </w:rPr>
        <w:t xml:space="preserve"> do CSV.</w:t>
      </w:r>
    </w:p>
    <w:p>
      <w:pPr>
        <w:pStyle w:val="Normal"/>
        <w:rPr/>
      </w:pPr>
      <w:r>
        <w:rPr/>
        <w:t>Quando um artigo reportava medições em mais do que uma tabela (por exemplo, comprimentos numa tabela e larguras noutra), cada tabela foi processada separadamente.</w:t>
      </w:r>
    </w:p>
    <w:p>
      <w:pPr>
        <w:pStyle w:val="Heading3"/>
        <w:rPr/>
      </w:pPr>
      <w:r>
        <w:rPr/>
        <w:t>A.4.2 Identificação das unidades e conversão</w:t>
      </w:r>
    </w:p>
    <w:p>
      <w:pPr>
        <w:pStyle w:val="Normal"/>
        <w:rPr/>
      </w:pPr>
      <w:r>
        <w:rPr/>
        <w:t>Os artigos consultados reportam medições em milímetros (mm), centímetros (cm) ou, no caso do ANSUR, em polegadas (in). O CSV armazena sempre os três sistemas em simultâneo (</w:t>
      </w:r>
      <w:r>
        <w:rPr>
          <w:rFonts w:ascii="Consolas" w:hAnsi="Consolas"/>
          <w:sz w:val="20"/>
        </w:rPr>
        <w:t>value</w:t>
      </w:r>
      <w:r>
        <w:rPr>
          <w:i/>
        </w:rPr>
        <w:t>mm</w:t>
      </w:r>
      <w:r>
        <w:rPr>
          <w:rFonts w:ascii="Consolas" w:hAnsi="Consolas"/>
          <w:sz w:val="20"/>
        </w:rPr>
        <w:t xml:space="preserve">, </w:t>
      </w:r>
      <w:r>
        <w:rPr/>
        <w:t>value</w:t>
      </w:r>
      <w:r>
        <w:rPr>
          <w:i/>
        </w:rPr>
        <w:t>cm</w:t>
      </w:r>
      <w:r>
        <w:rPr>
          <w:rFonts w:ascii="Consolas" w:hAnsi="Consolas"/>
          <w:sz w:val="20"/>
        </w:rPr>
        <w:t xml:space="preserve">, </w:t>
      </w:r>
      <w:r>
        <w:rPr/>
        <w:t>value</w:t>
      </w:r>
      <w:r>
        <w:rPr>
          <w:i/>
        </w:rPr>
        <w:t>in</w:t>
      </w:r>
      <w:r>
        <w:rPr>
          <w:rFonts w:ascii="Consolas" w:hAnsi="Consolas"/>
          <w:sz w:val="20"/>
        </w:rPr>
        <w:t>), calculados a partir de uma única unidade-fonte:</w:t>
      </w:r>
    </w:p>
    <w:p>
      <w:pPr>
        <w:pStyle w:val="ListBullet"/>
        <w:rPr/>
      </w:pPr>
      <w:r>
        <w:rPr/>
        <w:t xml:space="preserve">- Se o artigo reporta em mm: </w:t>
      </w:r>
      <w:r>
        <w:rPr>
          <w:rFonts w:ascii="Consolas" w:hAnsi="Consolas"/>
          <w:sz w:val="20"/>
        </w:rPr>
        <w:t>value</w:t>
      </w:r>
      <w:r>
        <w:rPr>
          <w:i/>
        </w:rPr>
        <w:t>cm = value</w:t>
      </w:r>
      <w:r>
        <w:rPr/>
        <w:t>mm / 10</w:t>
      </w:r>
      <w:r>
        <w:rPr>
          <w:rFonts w:ascii="Consolas" w:hAnsi="Consolas"/>
          <w:sz w:val="20"/>
        </w:rPr>
        <w:t xml:space="preserve">; </w:t>
      </w:r>
      <w:r>
        <w:rPr/>
        <w:t>value</w:t>
      </w:r>
      <w:r>
        <w:rPr>
          <w:i/>
        </w:rPr>
        <w:t>in = value</w:t>
      </w:r>
      <w:r>
        <w:rPr/>
        <w:t>cm / 2.54</w:t>
      </w:r>
    </w:p>
    <w:p>
      <w:pPr>
        <w:pStyle w:val="ListBullet"/>
        <w:rPr/>
      </w:pPr>
      <w:r>
        <w:rPr/>
        <w:t xml:space="preserve">- Se o artigo reporta em cm: </w:t>
      </w:r>
      <w:r>
        <w:rPr>
          <w:rFonts w:ascii="Consolas" w:hAnsi="Consolas"/>
          <w:sz w:val="20"/>
        </w:rPr>
        <w:t>value</w:t>
      </w:r>
      <w:r>
        <w:rPr>
          <w:i/>
        </w:rPr>
        <w:t>mm = value</w:t>
      </w:r>
      <w:r>
        <w:rPr/>
        <w:t>cm × 10</w:t>
      </w:r>
      <w:r>
        <w:rPr>
          <w:rFonts w:ascii="Consolas" w:hAnsi="Consolas"/>
          <w:sz w:val="20"/>
        </w:rPr>
        <w:t xml:space="preserve">; </w:t>
      </w:r>
      <w:r>
        <w:rPr/>
        <w:t>value</w:t>
      </w:r>
      <w:r>
        <w:rPr>
          <w:i/>
        </w:rPr>
        <w:t>in = value</w:t>
      </w:r>
      <w:r>
        <w:rPr/>
        <w:t>cm / 2.54</w:t>
      </w:r>
    </w:p>
    <w:p>
      <w:pPr>
        <w:pStyle w:val="Normal"/>
        <w:rPr/>
      </w:pPr>
      <w:r>
        <w:rPr/>
        <w:t>Esta redundância elimina conversões em tempo de execução por parte do modelo paramétrico.</w:t>
      </w:r>
    </w:p>
    <w:p>
      <w:pPr>
        <w:pStyle w:val="Heading3"/>
        <w:rPr/>
      </w:pPr>
      <w:r>
        <w:rPr/>
      </w:r>
    </w:p>
    <w:p>
      <w:pPr>
        <w:pStyle w:val="Heading3"/>
        <w:rPr/>
      </w:pPr>
      <w:r>
        <w:rPr/>
        <w:t>A.4.3 Decomposição em linhas atómicas</w:t>
      </w:r>
    </w:p>
    <w:p>
      <w:pPr>
        <w:pStyle w:val="Normal"/>
        <w:rPr/>
      </w:pPr>
      <w:r>
        <w:rPr/>
      </w:r>
    </w:p>
    <w:p>
      <w:pPr>
        <w:pStyle w:val="Normal"/>
        <w:rPr/>
      </w:pPr>
      <w:r>
        <w:rPr/>
        <w:t xml:space="preserve">Cada célula de uma tabela estatística origina </w:t>
      </w:r>
      <w:r>
        <w:rPr>
          <w:b/>
        </w:rPr>
        <w:t>uma linha independente</w:t>
      </w:r>
      <w:r>
        <w:rPr/>
        <w:t xml:space="preserve"> no CSV. Assim, para uma dada dimensão, população e sexo, existem tantas linhas quantos os indicadores estatísticos disponíveis: por exemplo, se um artigo reporta média, desvio-padrão, P5, P50 e P95, são criadas cinco linhas — cada uma com o campo </w:t>
      </w:r>
      <w:r>
        <w:rPr>
          <w:rFonts w:ascii="Consolas" w:hAnsi="Consolas"/>
          <w:sz w:val="20"/>
        </w:rPr>
        <w:t>stat</w:t>
      </w:r>
      <w:r>
        <w:rPr>
          <w:i/>
        </w:rPr>
        <w:t>type</w:t>
      </w:r>
      <w:r>
        <w:rPr>
          <w:rFonts w:ascii="Consolas" w:hAnsi="Consolas"/>
          <w:sz w:val="20"/>
        </w:rPr>
        <w:t xml:space="preserve"> definido como </w:t>
      </w:r>
      <w:r>
        <w:rPr/>
        <w:t>mean</w:t>
      </w:r>
      <w:r>
        <w:rPr>
          <w:rFonts w:ascii="Consolas" w:hAnsi="Consolas"/>
          <w:sz w:val="20"/>
        </w:rPr>
        <w:t xml:space="preserve">, </w:t>
      </w:r>
      <w:r>
        <w:rPr/>
        <w:t>std</w:t>
      </w:r>
      <w:r>
        <w:rPr>
          <w:i/>
        </w:rPr>
        <w:t>dev</w:t>
      </w:r>
      <w:r>
        <w:rPr>
          <w:rFonts w:ascii="Consolas" w:hAnsi="Consolas"/>
          <w:sz w:val="20"/>
        </w:rPr>
        <w:t xml:space="preserve"> ou </w:t>
      </w:r>
      <w:r>
        <w:rPr/>
        <w:t>percentile</w:t>
      </w:r>
      <w:r>
        <w:rPr>
          <w:rFonts w:ascii="Consolas" w:hAnsi="Consolas"/>
          <w:sz w:val="20"/>
        </w:rPr>
        <w:t xml:space="preserve">, e o campo </w:t>
      </w:r>
      <w:r>
        <w:rPr/>
        <w:t>percentile</w:t>
      </w:r>
      <w:r>
        <w:rPr>
          <w:rFonts w:ascii="Consolas" w:hAnsi="Consolas"/>
          <w:sz w:val="20"/>
        </w:rPr>
        <w:t xml:space="preserve"> preenchido apenas nas linhas de tipo </w:t>
      </w:r>
      <w:r>
        <w:rPr/>
        <w:t>percentile</w:t>
      </w:r>
      <w:r>
        <w:rPr>
          <w:rFonts w:ascii="Consolas" w:hAnsi="Consolas"/>
          <w:sz w:val="20"/>
        </w:rPr>
        <w:t>.</w:t>
      </w:r>
    </w:p>
    <w:p>
      <w:pPr>
        <w:pStyle w:val="Normal"/>
        <w:rPr/>
      </w:pPr>
      <w:r>
        <w:rPr/>
        <w:t>Esta estrutura longa (</w:t>
      </w:r>
      <w:r>
        <w:rPr>
          <w:i/>
        </w:rPr>
        <w:t>long format</w:t>
      </w:r>
      <w:r>
        <w:rPr/>
        <w:t>) permite filtrar e agregar por qualquer combinação de variáveis sem necessidade de transformação prévia.</w:t>
      </w:r>
    </w:p>
    <w:p>
      <w:pPr>
        <w:pStyle w:val="Heading3"/>
        <w:rPr/>
      </w:pPr>
      <w:r>
        <w:rPr/>
      </w:r>
    </w:p>
    <w:p>
      <w:pPr>
        <w:pStyle w:val="Heading3"/>
        <w:rPr/>
      </w:pPr>
      <w:r>
        <w:rPr/>
        <w:t>A.4.4 Registo fiel do contexto da medição</w:t>
      </w:r>
    </w:p>
    <w:p>
      <w:pPr>
        <w:pStyle w:val="Normal"/>
        <w:rPr/>
      </w:pPr>
      <w:r>
        <w:rPr/>
      </w:r>
    </w:p>
    <w:p>
      <w:pPr>
        <w:pStyle w:val="Normal"/>
        <w:rPr/>
      </w:pPr>
      <w:r>
        <w:rPr/>
        <w:t xml:space="preserve">O campo </w:t>
      </w:r>
      <w:r>
        <w:rPr>
          <w:rFonts w:ascii="Consolas" w:hAnsi="Consolas"/>
          <w:sz w:val="20"/>
        </w:rPr>
        <w:t>measurement</w:t>
      </w:r>
      <w:r>
        <w:rPr>
          <w:i/>
        </w:rPr>
        <w:t>method</w:t>
      </w:r>
      <w:r>
        <w:rPr/>
        <w:t>note</w:t>
      </w:r>
      <w:r>
        <w:rPr>
          <w:rFonts w:ascii="Consolas" w:hAnsi="Consolas"/>
          <w:sz w:val="20"/>
        </w:rPr>
        <w:t xml:space="preserve"> regista, para cada estudo, informações sobre:</w:t>
      </w:r>
    </w:p>
    <w:p>
      <w:pPr>
        <w:pStyle w:val="ListBullet"/>
        <w:rPr/>
      </w:pPr>
      <w:r>
        <w:rPr/>
        <w:t>- O instrumento utilizado (e.g., "paquímetro digital Vernier 200 mm, resolução 0,01 mm")</w:t>
      </w:r>
    </w:p>
    <w:p>
      <w:pPr>
        <w:pStyle w:val="ListBullet"/>
        <w:rPr/>
      </w:pPr>
      <w:r>
        <w:rPr/>
        <w:t>- A mão medida (direita/esquerda/dominante)</w:t>
      </w:r>
    </w:p>
    <w:p>
      <w:pPr>
        <w:pStyle w:val="ListBullet"/>
        <w:rPr/>
      </w:pPr>
      <w:r>
        <w:rPr/>
        <w:t>- A posição da mão durante a medição (estendida e plana, em posição de repouso, sentado)</w:t>
      </w:r>
    </w:p>
    <w:p>
      <w:pPr>
        <w:pStyle w:val="ListBullet"/>
        <w:rPr/>
      </w:pPr>
      <w:r>
        <w:rPr/>
        <w:t>- O ponto de referência do comprimento (e.g., "da prega palmar proximal à ponta do dedo")</w:t>
      </w:r>
    </w:p>
    <w:p>
      <w:pPr>
        <w:pStyle w:val="Normal"/>
        <w:rPr/>
      </w:pPr>
      <w:r>
        <w:rP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diretamente comparáveis.</w:t>
      </w:r>
    </w:p>
    <w:p>
      <w:pPr>
        <w:pStyle w:val="Heading3"/>
        <w:rPr/>
      </w:pPr>
      <w:r>
        <w:rPr/>
      </w:r>
    </w:p>
    <w:p>
      <w:pPr>
        <w:pStyle w:val="Heading3"/>
        <w:rPr/>
      </w:pPr>
      <w:r>
        <w:rPr/>
        <w:t>A.5 Decisões por Estudo</w:t>
      </w:r>
    </w:p>
    <w:p>
      <w:pPr>
        <w:pStyle w:val="Heading3"/>
        <w:rPr/>
      </w:pPr>
      <w:r>
        <w:rPr/>
      </w:r>
    </w:p>
    <w:p>
      <w:pPr>
        <w:pStyle w:val="Heading3"/>
        <w:rPr/>
      </w:pPr>
      <w:r>
        <w:rPr/>
        <w:t>A.5.1 ANSUR 1988 — EUA, militares (Gordon et al., 1989)</w:t>
      </w:r>
    </w:p>
    <w:p>
      <w:pPr>
        <w:pStyle w:val="Normal"/>
        <w:rPr>
          <w:b/>
        </w:rPr>
      </w:pPr>
      <w:r>
        <w:rPr>
          <w:b/>
        </w:rPr>
      </w:r>
    </w:p>
    <w:p>
      <w:pPr>
        <w:pStyle w:val="Normal"/>
        <w:rPr/>
      </w:pPr>
      <w:r>
        <w:rPr>
          <w:b/>
        </w:rPr>
        <w:t>Fonte:</w:t>
      </w:r>
      <w:r>
        <w:rPr/>
        <w:t xml:space="preserve"> Tabelas de dados detalhados do relatório técnico do U.S. Army Natick Research Center (março de 1989), 47 dimensões corporais, separadas por sexo (n=2.208 mulheres, n=6.682 homens). As dimensões da mão e do membro superior foram codificadas na íntegra: comprimento da mão, largura da mão, comprimentos dos dedos, circunferência do pulso, comprimento do antebraço, entre outras.</w:t>
      </w:r>
    </w:p>
    <w:p>
      <w:pPr>
        <w:pStyle w:val="Normal"/>
        <w:rPr/>
      </w:pPr>
      <w:r>
        <w:rPr>
          <w:b/>
        </w:rPr>
        <w:t>Decisão:</w:t>
      </w:r>
      <w:r>
        <w:rPr/>
        <w:t xml:space="preserve"> Incluição total. A dimensão amostral, a abrangência estatística (11 indicadores por dimensão) e a origem militar controlada tornam-no a âncora de referência da base de dados.</w:t>
      </w:r>
    </w:p>
    <w:p>
      <w:pPr>
        <w:pStyle w:val="Normal"/>
        <w:rPr/>
      </w:pPr>
      <w:r>
        <w:rPr>
          <w:b/>
        </w:rPr>
        <w:t>Notas:</w:t>
      </w:r>
      <w:r>
        <w:rPr/>
        <w:t xml:space="preserve"> Sete valores no relatório original apresentavam inconsistências tipográficas (e.g., percentil aparentemente invertido ou unidade suspeita); todos foram corrigidos com anotação inline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A.5.2 Turquia — jovens adultos (Chatzioglou et al., 2024)</w:t>
      </w:r>
    </w:p>
    <w:p>
      <w:pPr>
        <w:pStyle w:val="Normal"/>
        <w:rPr>
          <w:b/>
        </w:rPr>
      </w:pPr>
      <w:r>
        <w:rPr>
          <w:b/>
        </w:rPr>
      </w:r>
    </w:p>
    <w:p>
      <w:pPr>
        <w:pStyle w:val="Normal"/>
        <w:rPr/>
      </w:pPr>
      <w:r>
        <w:rPr>
          <w:b/>
        </w:rPr>
        <w:t>Fonte:</w:t>
      </w:r>
      <w:r>
        <w:rPr/>
        <w:t xml:space="preserve"> </w:t>
      </w:r>
      <w:r>
        <w:rPr>
          <w:i/>
        </w:rPr>
        <w:t>Anatomy &amp; Cell Biology</w:t>
      </w:r>
      <w:r>
        <w:rPr/>
        <w:t>, 57:172–182. n=51 (32F, 19M), idade 18–30, Izmir e Istanbul. Método foto-antropométrico com ImageJ (pixel → mm via fator de calibração 0,08618 ×). Comprimentos dos cinco dedos da mão direita, por sexo e amostra total, Tabela 1.</w:t>
      </w:r>
    </w:p>
    <w:p>
      <w:pPr>
        <w:pStyle w:val="Normal"/>
        <w:rPr/>
      </w:pPr>
      <w:r>
        <w:rPr>
          <w:b/>
        </w:rPr>
        <w:t>Decisão:</w:t>
      </w:r>
      <w:r>
        <w:rPr/>
        <w:t xml:space="preserve"> Incluição. Primeiro estudo de foto-antropometria da mão na base de dados; o método é documentado de forma rigorosa e o artigo é publicado em revista indexada com revisão por pares. Os valores mínimo e máximo (mas não percentis) são reportados; foram codificados como </w:t>
      </w:r>
      <w:r>
        <w:rPr>
          <w:rFonts w:ascii="Consolas" w:hAnsi="Consolas"/>
          <w:sz w:val="20"/>
        </w:rPr>
        <w:t>stat</w:t>
      </w:r>
      <w:r>
        <w:rPr>
          <w:i/>
        </w:rPr>
        <w:t>type = min</w:t>
      </w:r>
      <w:r>
        <w:rPr>
          <w:rFonts w:ascii="Consolas" w:hAnsi="Consolas"/>
          <w:sz w:val="20"/>
        </w:rPr>
        <w:t xml:space="preserve"> e </w:t>
      </w:r>
      <w:r>
        <w:rPr/>
        <w:t>max</w:t>
      </w:r>
      <w:r>
        <w:rPr>
          <w:rFonts w:ascii="Consolas" w:hAnsi="Consolas"/>
          <w:sz w:val="20"/>
        </w:rPr>
        <w:t>.</w:t>
      </w:r>
    </w:p>
    <w:p>
      <w:pPr>
        <w:pStyle w:val="Heading3"/>
        <w:rPr/>
      </w:pPr>
      <w:r>
        <w:rPr/>
      </w:r>
    </w:p>
    <w:p>
      <w:pPr>
        <w:pStyle w:val="Heading3"/>
        <w:rPr/>
      </w:pPr>
      <w:r>
        <w:rPr/>
        <w:t>A.5.3 México — população geral (Rodríguez-Vega &amp; Rodríguez-Vega, 2024)</w:t>
      </w:r>
    </w:p>
    <w:p>
      <w:pPr>
        <w:pStyle w:val="Normal"/>
        <w:rPr>
          <w:b/>
        </w:rPr>
      </w:pPr>
      <w:r>
        <w:rPr>
          <w:b/>
        </w:rPr>
      </w:r>
    </w:p>
    <w:p>
      <w:pPr>
        <w:pStyle w:val="Normal"/>
        <w:rPr/>
      </w:pPr>
      <w:r>
        <w:rPr>
          <w:b/>
        </w:rPr>
        <w:t>Fonte:</w:t>
      </w:r>
      <w:r>
        <w:rPr/>
        <w:t xml:space="preserve"> </w:t>
      </w:r>
      <w:r>
        <w:rPr>
          <w:i/>
        </w:rPr>
        <w:t>European Public &amp; Social Innovation Review</w:t>
      </w:r>
      <w:r>
        <w:rPr/>
        <w:t>, 9:1–15. n=2.837 (2.275M, 562F), Noroeste do México, idade 15–59. Quatro dimensões: comprimento da mão (HL), comprimento da palma (PL), largura da mão (HB) e diâmetro de preensão (HGD). Tabela 3 (amostra geral) e Tabela 4 (oito grupos etários: 15–19, 20–24, …, 50–54).</w:t>
      </w:r>
    </w:p>
    <w:p>
      <w:pPr>
        <w:pStyle w:val="Normal"/>
        <w:rPr/>
      </w:pPr>
      <w:r>
        <w:rPr>
          <w:b/>
        </w:rPr>
        <w:t>Decisão:</w:t>
      </w:r>
      <w:r>
        <w:rPr/>
        <w:t xml:space="preserve"> Incluição, com marcação de qualidade nos subgrupos de pequena dimensão. A desagregação por grupo etário é única na base de dados e de grande valor para modelação por faixa etária. Foram detetados dois casos problemáticos na Tabela 4: o subgrupo feminino 50–54 tem n=3 (SD=0,00 reportado para HB, provavelmente artefacto de arredondamento); o subgrupo feminino 45–49 tem n=10. Ambos foram incluídos mas marcados no campo </w:t>
      </w:r>
      <w:r>
        <w:rPr>
          <w:rFonts w:ascii="Consolas" w:hAnsi="Consolas"/>
          <w:sz w:val="20"/>
        </w:rPr>
        <w:t>data</w:t>
      </w:r>
      <w:r>
        <w:rPr>
          <w:i/>
        </w:rPr>
        <w:t>quality</w:t>
      </w:r>
      <w:r>
        <w:rPr/>
        <w:t>note</w:t>
      </w:r>
      <w:r>
        <w:rPr>
          <w:rFonts w:ascii="Consolas" w:hAnsi="Consolas"/>
          <w:sz w:val="20"/>
        </w:rPr>
        <w:t>.</w:t>
      </w:r>
    </w:p>
    <w:p>
      <w:pPr>
        <w:pStyle w:val="Heading3"/>
        <w:rPr/>
      </w:pPr>
      <w:r>
        <w:rPr/>
      </w:r>
    </w:p>
    <w:p>
      <w:pPr>
        <w:pStyle w:val="Heading3"/>
        <w:rPr/>
      </w:pPr>
      <w:r>
        <w:rPr/>
        <w:t>A.5.4 Índia — mulheres trabalhadoras (Nag et al., 2003)</w:t>
      </w:r>
    </w:p>
    <w:p>
      <w:pPr>
        <w:pStyle w:val="Normal"/>
        <w:rPr>
          <w:b/>
        </w:rPr>
      </w:pPr>
      <w:r>
        <w:rPr>
          <w:b/>
        </w:rPr>
      </w:r>
    </w:p>
    <w:p>
      <w:pPr>
        <w:pStyle w:val="Normal"/>
        <w:rPr/>
      </w:pPr>
      <w:r>
        <w:rPr>
          <w:b/>
        </w:rPr>
        <w:t>Fonte:</w:t>
      </w:r>
      <w:r>
        <w:rPr/>
        <w:t xml:space="preserve"> </w:t>
      </w:r>
      <w:r>
        <w:rPr>
          <w:i/>
        </w:rPr>
        <w:t>Indian Journal of Medical Research</w:t>
      </w:r>
      <w:r>
        <w:rPr/>
        <w:t>, 117:260–269. n=95 mulheres, trabalhadores informais (indústria de bidis, agarbattis e vestuário), Ahmedabad. 51 dimensões da mão direita em cinco tabelas (comprimentos, larguras, circunferências, profundidades, extensões e folgas), com P5, P50 e P95 reportados.</w:t>
      </w:r>
    </w:p>
    <w:p>
      <w:pPr>
        <w:pStyle w:val="Normal"/>
        <w:rPr/>
      </w:pPr>
      <w:r>
        <w:rPr>
          <w:b/>
        </w:rPr>
        <w:t>Decisão:</w:t>
      </w:r>
      <w:r>
        <w:rPr/>
        <w:t xml:space="preserve"> Incluição total. É o estudo com maior granularidade de dimensões da mão na base de dados, e o único com dados de profundidade e circunferência por articulação. A restrição a mulheres e a uma população laboral informal específica é documentada na coluna </w:t>
      </w:r>
      <w:r>
        <w:rPr>
          <w:rFonts w:ascii="Consolas" w:hAnsi="Consolas"/>
          <w:sz w:val="20"/>
        </w:rPr>
        <w:t>population</w:t>
      </w:r>
      <w:r>
        <w:rPr/>
        <w:t>.</w:t>
      </w:r>
    </w:p>
    <w:p>
      <w:pPr>
        <w:pStyle w:val="Heading3"/>
        <w:rPr/>
      </w:pPr>
      <w:r>
        <w:rPr/>
      </w:r>
    </w:p>
    <w:p>
      <w:pPr>
        <w:pStyle w:val="Heading3"/>
        <w:rPr/>
      </w:pPr>
      <w:r>
        <w:rPr/>
        <w:t>A.5.5 Portugal — trabalhadores industriais (Anacleto Filho et al., 2023)</w:t>
      </w:r>
    </w:p>
    <w:p>
      <w:pPr>
        <w:pStyle w:val="Normal"/>
        <w:rPr>
          <w:b/>
        </w:rPr>
      </w:pPr>
      <w:r>
        <w:rPr>
          <w:b/>
        </w:rPr>
      </w:r>
    </w:p>
    <w:p>
      <w:pPr>
        <w:pStyle w:val="Normal"/>
        <w:rPr/>
      </w:pPr>
      <w:r>
        <w:rPr>
          <w:b/>
        </w:rPr>
        <w:t>Fonte:</w:t>
      </w:r>
      <w:r>
        <w:rPr/>
        <w:t xml:space="preserve"> </w:t>
      </w:r>
      <w:r>
        <w:rPr>
          <w:i/>
        </w:rPr>
        <w:t>International Journal of Industrial Ergonomics</w:t>
      </w:r>
      <w:r>
        <w:rPr/>
        <w:t>, 97:103473. n=343 (169M, 174F),</w:t>
      </w:r>
    </w:p>
    <w:p>
      <w:pPr>
        <w:pStyle w:val="Normal"/>
        <w:rPr/>
      </w:pPr>
      <w:r>
        <w:rPr/>
        <w:t>trabalhadores industriais do Norte de Portugal, 2021. De um conjunto de 27 dimensões corporais, apenas duas são da mão: comprimento da mão e largura da mão (metacarpal II–V). Tabela 3, P5, P50, P95 por sexo.</w:t>
      </w:r>
    </w:p>
    <w:p>
      <w:pPr>
        <w:pStyle w:val="Normal"/>
        <w:rPr/>
      </w:pPr>
      <w:r>
        <w:rPr>
          <w:b/>
        </w:rPr>
        <w:t>Decisão:</w:t>
      </w:r>
      <w:r>
        <w:rPr/>
        <w:t xml:space="preserve"> Incluição. Embora apenas duas dimensões da mão sejam disponibilizadas, trata-se da única fonte de dados antropométricos da mão para população portuguesa adulta identificada na literatura, o que a torna indispensável para a contextualização nacional desta tese.</w:t>
      </w:r>
    </w:p>
    <w:p>
      <w:pPr>
        <w:pStyle w:val="Normal"/>
        <w:rPr/>
      </w:pPr>
      <w:r>
        <w:rPr>
          <w:b/>
        </w:rPr>
        <w:t>Nota metodológica:</w:t>
      </w:r>
      <w:r>
        <w:rPr/>
        <w:t xml:space="preserve"> O estudo mediu o lado esquerdo por limitação de instalações; este facto é registado em </w:t>
      </w:r>
      <w:r>
        <w:rPr>
          <w:rFonts w:ascii="Consolas" w:hAnsi="Consolas"/>
          <w:sz w:val="20"/>
        </w:rPr>
        <w:t>measurement</w:t>
      </w:r>
      <w:r>
        <w:rPr>
          <w:i/>
        </w:rPr>
        <w:t>method</w:t>
      </w:r>
      <w:r>
        <w:rPr/>
        <w:t>note</w:t>
      </w:r>
      <w:r>
        <w:rPr>
          <w:rFonts w:ascii="Consolas" w:hAnsi="Consolas"/>
          <w:sz w:val="20"/>
        </w:rPr>
        <w:t>.</w:t>
      </w:r>
    </w:p>
    <w:p>
      <w:pPr>
        <w:pStyle w:val="Heading3"/>
        <w:rPr/>
      </w:pPr>
      <w:r>
        <w:rPr/>
      </w:r>
    </w:p>
    <w:p>
      <w:pPr>
        <w:pStyle w:val="Heading3"/>
        <w:rPr/>
      </w:pPr>
      <w:r>
        <w:rPr/>
        <w:t>A.5.6 Nigéria — atletas universitários (Ibiwari et al., 2025)</w:t>
      </w:r>
    </w:p>
    <w:p>
      <w:pPr>
        <w:pStyle w:val="Normal"/>
        <w:rPr>
          <w:b/>
        </w:rPr>
      </w:pPr>
      <w:r>
        <w:rPr>
          <w:b/>
        </w:rPr>
      </w:r>
    </w:p>
    <w:p>
      <w:pPr>
        <w:pStyle w:val="Normal"/>
        <w:rPr/>
      </w:pPr>
      <w:r>
        <w:rPr>
          <w:b/>
        </w:rPr>
        <w:t>Fonte:</w:t>
      </w:r>
      <w:r>
        <w:rPr/>
        <w:t xml:space="preserve"> </w:t>
      </w:r>
      <w:r>
        <w:rPr>
          <w:i/>
        </w:rPr>
        <w:t>International Journal of Science Academic Research</w:t>
      </w:r>
      <w:r>
        <w:rPr/>
        <w:t>,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Normal"/>
        <w:rPr/>
      </w:pPr>
      <w:r>
        <w:rPr>
          <w:b/>
        </w:rPr>
        <w:t>Decisão:</w:t>
      </w:r>
      <w:r>
        <w:rPr/>
        <w:t xml:space="preserve"> Incluição com marcação de subgrupo desportivo. Dois subgrupos apresentam desvio-padrão atipicamente elevado (e.g., comprimento da mão no voleibol masculino: SD=37,49 mm), sugerindo a presença de outliers na amostra original. Estes casos foram marcados com nota de qualidade; os valores não foram excluídos porque provêm de tabelas publicadas e revistas.</w:t>
      </w:r>
    </w:p>
    <w:p>
      <w:pPr>
        <w:pStyle w:val="Normal"/>
        <w:rPr/>
      </w:pPr>
      <w:r>
        <w:rPr>
          <w:b/>
        </w:rPr>
        <w:t>Nota:</w:t>
      </w:r>
      <w:r>
        <w:rPr/>
        <w:t xml:space="preserve"> A população de atletas não é representativa da população geral; os valores refletem uma seleção fisicamente ativa e potencialmente com mãos de dimensões superiores à média.</w:t>
      </w:r>
    </w:p>
    <w:p>
      <w:pPr>
        <w:pStyle w:val="Heading3"/>
        <w:rPr/>
      </w:pPr>
      <w:r>
        <w:rPr/>
      </w:r>
    </w:p>
    <w:p>
      <w:pPr>
        <w:pStyle w:val="Heading3"/>
        <w:rPr/>
      </w:pPr>
      <w:r>
        <w:rPr/>
        <w:t>A.5.7 Jordânia — trabalhadores com deficiência (Mistarihi, 2020)</w:t>
      </w:r>
    </w:p>
    <w:p>
      <w:pPr>
        <w:pStyle w:val="Normal"/>
        <w:rPr>
          <w:b/>
        </w:rPr>
      </w:pPr>
      <w:r>
        <w:rPr>
          <w:b/>
        </w:rPr>
      </w:r>
    </w:p>
    <w:p>
      <w:pPr>
        <w:pStyle w:val="Normal"/>
        <w:rPr/>
      </w:pPr>
      <w:r>
        <w:rPr>
          <w:b/>
        </w:rPr>
        <w:t>Fonte:</w:t>
      </w:r>
      <w:r>
        <w:rPr/>
        <w:t xml:space="preserve"> </w:t>
      </w:r>
      <w:r>
        <w:rPr>
          <w:i/>
        </w:rPr>
        <w:t>Data in Brief</w:t>
      </w:r>
      <w:r>
        <w:rPr/>
        <w:t>,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Normal"/>
        <w:rPr/>
      </w:pPr>
      <w:r>
        <w:rPr>
          <w:b/>
        </w:rPr>
        <w:t>Decisão:</w:t>
      </w:r>
      <w:r>
        <w:rPr/>
        <w:t xml:space="preserve"> Inclusão parcial. A dimensão amostral reduzida (n=40) e a ausência de desagregação por sexo limitam a utilidade direta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Heading3"/>
        <w:rPr/>
      </w:pPr>
      <w:r>
        <w:rPr/>
      </w:r>
    </w:p>
    <w:p>
      <w:pPr>
        <w:pStyle w:val="Heading3"/>
        <w:rPr/>
      </w:pPr>
      <w:r>
        <w:rPr/>
        <w:t>A.5.8 EUA — dedo indicador (Lim et al., 2018)</w:t>
      </w:r>
    </w:p>
    <w:p>
      <w:pPr>
        <w:pStyle w:val="Normal"/>
        <w:rPr>
          <w:b/>
        </w:rPr>
      </w:pPr>
      <w:r>
        <w:rPr>
          <w:b/>
        </w:rPr>
      </w:r>
    </w:p>
    <w:p>
      <w:pPr>
        <w:pStyle w:val="Normal"/>
        <w:rPr/>
      </w:pPr>
      <w:r>
        <w:rPr>
          <w:b/>
        </w:rPr>
        <w:t>Fonte:</w:t>
      </w:r>
      <w:r>
        <w:rPr/>
        <w:t xml:space="preserve"> Trabalho académico UC Berkeley. n=50 adultos, idade 18–30. Apenas duas dimensões do dedo indicador (D2): comprimento MCP-ponta (média=90,9 mm) e largura na articulação PIP (média=16,9 mm). Apenas médias reportadas, sem SD ou percentis.</w:t>
      </w:r>
    </w:p>
    <w:p>
      <w:pPr>
        <w:pStyle w:val="Normal"/>
        <w:rPr/>
      </w:pPr>
      <w:r>
        <w:rPr>
          <w:b/>
        </w:rPr>
        <w:t>Decisão:</w:t>
      </w:r>
      <w:r>
        <w:rPr/>
        <w:t xml:space="preserve"> Inclusão limitada. A ausência de desvio-padrão e percentis reduz significativamente a utilidade estatística. No entanto, o estudo foi incluído porque é especificamente orientado para a customização de próteses de dedo e fornece valores de referência para o design de um dedo índice protésico — diretamente relevantes para o objetivo desta tese. O coeficiente de determinação R²=0,18 entre comprimento e largura do dedo é marcado como indicador de correlação fraca.</w:t>
      </w:r>
    </w:p>
    <w:p>
      <w:pPr>
        <w:pStyle w:val="Heading3"/>
        <w:rPr/>
      </w:pPr>
      <w:r>
        <w:rPr/>
      </w:r>
    </w:p>
    <w:p>
      <w:pPr>
        <w:pStyle w:val="Heading3"/>
        <w:rPr/>
      </w:pPr>
      <w:r>
        <w:rPr/>
        <w:t>A.5.9 Estudo excluído: Moreo (2016)</w:t>
      </w:r>
    </w:p>
    <w:p>
      <w:pPr>
        <w:pStyle w:val="Normal"/>
        <w:rPr/>
      </w:pPr>
      <w:r>
        <w:rPr/>
      </w:r>
    </w:p>
    <w:p>
      <w:pPr>
        <w:pStyle w:val="Normal"/>
        <w:rPr/>
      </w:pPr>
      <w:r>
        <w:rPr/>
        <w:t xml:space="preserve">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 não constituindo uma recolha primária por parte da autora. Incluir estes valores equivaleria a duplicar uma fonte secundária sem rastreabilidade direta ao estudo DINED original. </w:t>
      </w:r>
      <w:r>
        <w:rPr>
          <w:b/>
        </w:rPr>
        <w:t>Decisão: excluído.</w:t>
      </w:r>
    </w:p>
    <w:p>
      <w:pPr>
        <w:pStyle w:val="Heading3"/>
        <w:rPr/>
      </w:pPr>
      <w:r>
        <w:rPr/>
      </w:r>
    </w:p>
    <w:p>
      <w:pPr>
        <w:pStyle w:val="Heading3"/>
        <w:rPr/>
      </w:pPr>
      <w:r>
        <w:rPr/>
        <w:t>A.5.10 EUA — militares ANSUR II (Gordon et al., 2015)</w:t>
      </w:r>
    </w:p>
    <w:p>
      <w:pPr>
        <w:pStyle w:val="Normal"/>
        <w:rPr>
          <w:b/>
        </w:rPr>
      </w:pPr>
      <w:r>
        <w:rPr>
          <w:b/>
        </w:rPr>
      </w:r>
    </w:p>
    <w:p>
      <w:pPr>
        <w:pStyle w:val="Normal"/>
        <w:rPr/>
      </w:pPr>
      <w:r>
        <w:rPr>
          <w:b/>
        </w:rPr>
        <w:t>Fonte:</w:t>
      </w:r>
      <w:r>
        <w:rPr/>
        <w:t xml:space="preserve"> Relatório técnico NATICK/TR-15/007, U.S. Army Natick Soldier Research, Development and Engineering Center. n=6.068 militares ativos (4.082M, 1.986F), idade 17–58, grande diversidade étnica. Os dados brutos individuais foram disponibilizados em acesso público em 2017 (licença CC BY 4.0). As estatísticas foram calculadas a partir dos CSVs individuais (não do relatório impresso), usando Python puro sem dependências externas, por forma a garantir reprodutibilidade exata.</w:t>
      </w:r>
    </w:p>
    <w:p>
      <w:pPr>
        <w:pStyle w:val="Normal"/>
        <w:rPr/>
      </w:pPr>
      <w:r>
        <w:rPr>
          <w:b/>
        </w:rPr>
        <w:t>Decisão:</w:t>
      </w:r>
      <w:r>
        <w:rPr/>
        <w:t xml:space="preserve">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Normal"/>
        <w:rPr/>
      </w:pPr>
      <w:r>
        <w:rPr>
          <w:b/>
        </w:rPr>
        <w:t>Nota:</w:t>
      </w:r>
      <w:r>
        <w:rPr/>
        <w:t xml:space="preserve"> A medição </w:t>
      </w:r>
      <w:r>
        <w:rPr>
          <w:rFonts w:ascii="Consolas" w:hAnsi="Consolas"/>
          <w:sz w:val="20"/>
        </w:rPr>
        <w:t>wristheight</w:t>
      </w:r>
      <w:r>
        <w:rPr/>
        <w:t xml:space="preserve"> foi excluída — corresponde à distância do chão ao pulso em posição de pé, uma dimensão postural e não uma medição da mão.</w:t>
      </w:r>
    </w:p>
    <w:p>
      <w:pPr>
        <w:pStyle w:val="Heading3"/>
        <w:rPr/>
      </w:pPr>
      <w:r>
        <w:rPr/>
      </w:r>
    </w:p>
    <w:p>
      <w:pPr>
        <w:pStyle w:val="Heading3"/>
        <w:rPr/>
      </w:pPr>
      <w:r>
        <w:rPr/>
        <w:t>A.5.11 Países Baixos — DINED (TU Delft, 1993–2004)</w:t>
      </w:r>
    </w:p>
    <w:p>
      <w:pPr>
        <w:pStyle w:val="Normal"/>
        <w:rPr>
          <w:b/>
        </w:rPr>
      </w:pPr>
      <w:r>
        <w:rPr>
          <w:b/>
        </w:rPr>
      </w:r>
    </w:p>
    <w:p>
      <w:pPr>
        <w:pStyle w:val="Normal"/>
        <w:rPr/>
      </w:pPr>
      <w:r>
        <w:rPr>
          <w:b/>
        </w:rPr>
        <w:t>Fonte:</w:t>
      </w:r>
      <w:r>
        <w:rPr/>
        <w:t xml:space="preserve"> Base de dados antropométrica do Delft Institute for Ergonomics and Design, acessível via conta institucional em dined.io.tudelft.nl. Três sub-datasets distintos, com dados de mão disponíveis:</w:t>
      </w:r>
    </w:p>
    <w:p>
      <w:pPr>
        <w:pStyle w:val="ListBullet"/>
        <w:rPr/>
      </w:pPr>
      <w:r>
        <w:rPr/>
        <w:t xml:space="preserve">- </w:t>
      </w:r>
      <w:r>
        <w:rPr>
          <w:b/>
        </w:rPr>
        <w:t>kima1993</w:t>
      </w:r>
      <w:r>
        <w:rPr/>
        <w:t>: crianças neerlandesas, idades 2–12 (grupos por ano), por sexo e combinado; 8 medições da mão por grupo etário.</w:t>
      </w:r>
    </w:p>
    <w:p>
      <w:pPr>
        <w:pStyle w:val="ListBullet"/>
        <w:rPr/>
      </w:pPr>
      <w:r>
        <w:rPr/>
        <w:t xml:space="preserve">- </w:t>
      </w:r>
      <w:r>
        <w:rPr>
          <w:b/>
        </w:rPr>
        <w:t>geron1998</w:t>
      </w:r>
      <w:r>
        <w:rPr/>
        <w:t>: idosos neerlandeses, idades 50–80+ (bandas de 5 anos), por sexo e combinado; 5 medições da mão.</w:t>
      </w:r>
    </w:p>
    <w:p>
      <w:pPr>
        <w:pStyle w:val="ListBullet"/>
        <w:rPr/>
      </w:pPr>
      <w:r>
        <w:rPr/>
        <w:t xml:space="preserve">- </w:t>
      </w:r>
      <w:r>
        <w:rPr>
          <w:b/>
        </w:rPr>
        <w:t>dined2004</w:t>
      </w:r>
      <w:r>
        <w:rPr/>
        <w:t>: adultos neerlandeses, grupos etários 20–30, 31–60, 60+, por sexo e combinado; 6–7 medições da mão.</w:t>
      </w:r>
    </w:p>
    <w:p>
      <w:pPr>
        <w:pStyle w:val="Normal"/>
        <w:rPr/>
      </w:pPr>
      <w:r>
        <w:rPr/>
        <w:t xml:space="preserve">Os dados foram extraídos a partir do HTML da interface web (padrões </w:t>
      </w:r>
      <w:r>
        <w:rPr>
          <w:rFonts w:ascii="Consolas" w:hAnsi="Consolas"/>
          <w:sz w:val="20"/>
        </w:rPr>
        <w:t>id="mean{col}</w:t>
      </w:r>
      <w:r>
        <w:rPr>
          <w:i/>
        </w:rPr>
        <w:t>{row}"</w:t>
      </w:r>
      <w:r>
        <w:rPr>
          <w:rFonts w:ascii="Consolas" w:hAnsi="Consolas"/>
          <w:sz w:val="20"/>
        </w:rPr>
        <w:t xml:space="preserve"> / </w:t>
      </w:r>
      <w:r>
        <w:rPr/>
        <w:t>id="sd{col}</w:t>
      </w:r>
      <w:r>
        <w:rPr>
          <w:i/>
        </w:rPr>
        <w:t>{row}"</w:t>
      </w:r>
      <w:r>
        <w:rPr>
          <w:rFonts w:ascii="Consolas" w:hAnsi="Consolas"/>
          <w:sz w:val="20"/>
        </w:rPr>
        <w:t>), mapeando índices de coluna para combinações (sub-dataset, sexo, grupo etário) e índices de linha para nomes de medição.</w:t>
      </w:r>
    </w:p>
    <w:p>
      <w:pPr>
        <w:pStyle w:val="Normal"/>
        <w:rPr/>
      </w:pPr>
      <w:r>
        <w:rPr>
          <w:b/>
        </w:rPr>
        <w:t>Decisão:</w:t>
      </w:r>
      <w:r>
        <w:rPr/>
        <w:t xml:space="preserve">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Heading3"/>
        <w:rPr/>
      </w:pPr>
      <w:r>
        <w:rPr/>
      </w:r>
    </w:p>
    <w:p>
      <w:pPr>
        <w:pStyle w:val="Heading3"/>
        <w:rPr/>
      </w:pPr>
      <w:r>
        <w:rPr/>
        <w:t>A.5.12 China — idosos de Pequim (Hu et al., 2007)</w:t>
      </w:r>
    </w:p>
    <w:p>
      <w:pPr>
        <w:pStyle w:val="Normal"/>
        <w:rPr>
          <w:b/>
        </w:rPr>
      </w:pPr>
      <w:r>
        <w:rPr>
          <w:b/>
        </w:rPr>
      </w:r>
    </w:p>
    <w:p>
      <w:pPr>
        <w:pStyle w:val="Normal"/>
        <w:rPr/>
      </w:pPr>
      <w:r>
        <w:rPr>
          <w:b/>
        </w:rPr>
        <w:t>Fonte:</w:t>
      </w:r>
      <w:r>
        <w:rPr/>
        <w:t xml:space="preserve"> </w:t>
      </w:r>
      <w:r>
        <w:rPr>
          <w:i/>
        </w:rPr>
        <w:t>International Journal of Industrial Ergonomics</w:t>
      </w:r>
      <w:r>
        <w:rPr/>
        <w:t>,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Normal"/>
        <w:rPr>
          <w:b/>
        </w:rPr>
      </w:pPr>
      <w:r>
        <w:rPr>
          <w:b/>
        </w:rPr>
      </w:r>
    </w:p>
    <w:p>
      <w:pPr>
        <w:pStyle w:val="Normal"/>
        <w:rPr/>
      </w:pPr>
      <w:r>
        <w:rPr>
          <w:b/>
        </w:rPr>
        <w:t>Decisão:</w:t>
      </w:r>
      <w:r>
        <w:rPr/>
        <w:t xml:space="preserve">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w:t>
      </w:r>
      <w:r>
        <w:rPr>
          <w:rFonts w:ascii="Consolas" w:hAnsi="Consolas"/>
          <w:sz w:val="20"/>
        </w:rPr>
        <w:t>data</w:t>
      </w:r>
      <w:r>
        <w:rPr>
          <w:i/>
        </w:rPr>
        <w:t>quality</w:t>
      </w:r>
      <w:r>
        <w:rPr/>
        <w:t>note</w:t>
      </w:r>
      <w:r>
        <w:rPr>
          <w:rFonts w:ascii="Consolas" w:hAnsi="Consolas"/>
          <w:sz w:val="20"/>
        </w:rPr>
        <w:t>.</w:t>
      </w:r>
    </w:p>
    <w:p>
      <w:pPr>
        <w:pStyle w:val="Normal"/>
        <w:rPr>
          <w:b/>
        </w:rPr>
      </w:pPr>
      <w:r>
        <w:rPr>
          <w:b/>
        </w:rPr>
      </w:r>
    </w:p>
    <w:p>
      <w:pPr>
        <w:pStyle w:val="Normal"/>
        <w:rPr/>
      </w:pPr>
      <w:r>
        <w:rPr>
          <w:b/>
        </w:rPr>
        <w:t>Nota de cobertura:</w:t>
      </w:r>
      <w:r>
        <w:rPr/>
        <w:t xml:space="preserve"> Primeira fonte de dados de idosos chineses e, simultaneamente, a única fonte da Ásia Oriental na base de dados (após a verificação de que uma referência alternativa inicialmente identificada não era verificável).</w:t>
      </w:r>
    </w:p>
    <w:p>
      <w:pPr>
        <w:pStyle w:val="Heading3"/>
        <w:rPr/>
      </w:pPr>
      <w:r>
        <w:rPr/>
      </w:r>
    </w:p>
    <w:p>
      <w:pPr>
        <w:pStyle w:val="Heading3"/>
        <w:rPr/>
      </w:pPr>
      <w:r>
        <w:rPr/>
        <w:t>A.5.13 Estudo excluído: reconstrução corporal 3D a partir de fotografias ortogonais</w:t>
      </w:r>
    </w:p>
    <w:p>
      <w:pPr>
        <w:pStyle w:val="Normal"/>
        <w:rPr>
          <w:b/>
        </w:rPr>
      </w:pPr>
      <w:r>
        <w:rPr>
          <w:b/>
        </w:rPr>
      </w:r>
    </w:p>
    <w:p>
      <w:pPr>
        <w:pStyle w:val="Normal"/>
        <w:rPr/>
      </w:pPr>
      <w:r>
        <w:rPr>
          <w:b/>
        </w:rPr>
        <w:t>Fonte:</w:t>
      </w:r>
      <w:r>
        <w:rPr/>
        <w:t xml:space="preserve"> artigo metodológico sobre reconstrução de modelos corporais 3D a partir de fotografias ortogonais, publicado no </w:t>
      </w:r>
      <w:r>
        <w:rPr>
          <w:i/>
        </w:rPr>
        <w:t>International Journal of Industrial Ergonomics</w:t>
      </w:r>
      <w:r>
        <w:rPr/>
        <w:t>, usando deformação de forma livre (FFD).</w:t>
      </w:r>
    </w:p>
    <w:p>
      <w:pPr>
        <w:pStyle w:val="Normal"/>
        <w:rPr>
          <w:b/>
        </w:rPr>
      </w:pPr>
      <w:r>
        <w:rPr>
          <w:b/>
        </w:rPr>
      </w:r>
    </w:p>
    <w:p>
      <w:pPr>
        <w:pStyle w:val="Normal"/>
        <w:rPr/>
      </w:pPr>
      <w:r>
        <w:rPr>
          <w:b/>
        </w:rPr>
        <w:t>Decisão: excluído.</w:t>
      </w:r>
      <w:r>
        <w:rPr/>
        <w:t xml:space="preserve">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Heading3"/>
        <w:rPr/>
      </w:pPr>
      <w:r>
        <w:rPr/>
      </w:r>
    </w:p>
    <w:p>
      <w:pPr>
        <w:pStyle w:val="Heading3"/>
        <w:rPr/>
      </w:pPr>
      <w:r>
        <w:rPr/>
        <w:t>A.6 Estrutura do CSV e Schema</w:t>
      </w:r>
    </w:p>
    <w:p>
      <w:pPr>
        <w:pStyle w:val="Heading3"/>
        <w:rPr/>
      </w:pPr>
      <w:r>
        <w:rPr/>
      </w:r>
    </w:p>
    <w:p>
      <w:pPr>
        <w:pStyle w:val="Heading3"/>
        <w:rPr/>
      </w:pPr>
      <w:r>
        <w:rPr/>
        <w:t>A.6.1 Campos</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Campo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Tipo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document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Título abreviado do artigo ou relatório fonte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page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Página da tabela de origem no documento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source</w:t>
            </w:r>
            <w:r>
              <w:rPr>
                <w:i/>
              </w:rPr>
              <w:t>citation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Citação completa em estilo APA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name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Nome da dimensão, incluindo especificações de método quando relevante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body</w:t>
            </w:r>
            <w:r>
              <w:rPr>
                <w:i/>
              </w:rPr>
              <w:t>region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Região corporal (</w:t>
            </w:r>
            <w:r>
              <w:rPr>
                <w:rFonts w:ascii="Consolas" w:hAnsi="Consolas"/>
                <w:sz w:val="20"/>
              </w:rPr>
              <w:t>hand</w:t>
            </w:r>
            <w:r>
              <w:rPr/>
              <w:t xml:space="preserve">, </w:t>
            </w:r>
            <w:r>
              <w:rPr>
                <w:rFonts w:ascii="Consolas" w:hAnsi="Consolas"/>
                <w:sz w:val="20"/>
              </w:rPr>
              <w:t>forearm</w:t>
            </w:r>
            <w:r>
              <w:rPr/>
              <w:t xml:space="preserve">, </w:t>
            </w:r>
            <w:r>
              <w:rPr>
                <w:rFonts w:ascii="Consolas" w:hAnsi="Consolas"/>
                <w:sz w:val="20"/>
              </w:rPr>
              <w:t>upper</w:t>
            </w:r>
            <w:r>
              <w:rPr>
                <w:i/>
              </w:rPr>
              <w:t>arm</w:t>
            </w:r>
            <w:r>
              <w:rPr>
                <w:rFonts w:ascii="Consolas" w:hAnsi="Consolas"/>
                <w:sz w:val="20"/>
              </w:rPr>
              <w:t xml:space="preserve">, </w:t>
            </w:r>
            <w:r>
              <w:rPr/>
              <w:t>lower</w:t>
            </w:r>
            <w:r>
              <w:rPr>
                <w:i/>
              </w:rPr>
              <w:t>limb</w:t>
            </w:r>
            <w:r>
              <w:rPr>
                <w:rFonts w:ascii="Consolas" w:hAnsi="Consolas"/>
                <w:sz w:val="20"/>
              </w:rPr>
              <w:t xml:space="preserve">, </w:t>
            </w:r>
            <w:r>
              <w:rPr/>
              <w:t>torso</w:t>
            </w:r>
            <w:r>
              <w:rPr>
                <w:rFonts w:ascii="Consolas" w:hAnsi="Consolas"/>
                <w:sz w:val="20"/>
              </w:rPr>
              <w:t xml:space="preserve">, </w:t>
            </w:r>
            <w:r>
              <w:rPr/>
              <w:t>head</w:t>
            </w:r>
            <w:r>
              <w:rPr>
                <w:rFonts w:ascii="Consolas" w:hAnsi="Consolas"/>
                <w:sz w:val="20"/>
              </w:rPr>
              <w:t>)</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measurement</w:t>
            </w:r>
            <w:r>
              <w:rPr>
                <w:i/>
              </w:rPr>
              <w:t>method</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Instrumento, mão medida, posição e protocolo de medição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population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Descrição da população (e.g., "Young adults (age 18-30)")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country</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 de recolha dos dados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sex</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male</w:t>
            </w:r>
            <w:r>
              <w:rPr/>
              <w:t xml:space="preserve">, </w:t>
            </w:r>
            <w:r>
              <w:rPr>
                <w:rFonts w:ascii="Consolas" w:hAnsi="Consolas"/>
                <w:sz w:val="20"/>
              </w:rPr>
              <w:t>female</w:t>
            </w:r>
            <w:r>
              <w:rPr/>
              <w:t xml:space="preserve"> ou </w:t>
            </w:r>
            <w:r>
              <w:rPr>
                <w:rFonts w:ascii="Consolas" w:hAnsi="Consolas"/>
                <w:sz w:val="20"/>
              </w:rPr>
              <w:t>combined</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age</w:t>
            </w:r>
            <w:r>
              <w:rPr>
                <w:i/>
              </w:rPr>
              <w:t>group</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Intervalo etário da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sample</w:t>
            </w:r>
            <w:r>
              <w:rPr>
                <w:i/>
              </w:rPr>
              <w:t>size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int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Número de participantes na (sub)amostra</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stat</w:t>
            </w:r>
            <w:r>
              <w:rPr>
                <w:i/>
              </w:rPr>
              <w:t>type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 xml:space="preserve">Tipo de estatística: </w:t>
            </w:r>
            <w:r>
              <w:rPr>
                <w:rFonts w:ascii="Consolas" w:hAnsi="Consolas"/>
                <w:sz w:val="20"/>
              </w:rPr>
              <w:t>mean</w:t>
            </w:r>
            <w:r>
              <w:rPr/>
              <w:t xml:space="preserve">, </w:t>
            </w:r>
            <w:r>
              <w:rPr>
                <w:rFonts w:ascii="Consolas" w:hAnsi="Consolas"/>
                <w:sz w:val="20"/>
              </w:rPr>
              <w:t>std</w:t>
            </w:r>
            <w:r>
              <w:rPr>
                <w:i/>
              </w:rPr>
              <w:t>dev</w:t>
            </w:r>
            <w:r>
              <w:rPr>
                <w:rFonts w:ascii="Consolas" w:hAnsi="Consolas"/>
                <w:sz w:val="20"/>
              </w:rPr>
              <w:t xml:space="preserve">, </w:t>
            </w:r>
            <w:r>
              <w:rPr/>
              <w:t>percentile</w:t>
            </w:r>
            <w:r>
              <w:rPr>
                <w:rFonts w:ascii="Consolas" w:hAnsi="Consolas"/>
                <w:sz w:val="20"/>
              </w:rPr>
              <w:t xml:space="preserve">, </w:t>
            </w:r>
            <w:r>
              <w:rPr/>
              <w:t>min</w:t>
            </w:r>
            <w:r>
              <w:rPr>
                <w:rFonts w:ascii="Consolas" w:hAnsi="Consolas"/>
                <w:sz w:val="20"/>
              </w:rPr>
              <w:t xml:space="preserve">, </w:t>
            </w:r>
            <w:r>
              <w:rPr/>
              <w:t>max</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percentile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do percentil (5, 10, 25, 50, 75, 90, 95) — vazio se não aplicável</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cm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centímetros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mm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milímetros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value</w:t>
            </w:r>
            <w:r>
              <w:rPr>
                <w:i/>
              </w:rPr>
              <w:t>in</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float</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Valor em polegadas (calculado automaticamente)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data</w:t>
            </w:r>
            <w:r>
              <w:rPr>
                <w:i/>
              </w:rPr>
              <w:t>quality</w:t>
            </w:r>
            <w:r>
              <w:rPr/>
              <w:t>note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string</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Notas sobre limitações, artefactos ou incertezas do valor</w:t>
            </w:r>
          </w:p>
        </w:tc>
      </w:tr>
    </w:tbl>
    <w:p>
      <w:pPr>
        <w:pStyle w:val="Heading3"/>
        <w:rPr/>
      </w:pPr>
      <w:r>
        <w:rPr/>
      </w:r>
    </w:p>
    <w:p>
      <w:pPr>
        <w:pStyle w:val="Heading3"/>
        <w:rPr/>
      </w:pPr>
      <w:r>
        <w:rPr/>
        <w:t>A.6.2 Formato longo (</w:t>
      </w:r>
      <w:r>
        <w:rPr>
          <w:i/>
        </w:rPr>
        <w:t>long format</w:t>
      </w:r>
      <w:r>
        <w:rPr/>
        <w:t>)</w:t>
      </w:r>
    </w:p>
    <w:p>
      <w:pPr>
        <w:pStyle w:val="Normal"/>
        <w:rPr/>
      </w:pPr>
      <w:r>
        <w:rPr/>
        <w:t xml:space="preserve">A opção pelo formato longo — uma linha por estatística, e não uma linha por dimensão com colunas </w:t>
      </w:r>
      <w:r>
        <w:rPr>
          <w:rFonts w:ascii="Consolas" w:hAnsi="Consolas"/>
          <w:sz w:val="20"/>
        </w:rPr>
        <w:t>mean</w:t>
      </w:r>
      <w:r>
        <w:rPr/>
        <w:t xml:space="preserve">, </w:t>
      </w:r>
      <w:r>
        <w:rPr>
          <w:rFonts w:ascii="Consolas" w:hAnsi="Consolas"/>
          <w:sz w:val="20"/>
        </w:rPr>
        <w:t>sd</w:t>
      </w:r>
      <w:r>
        <w:rPr/>
        <w:t xml:space="preserve">, </w:t>
      </w:r>
      <w:r>
        <w:rPr>
          <w:rFonts w:ascii="Consolas" w:hAnsi="Consolas"/>
          <w:sz w:val="20"/>
        </w:rPr>
        <w:t>p5</w:t>
      </w:r>
      <w:r>
        <w:rPr/>
        <w:t>, etc. — permite:</w:t>
      </w:r>
    </w:p>
    <w:p>
      <w:pPr>
        <w:pStyle w:val="ListBullet"/>
        <w:rPr/>
      </w:pPr>
      <w:r>
        <w:rPr/>
        <w:t>- Filtrar facilmente por tipo de estatística sem tratamento especial de colunas opcionais</w:t>
      </w:r>
    </w:p>
    <w:p>
      <w:pPr>
        <w:pStyle w:val="ListBullet"/>
        <w:rPr/>
      </w:pPr>
      <w:r>
        <w:rPr/>
        <w:t>- Incluir estudos que reportam apenas subconjuntos de estatísticas (e.g., apenas média, sem percentis) sem introduzir células vazias em colunas estruturais</w:t>
      </w:r>
    </w:p>
    <w:p>
      <w:pPr>
        <w:pStyle w:val="ListBullet"/>
        <w:rPr/>
      </w:pPr>
      <w:r>
        <w:rPr/>
        <w:t>- Acrescentar novos tipos de estatística (e.g., intervalo de confiança) sem alterar o schema</w:t>
      </w:r>
    </w:p>
    <w:p>
      <w:pPr>
        <w:pStyle w:val="Normal"/>
        <w:rPr/>
      </w:pPr>
      <w:r>
        <w:rPr/>
        <w:t>O custo é a repetição dos campos de identificação (país, sexo, dimensão) em cada linha — aceitável dado o volume total de dados (&lt; 5 MB).</w:t>
      </w:r>
    </w:p>
    <w:p>
      <w:pPr>
        <w:pStyle w:val="Heading3"/>
        <w:rPr/>
      </w:pPr>
      <w:r>
        <w:rPr/>
      </w:r>
    </w:p>
    <w:p>
      <w:pPr>
        <w:pStyle w:val="Heading3"/>
        <w:rPr/>
      </w:pPr>
      <w:r>
        <w:rPr/>
        <w:t>A.7 Controlo de Qualidade dos Dados</w:t>
      </w:r>
    </w:p>
    <w:p>
      <w:pPr>
        <w:pStyle w:val="Heading3"/>
        <w:rPr/>
      </w:pPr>
      <w:r>
        <w:rPr/>
      </w:r>
    </w:p>
    <w:p>
      <w:pPr>
        <w:pStyle w:val="Heading3"/>
        <w:rPr/>
      </w:pPr>
      <w:r>
        <w:rPr/>
        <w:t>A.7.1 Marcação inline de limitações</w:t>
      </w:r>
    </w:p>
    <w:p>
      <w:pPr>
        <w:pStyle w:val="Normal"/>
        <w:rPr/>
      </w:pPr>
      <w:r>
        <w:rPr/>
      </w:r>
    </w:p>
    <w:p>
      <w:pPr>
        <w:pStyle w:val="Normal"/>
        <w:rPr/>
      </w:pPr>
      <w:r>
        <w:rPr/>
        <w:t xml:space="preserve">O campo </w:t>
      </w:r>
      <w:r>
        <w:rPr>
          <w:rFonts w:ascii="Consolas" w:hAnsi="Consolas"/>
          <w:sz w:val="20"/>
        </w:rPr>
        <w:t>data</w:t>
      </w:r>
      <w:r>
        <w:rPr>
          <w:i/>
        </w:rPr>
        <w:t>quality</w:t>
      </w:r>
      <w:r>
        <w:rPr/>
        <w:t>note</w:t>
      </w:r>
      <w:r>
        <w:rPr>
          <w:rFonts w:ascii="Consolas" w:hAnsi="Consolas"/>
          <w:sz w:val="20"/>
        </w:rPr>
        <w:t xml:space="preserve"> é preenchido sempre que existe uma das seguintes situações:</w:t>
      </w:r>
    </w:p>
    <w:p>
      <w:pPr>
        <w:pStyle w:val="ListBullet"/>
        <w:rPr/>
      </w:pPr>
      <w:r>
        <w:rPr/>
        <w:t>- Valor extraído de uma figura (diagrama ou gráfico) em vez de uma tabela</w:t>
      </w:r>
    </w:p>
    <w:p>
      <w:pPr>
        <w:pStyle w:val="ListBullet"/>
        <w:rPr/>
      </w:pPr>
      <w:r>
        <w:rPr/>
        <w:t>- Subgrupo com n ≤ 10</w:t>
      </w:r>
    </w:p>
    <w:p>
      <w:pPr>
        <w:pStyle w:val="ListBullet"/>
        <w:rPr/>
      </w:pPr>
      <w:r>
        <w:rPr/>
        <w:t>- Desvio-padrão ausente ou atipicamente elevado</w:t>
      </w:r>
    </w:p>
    <w:p>
      <w:pPr>
        <w:pStyle w:val="ListBullet"/>
        <w:rPr/>
      </w:pPr>
      <w:r>
        <w:rPr/>
        <w:t>- Valor estimado a partir de estatísticas adjacentes por ilegibilidade da tabela</w:t>
      </w:r>
    </w:p>
    <w:p>
      <w:pPr>
        <w:pStyle w:val="ListBullet"/>
        <w:rPr/>
      </w:pPr>
      <w:r>
        <w:rPr/>
        <w:t>- Correlação fraca entre variáveis reportada pelo próprio estudo</w:t>
      </w:r>
    </w:p>
    <w:p>
      <w:pPr>
        <w:pStyle w:val="ListBullet"/>
        <w:rPr/>
      </w:pPr>
      <w:r>
        <w:rPr/>
        <w:t>- Inconsistência tipográfica no documento original, corrigida com nota</w:t>
      </w:r>
    </w:p>
    <w:p>
      <w:pPr>
        <w:pStyle w:val="Heading3"/>
        <w:rPr/>
      </w:pPr>
      <w:r>
        <w:rPr/>
      </w:r>
    </w:p>
    <w:p>
      <w:pPr>
        <w:pStyle w:val="Heading3"/>
        <w:rPr/>
      </w:pPr>
      <w:r>
        <w:rPr/>
        <w:t>A.7.2 Verificação de unidades</w:t>
      </w:r>
    </w:p>
    <w:p>
      <w:pPr>
        <w:pStyle w:val="Normal"/>
        <w:rPr/>
      </w:pPr>
      <w:r>
        <w:rPr/>
      </w:r>
    </w:p>
    <w:p>
      <w:pPr>
        <w:pStyle w:val="Normal"/>
        <w:rPr/>
      </w:pPr>
      <w:r>
        <w:rP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Heading3"/>
        <w:rPr/>
      </w:pPr>
      <w:r>
        <w:rPr/>
      </w:r>
    </w:p>
    <w:p>
      <w:pPr>
        <w:pStyle w:val="Heading3"/>
        <w:rPr/>
      </w:pPr>
      <w:r>
        <w:rPr/>
        <w:t>A.7.3 Rastreabilidade total</w:t>
      </w:r>
    </w:p>
    <w:p>
      <w:pPr>
        <w:pStyle w:val="Normal"/>
        <w:rPr/>
      </w:pPr>
      <w:r>
        <w:rPr/>
      </w:r>
    </w:p>
    <w:p>
      <w:pPr>
        <w:pStyle w:val="Normal"/>
        <w:rPr/>
      </w:pPr>
      <w:r>
        <w:rPr/>
        <w:t>Cada linha do CSV contém a citação completa (</w:t>
      </w:r>
      <w:r>
        <w:rPr>
          <w:rFonts w:ascii="Consolas" w:hAnsi="Consolas"/>
          <w:sz w:val="20"/>
        </w:rPr>
        <w:t>source</w:t>
      </w:r>
      <w:r>
        <w:rPr>
          <w:i/>
        </w:rPr>
        <w:t>citation</w:t>
      </w:r>
      <w:r>
        <w:rPr>
          <w:rFonts w:ascii="Consolas" w:hAnsi="Consolas"/>
          <w:sz w:val="20"/>
        </w:rPr>
        <w:t>) e o número de página exato (</w:t>
      </w:r>
      <w:r>
        <w:rPr/>
        <w:t>source</w:t>
      </w:r>
      <w:r>
        <w:rPr>
          <w:i/>
        </w:rPr>
        <w:t>page</w:t>
      </w:r>
      <w:r>
        <w:rPr>
          <w:rFonts w:ascii="Consolas" w:hAnsi="Consolas"/>
          <w:sz w:val="20"/>
        </w:rPr>
        <w:t>), permitindo que qualquer valor seja verificado diretamente na fonte primária sem necessidade de metadados externos.</w:t>
      </w:r>
    </w:p>
    <w:p>
      <w:pPr>
        <w:pStyle w:val="Heading3"/>
        <w:rPr/>
      </w:pPr>
      <w:r>
        <w:rPr/>
      </w:r>
    </w:p>
    <w:p>
      <w:pPr>
        <w:pStyle w:val="Heading3"/>
        <w:rPr/>
      </w:pPr>
      <w:r>
        <w:rPr/>
        <w:t>A.8 Escrita do Código de Geração</w:t>
      </w:r>
    </w:p>
    <w:p>
      <w:pPr>
        <w:pStyle w:val="Normal"/>
        <w:rPr/>
      </w:pPr>
      <w:r>
        <w:rPr/>
        <w:t>Os dados foram codificados em dois scripts Python independentes:</w:t>
      </w:r>
    </w:p>
    <w:p>
      <w:pPr>
        <w:pStyle w:val="ListBullet"/>
        <w:rPr/>
      </w:pPr>
      <w:r>
        <w:rPr/>
        <w:t xml:space="preserve">- </w:t>
      </w:r>
      <w:r>
        <w:rPr>
          <w:rFonts w:ascii="Consolas" w:hAnsi="Consolas"/>
          <w:sz w:val="20"/>
        </w:rPr>
        <w:t>generate</w:t>
      </w:r>
      <w:r>
        <w:rPr>
          <w:i/>
        </w:rPr>
        <w:t>ansur</w:t>
      </w:r>
      <w:r>
        <w:rPr/>
        <w:t>csv.py</w:t>
      </w:r>
      <w:r>
        <w:rPr>
          <w:rFonts w:ascii="Consolas" w:hAnsi="Consolas"/>
          <w:sz w:val="20"/>
        </w:rPr>
        <w:t xml:space="preserve"> — gera </w:t>
      </w:r>
      <w:r>
        <w:rPr/>
        <w:t>ansur</w:t>
      </w:r>
      <w:r>
        <w:rPr>
          <w:i/>
        </w:rPr>
        <w:t>1988</w:t>
      </w:r>
      <w:r>
        <w:rPr/>
        <w:t>complete.csv</w:t>
      </w:r>
      <w:r>
        <w:rPr>
          <w:rFonts w:ascii="Consolas" w:hAnsi="Consolas"/>
          <w:sz w:val="20"/>
        </w:rPr>
        <w:t xml:space="preserve"> e </w:t>
      </w:r>
      <w:r>
        <w:rPr/>
        <w:t>ansur</w:t>
      </w:r>
      <w:r>
        <w:rPr>
          <w:i/>
        </w:rPr>
        <w:t>1988</w:t>
      </w:r>
      <w:r>
        <w:rPr/>
        <w:t>hand</w:t>
      </w:r>
      <w:r>
        <w:rPr>
          <w:i/>
        </w:rPr>
        <w:t>arm.csv</w:t>
      </w:r>
      <w:r>
        <w:rPr>
          <w:rFonts w:ascii="Consolas" w:hAnsi="Consolas"/>
          <w:sz w:val="20"/>
        </w:rPr>
        <w:t xml:space="preserve"> a partir de dicionários Python embutidos no script, um por tabela do relatório ANSUR</w:t>
      </w:r>
    </w:p>
    <w:p>
      <w:pPr>
        <w:pStyle w:val="ListBullet"/>
        <w:rPr/>
      </w:pPr>
      <w:r>
        <w:rPr/>
        <w:t xml:space="preserve">- </w:t>
      </w:r>
      <w:r>
        <w:rPr>
          <w:rFonts w:ascii="Consolas" w:hAnsi="Consolas"/>
          <w:sz w:val="20"/>
        </w:rPr>
        <w:t>generate</w:t>
      </w:r>
      <w:r>
        <w:rPr>
          <w:i/>
        </w:rPr>
        <w:t>multi</w:t>
      </w:r>
      <w:r>
        <w:rPr/>
        <w:t>population</w:t>
      </w:r>
      <w:r>
        <w:rPr>
          <w:i/>
        </w:rPr>
        <w:t>hand</w:t>
      </w:r>
      <w:r>
        <w:rPr/>
        <w:t>csv.py</w:t>
      </w:r>
      <w:r>
        <w:rPr>
          <w:rFonts w:ascii="Consolas" w:hAnsi="Consolas"/>
          <w:sz w:val="20"/>
        </w:rPr>
        <w:t xml:space="preserve"> — gera </w:t>
      </w:r>
      <w:r>
        <w:rPr/>
        <w:t>multi</w:t>
      </w:r>
      <w:r>
        <w:rPr>
          <w:i/>
        </w:rPr>
        <w:t>population</w:t>
      </w:r>
      <w:r>
        <w:rPr/>
        <w:t>hand.csv</w:t>
      </w:r>
      <w:r>
        <w:rPr>
          <w:rFonts w:ascii="Consolas" w:hAnsi="Consolas"/>
          <w:sz w:val="20"/>
        </w:rPr>
        <w:t xml:space="preserve"> a partir de dez secções numeradas, cada uma correspondente a um estudo ou conjunto de datasets</w:t>
      </w:r>
    </w:p>
    <w:p>
      <w:pPr>
        <w:pStyle w:val="Normal"/>
        <w:rPr/>
      </w:pPr>
      <w:r>
        <w:rPr/>
        <w:t>A escolha de embeber os dados diretamente no código (em vez de, por exemplo, folhas de cálculo intermédias) serve três propósitos: (1) rastreabilidade — cada valor está imediatamente adjacente à sua citação e nota de método; (2) reprodutibilidade — executar o script regenera o CSV de forma determinista; (3) controlo de versão — alterações aos dados são visíveis em diff de git, com o contexto de que estudo foi modificado.</w:t>
      </w:r>
    </w:p>
    <w:p>
      <w:pPr>
        <w:pStyle w:val="Normal"/>
        <w:rPr/>
      </w:pPr>
      <w:r>
        <w:rPr/>
        <w:t xml:space="preserve">O script aplica automaticamente as conversões de unidade, calcula </w:t>
      </w:r>
      <w:r>
        <w:rPr>
          <w:rFonts w:ascii="Consolas" w:hAnsi="Consolas"/>
          <w:sz w:val="20"/>
        </w:rPr>
        <w:t>value</w:t>
      </w:r>
      <w:r>
        <w:rPr>
          <w:i/>
        </w:rPr>
        <w:t>in</w:t>
      </w:r>
      <w:r>
        <w:rPr>
          <w:rFonts w:ascii="Consolas" w:hAnsi="Consolas"/>
          <w:sz w:val="20"/>
        </w:rPr>
        <w:t xml:space="preserve"> a partir de </w:t>
      </w:r>
      <w:r>
        <w:rPr/>
        <w:t>value</w:t>
      </w:r>
      <w:r>
        <w:rPr>
          <w:i/>
        </w:rPr>
        <w:t>cm</w:t>
      </w:r>
      <w:r>
        <w:rPr>
          <w:rFonts w:ascii="Consolas" w:hAnsi="Consolas"/>
          <w:sz w:val="20"/>
        </w:rPr>
        <w:t xml:space="preserve">, e valida que nenhuma linha é emitida sem pelo menos uma das colunas </w:t>
      </w:r>
      <w:r>
        <w:rPr/>
        <w:t>value</w:t>
      </w:r>
      <w:r>
        <w:rPr>
          <w:i/>
        </w:rPr>
        <w:t>mm</w:t>
      </w:r>
      <w:r>
        <w:rPr>
          <w:rFonts w:ascii="Consolas" w:hAnsi="Consolas"/>
          <w:sz w:val="20"/>
        </w:rPr>
        <w:t xml:space="preserve"> ou </w:t>
      </w:r>
      <w:r>
        <w:rPr/>
        <w:t>value</w:t>
      </w:r>
      <w:r>
        <w:rPr>
          <w:i/>
        </w:rPr>
        <w:t>cm</w:t>
      </w:r>
      <w:r>
        <w:rPr>
          <w:rFonts w:ascii="Consolas" w:hAnsi="Consolas"/>
          <w:sz w:val="20"/>
        </w:rPr>
        <w:t xml:space="preserve"> preenchida.</w:t>
      </w:r>
    </w:p>
    <w:p>
      <w:pPr>
        <w:pStyle w:val="Heading3"/>
        <w:rPr/>
      </w:pPr>
      <w:r>
        <w:rPr/>
      </w:r>
    </w:p>
    <w:p>
      <w:pPr>
        <w:pStyle w:val="Heading3"/>
        <w:rPr/>
      </w:pPr>
      <w:r>
        <w:rPr/>
        <w:t>A.9 Resultado Final</w:t>
      </w:r>
    </w:p>
    <w:tbl>
      <w:tblPr>
        <w:tblW w:w="5000" w:type="pct"/>
        <w:jc w:val="left"/>
        <w:tblInd w:w="108" w:type="dxa"/>
        <w:tblLayout w:type="fixed"/>
        <w:tblCellMar>
          <w:top w:w="0" w:type="dxa"/>
          <w:left w:w="108" w:type="dxa"/>
          <w:bottom w:w="0" w:type="dxa"/>
          <w:right w:w="108" w:type="dxa"/>
        </w:tblCellMar>
      </w:tblPr>
      <w:tblGrid>
        <w:gridCol w:w="1805"/>
        <w:gridCol w:w="1805"/>
        <w:gridCol w:w="1804"/>
        <w:gridCol w:w="1805"/>
        <w:gridCol w:w="1807"/>
      </w:tblGrid>
      <w:tr>
        <w:trPr>
          <w:tblHeader w:val="true"/>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Ficheiro</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Linhas (dados)</w:t>
            </w:r>
          </w:p>
        </w:tc>
        <w:tc>
          <w:tcPr>
            <w:tcW w:w="1804" w:type="dxa"/>
            <w:tcBorders>
              <w:top w:val="single" w:sz="4" w:space="0" w:color="808080"/>
              <w:left w:val="single" w:sz="4" w:space="0" w:color="808080"/>
              <w:bottom w:val="single" w:sz="4" w:space="0" w:color="808080"/>
              <w:right w:val="single" w:sz="4" w:space="0" w:color="808080"/>
            </w:tcBorders>
          </w:tcPr>
          <w:p>
            <w:pPr>
              <w:pStyle w:val="Normal"/>
              <w:rPr/>
            </w:pPr>
            <w:r>
              <w:rPr/>
              <w:t>Países</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Dimensões distintas</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complete.csv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2.726</w:t>
            </w:r>
          </w:p>
        </w:tc>
        <w:tc>
          <w:tcPr>
            <w:tcW w:w="1804"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47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ansur</w:t>
            </w:r>
            <w:r>
              <w:rPr>
                <w:i/>
              </w:rPr>
              <w:t>1988</w:t>
            </w:r>
            <w:r>
              <w:rPr/>
              <w:t>hand</w:t>
            </w:r>
            <w:r>
              <w:rPr>
                <w:i/>
              </w:rPr>
              <w:t>arm.csv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696</w:t>
            </w:r>
          </w:p>
        </w:tc>
        <w:tc>
          <w:tcPr>
            <w:tcW w:w="1804" w:type="dxa"/>
            <w:tcBorders>
              <w:top w:val="single" w:sz="4" w:space="0" w:color="808080"/>
              <w:left w:val="single" w:sz="4" w:space="0" w:color="808080"/>
              <w:bottom w:val="single" w:sz="4" w:space="0" w:color="808080"/>
              <w:right w:val="single" w:sz="4" w:space="0" w:color="808080"/>
            </w:tcBorders>
          </w:tcPr>
          <w:p>
            <w:pPr>
              <w:pStyle w:val="Normal"/>
              <w:rPr/>
            </w:pPr>
            <w:r>
              <w:rPr/>
              <w:t>1 (EUA)</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17</w:t>
            </w:r>
          </w:p>
        </w:tc>
      </w:tr>
      <w:tr>
        <w:trPr/>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rFonts w:ascii="Consolas" w:hAnsi="Consolas"/>
                <w:sz w:val="20"/>
              </w:rPr>
              <w:t>multi</w:t>
            </w:r>
            <w:r>
              <w:rPr>
                <w:i/>
              </w:rPr>
              <w:t>population</w:t>
            </w:r>
            <w:r>
              <w:rPr/>
              <w:t>hand.csv</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1.790</w:t>
            </w:r>
          </w:p>
        </w:tc>
        <w:tc>
          <w:tcPr>
            <w:tcW w:w="1804" w:type="dxa"/>
            <w:tcBorders>
              <w:top w:val="single" w:sz="4" w:space="0" w:color="808080"/>
              <w:left w:val="single" w:sz="4" w:space="0" w:color="808080"/>
              <w:bottom w:val="single" w:sz="4" w:space="0" w:color="808080"/>
              <w:right w:val="single" w:sz="4" w:space="0" w:color="808080"/>
            </w:tcBorders>
          </w:tcPr>
          <w:p>
            <w:pPr>
              <w:pStyle w:val="Normal"/>
              <w:rPr/>
            </w:pPr>
            <w:r>
              <w:rPr/>
              <w:t>9</w:t>
            </w:r>
          </w:p>
        </w:tc>
        <w:tc>
          <w:tcPr>
            <w:tcW w:w="1805" w:type="dxa"/>
            <w:tcBorders>
              <w:top w:val="single" w:sz="4" w:space="0" w:color="808080"/>
              <w:left w:val="single" w:sz="4" w:space="0" w:color="808080"/>
              <w:bottom w:val="single" w:sz="4" w:space="0" w:color="808080"/>
              <w:right w:val="single" w:sz="4" w:space="0" w:color="808080"/>
            </w:tcBorders>
          </w:tcPr>
          <w:p>
            <w:pPr>
              <w:pStyle w:val="Normal"/>
              <w:rPr/>
            </w:pPr>
            <w:r>
              <w:rPr/>
              <w:t>11</w:t>
            </w:r>
          </w:p>
        </w:tc>
        <w:tc>
          <w:tcPr>
            <w:tcW w:w="1807" w:type="dxa"/>
            <w:tcBorders>
              <w:top w:val="single" w:sz="4" w:space="0" w:color="808080"/>
              <w:left w:val="single" w:sz="4" w:space="0" w:color="808080"/>
              <w:bottom w:val="single" w:sz="4" w:space="0" w:color="808080"/>
              <w:right w:val="single" w:sz="4" w:space="0" w:color="808080"/>
            </w:tcBorders>
          </w:tcPr>
          <w:p>
            <w:pPr>
              <w:pStyle w:val="Normal"/>
              <w:rPr/>
            </w:pPr>
            <w:r>
              <w:rPr/>
              <w:t>~85</w:t>
            </w:r>
          </w:p>
        </w:tc>
      </w:tr>
    </w:tbl>
    <w:p>
      <w:pPr>
        <w:pStyle w:val="Normal"/>
        <w:rPr/>
      </w:pPr>
      <w:r>
        <w:rPr/>
      </w:r>
    </w:p>
    <w:p>
      <w:pPr>
        <w:pStyle w:val="Normal"/>
        <w:rPr/>
      </w:pPr>
      <w:r>
        <w:rPr/>
        <w:t xml:space="preserve">O ficheiro </w:t>
      </w:r>
      <w:r>
        <w:rPr>
          <w:rFonts w:ascii="Consolas" w:hAnsi="Consolas"/>
          <w:sz w:val="20"/>
        </w:rPr>
        <w:t>multi</w:t>
      </w:r>
      <w:r>
        <w:rPr>
          <w:i/>
        </w:rPr>
        <w:t>population</w:t>
      </w:r>
      <w:r>
        <w:rPr/>
        <w:t>hand.csv</w:t>
      </w:r>
      <w:r>
        <w:rPr>
          <w:rFonts w:ascii="Consolas" w:hAnsi="Consolas"/>
          <w:sz w:val="20"/>
        </w:rPr>
        <w:t xml:space="preserve"> cobre nove países (EUA, Países Baixos, Turquia, México, Índia, Portugal, Nigéria, Jordânia, China), ambos os sexos e grupos combinados, grupos etários desde os 2 até aos 80+ anos, e populações tão diversas como crianças em idade escolar, idosos, atletas universitários, trabalhadores industriais, trabalhadoras informais e militares.</w:t>
      </w:r>
    </w:p>
    <w:p>
      <w:pPr>
        <w:pStyle w:val="Heading3"/>
        <w:rPr/>
      </w:pPr>
      <w:r>
        <w:rPr/>
      </w:r>
    </w:p>
    <w:p>
      <w:pPr>
        <w:pStyle w:val="Heading3"/>
        <w:rPr/>
      </w:pPr>
      <w:r>
        <w:rPr/>
        <w:t>A.10 Cobertura Global da Base de Dados e Lacunas</w:t>
      </w:r>
    </w:p>
    <w:p>
      <w:pPr>
        <w:pStyle w:val="Heading3"/>
        <w:rPr/>
      </w:pPr>
      <w:r>
        <w:rPr/>
      </w:r>
    </w:p>
    <w:p>
      <w:pPr>
        <w:pStyle w:val="Heading3"/>
        <w:rPr/>
      </w:pPr>
      <w:r>
        <w:rPr/>
        <w:t>A.10.1 O que está coberto</w:t>
      </w:r>
    </w:p>
    <w:p>
      <w:pPr>
        <w:pStyle w:val="Normal"/>
        <w:rPr/>
      </w:pPr>
      <w:r>
        <w:rPr/>
      </w:r>
    </w:p>
    <w:p>
      <w:pPr>
        <w:pStyle w:val="Normal"/>
        <w:rPr/>
      </w:pPr>
      <w:r>
        <w:rPr/>
        <w:t xml:space="preserve">A base de dados </w:t>
      </w:r>
      <w:r>
        <w:rPr>
          <w:rFonts w:ascii="Consolas" w:hAnsi="Consolas"/>
          <w:sz w:val="20"/>
        </w:rPr>
        <w:t>multi</w:t>
      </w:r>
      <w:r>
        <w:rPr>
          <w:i/>
        </w:rPr>
        <w:t>population</w:t>
      </w:r>
      <w:r>
        <w:rPr/>
        <w:t>hand.csv</w:t>
      </w:r>
      <w:r>
        <w:rPr>
          <w:rFonts w:ascii="Consolas" w:hAnsi="Consolas"/>
          <w:sz w:val="20"/>
        </w:rPr>
        <w:t xml:space="preserve"> foi construída com o objetivo de representar a variabilidade antropométrica da mão humana em múltiplas dimensões: geográfica, demográfica, etária e estatística. A tabela seguinte sintetiza a cobertura atual.</w:t>
      </w:r>
    </w:p>
    <w:p>
      <w:pPr>
        <w:pStyle w:val="Heading3"/>
        <w:rPr/>
      </w:pPr>
      <w:r>
        <w:rPr/>
      </w:r>
    </w:p>
    <w:p>
      <w:pPr>
        <w:pStyle w:val="Heading3"/>
        <w:rPr/>
      </w:pPr>
      <w:r>
        <w:rPr/>
        <w:t>A.10.1.1 Cobertura geográfica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Região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representados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Ocidental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Portugal, 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Anacleto Filho et al. (2023); DINED kima1993, geron1998, dined2004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do Norte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 Lim et al. (2018)</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América Latina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Médio Oriente</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África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Sul da Ásia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Índia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Nag et al. (2003)</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Ásia Oriental</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 (Pequim)</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Europa do Sul / Ásia Menor</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w:t>
            </w:r>
          </w:p>
        </w:tc>
      </w:tr>
    </w:tbl>
    <w:p>
      <w:pPr>
        <w:pStyle w:val="Normal"/>
        <w:rPr/>
      </w:pPr>
      <w:r>
        <w:rPr/>
      </w:r>
    </w:p>
    <w:p>
      <w:pPr>
        <w:pStyle w:val="Normal"/>
        <w:rPr/>
      </w:pPr>
      <w:r>
        <w:rPr/>
        <w:t>Nove países estão representados, distribuídos por sete regiões do mundo. A cobertura é particularmente densa nos EUA (três fontes independentes) e nos Países Baixos (três sub-datasets DINED).</w:t>
      </w:r>
    </w:p>
    <w:p>
      <w:pPr>
        <w:pStyle w:val="Heading3"/>
        <w:rPr/>
      </w:pPr>
      <w:r>
        <w:rPr/>
      </w:r>
    </w:p>
    <w:p>
      <w:pPr>
        <w:pStyle w:val="Heading3"/>
        <w:rPr/>
      </w:pPr>
      <w:r>
        <w:rPr/>
        <w:t>A.10.1.2 Cobertura etária</w:t>
      </w:r>
    </w:p>
    <w:p>
      <w:pPr>
        <w:pStyle w:val="Heading3"/>
        <w:rPr/>
      </w:pPr>
      <w:r>
        <w:rPr/>
      </w:r>
    </w:p>
    <w:tbl>
      <w:tblPr>
        <w:tblW w:w="5000" w:type="pct"/>
        <w:jc w:val="left"/>
        <w:tblInd w:w="108" w:type="dxa"/>
        <w:tblLayout w:type="fixed"/>
        <w:tblCellMar>
          <w:top w:w="0" w:type="dxa"/>
          <w:left w:w="108" w:type="dxa"/>
          <w:bottom w:w="0" w:type="dxa"/>
          <w:right w:w="108" w:type="dxa"/>
        </w:tblCellMar>
      </w:tblPr>
      <w:tblGrid>
        <w:gridCol w:w="3008"/>
        <w:gridCol w:w="3009"/>
        <w:gridCol w:w="3009"/>
      </w:tblGrid>
      <w:tr>
        <w:trPr>
          <w:tblHeader w:val="true"/>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Faixa etária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Cobertura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Fonte(s)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2–12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kima1993 (por ano de idade)</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15–19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subgrupo</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18–30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 Turquia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Lim et al. (2018); Chatzioglou et al. (2024)</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17–58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EUA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ANSUR II 2012</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15–59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México</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Rodríguez-Vega et al. (2024), 8 grupos etários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19–30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Nigéria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Ibiwari et al. (2025)</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20–40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Jordânia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Mistarihi (2020)</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20–60+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dined2004 (3 grupos)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50–80+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Países Baixos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DINED geron1998 (7 grupos de 5 anos)</w:t>
            </w:r>
          </w:p>
        </w:tc>
      </w:tr>
      <w:tr>
        <w:trPr/>
        <w:tc>
          <w:tcPr>
            <w:tcW w:w="3008" w:type="dxa"/>
            <w:tcBorders>
              <w:top w:val="single" w:sz="4" w:space="0" w:color="808080"/>
              <w:left w:val="single" w:sz="4" w:space="0" w:color="808080"/>
              <w:bottom w:val="single" w:sz="4" w:space="0" w:color="808080"/>
              <w:right w:val="single" w:sz="4" w:space="0" w:color="808080"/>
            </w:tcBorders>
          </w:tcPr>
          <w:p>
            <w:pPr>
              <w:pStyle w:val="Normal"/>
              <w:rPr/>
            </w:pPr>
            <w:r>
              <w:rPr/>
              <w:t>65–85 anos</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China</w:t>
            </w:r>
          </w:p>
        </w:tc>
        <w:tc>
          <w:tcPr>
            <w:tcW w:w="3009" w:type="dxa"/>
            <w:tcBorders>
              <w:top w:val="single" w:sz="4" w:space="0" w:color="808080"/>
              <w:left w:val="single" w:sz="4" w:space="0" w:color="808080"/>
              <w:bottom w:val="single" w:sz="4" w:space="0" w:color="808080"/>
              <w:right w:val="single" w:sz="4" w:space="0" w:color="808080"/>
            </w:tcBorders>
          </w:tcPr>
          <w:p>
            <w:pPr>
              <w:pStyle w:val="Normal"/>
              <w:rPr/>
            </w:pPr>
            <w:r>
              <w:rPr/>
              <w:t>Hu et al. (2007)</w:t>
            </w:r>
          </w:p>
        </w:tc>
      </w:tr>
    </w:tbl>
    <w:p>
      <w:pPr>
        <w:pStyle w:val="Normal"/>
        <w:rPr/>
      </w:pPr>
      <w:r>
        <w:rPr/>
      </w:r>
    </w:p>
    <w:p>
      <w:pPr>
        <w:pStyle w:val="Normal"/>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Heading3"/>
        <w:rPr/>
      </w:pPr>
      <w:r>
        <w:rPr/>
      </w:r>
    </w:p>
    <w:p>
      <w:pPr>
        <w:pStyle w:val="Heading3"/>
        <w:rPr/>
      </w:pPr>
      <w:r>
        <w:rPr/>
        <w:t>A.10.1.3 Cobertura estatística</w:t>
      </w:r>
    </w:p>
    <w:p>
      <w:pPr>
        <w:pStyle w:val="Normal"/>
        <w:rPr/>
      </w:pPr>
      <w:r>
        <w:rPr/>
      </w:r>
    </w:p>
    <w:p>
      <w:pPr>
        <w:pStyle w:val="Normal"/>
        <w:rPr/>
      </w:pPr>
      <w:r>
        <w:rPr/>
        <w:t>A profundidade estatística varia consideravelmente entre fontes:</w:t>
      </w:r>
    </w:p>
    <w:p>
      <w:pPr>
        <w:pStyle w:val="Normal"/>
        <w:rPr/>
      </w:pPr>
      <w:r>
        <w:rPr/>
      </w:r>
    </w:p>
    <w:tbl>
      <w:tblPr>
        <w:tblW w:w="5000" w:type="pct"/>
        <w:jc w:val="left"/>
        <w:tblInd w:w="108" w:type="dxa"/>
        <w:tblLayout w:type="fixed"/>
        <w:tblCellMar>
          <w:top w:w="0" w:type="dxa"/>
          <w:left w:w="108" w:type="dxa"/>
          <w:bottom w:w="0" w:type="dxa"/>
          <w:right w:w="108" w:type="dxa"/>
        </w:tblCellMar>
      </w:tblPr>
      <w:tblGrid>
        <w:gridCol w:w="4512"/>
        <w:gridCol w:w="4514"/>
      </w:tblGrid>
      <w:tr>
        <w:trPr>
          <w:tblHeader w:val="true"/>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Nível de detalhe</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Estudos</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P5–P95 (11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ANSUR 1988, ANSUR II 2012</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P5, P50, P95 (5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DINED (3 sub-datasets), Hu et al. (2007)</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P5, P50, P95 (3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Nag et al. (2003), Anacleto Filho et al. (2023), Rodríguez-Vega et al. (2024)</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SD, min, max (4 indicadores)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Chatzioglou et al. (2024), Ibiwari et al. (2025)</w:t>
            </w:r>
          </w:p>
        </w:tc>
      </w:tr>
      <w:tr>
        <w:trPr/>
        <w:tc>
          <w:tcPr>
            <w:tcW w:w="4512" w:type="dxa"/>
            <w:tcBorders>
              <w:top w:val="single" w:sz="4" w:space="0" w:color="808080"/>
              <w:left w:val="single" w:sz="4" w:space="0" w:color="808080"/>
              <w:bottom w:val="single" w:sz="4" w:space="0" w:color="808080"/>
              <w:right w:val="single" w:sz="4" w:space="0" w:color="808080"/>
            </w:tcBorders>
          </w:tcPr>
          <w:p>
            <w:pPr>
              <w:pStyle w:val="Normal"/>
              <w:rPr/>
            </w:pPr>
            <w:r>
              <w:rPr/>
              <w:t>Média apenas</w:t>
            </w:r>
          </w:p>
        </w:tc>
        <w:tc>
          <w:tcPr>
            <w:tcW w:w="4514" w:type="dxa"/>
            <w:tcBorders>
              <w:top w:val="single" w:sz="4" w:space="0" w:color="808080"/>
              <w:left w:val="single" w:sz="4" w:space="0" w:color="808080"/>
              <w:bottom w:val="single" w:sz="4" w:space="0" w:color="808080"/>
              <w:right w:val="single" w:sz="4" w:space="0" w:color="808080"/>
            </w:tcBorders>
          </w:tcPr>
          <w:p>
            <w:pPr>
              <w:pStyle w:val="Normal"/>
              <w:rPr/>
            </w:pPr>
            <w:r>
              <w:rPr/>
              <w:t>Mistarihi (2020) — largura da mão; Lim et al. (2018)</w:t>
            </w:r>
          </w:p>
        </w:tc>
      </w:tr>
    </w:tbl>
    <w:p>
      <w:pPr>
        <w:pStyle w:val="Normal"/>
        <w:rPr/>
      </w:pPr>
      <w:r>
        <w:rPr/>
      </w:r>
    </w:p>
    <w:p>
      <w:pPr>
        <w:pStyle w:val="Normal"/>
        <w:rPr/>
      </w:pPr>
      <w:r>
        <w:rP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Heading3"/>
        <w:rPr/>
      </w:pPr>
      <w:r>
        <w:rPr/>
      </w:r>
    </w:p>
    <w:p>
      <w:pPr>
        <w:pStyle w:val="Heading3"/>
        <w:rPr/>
      </w:pPr>
      <w:r>
        <w:rPr/>
        <w:t>A.10.2 Onde a cobertura falha</w:t>
      </w:r>
    </w:p>
    <w:p>
      <w:pPr>
        <w:pStyle w:val="Heading3"/>
        <w:rPr/>
      </w:pPr>
      <w:r>
        <w:rPr/>
      </w:r>
    </w:p>
    <w:p>
      <w:pPr>
        <w:pStyle w:val="Heading3"/>
        <w:rPr/>
      </w:pPr>
      <w:r>
        <w:rPr/>
        <w:t>A.10.2.1 Lacunas geográficas</w:t>
      </w:r>
    </w:p>
    <w:p>
      <w:pPr>
        <w:pStyle w:val="Heading3"/>
        <w:rPr/>
      </w:pPr>
      <w:r>
        <w:rPr/>
      </w:r>
    </w:p>
    <w:p>
      <w:pPr>
        <w:pStyle w:val="Normal"/>
        <w:rPr/>
      </w:pPr>
      <w:r>
        <w:rPr/>
        <w:t>As regiões mais populosas do mundo estão sub-representadas ou ausentes:</w:t>
      </w:r>
    </w:p>
    <w:p>
      <w:pPr>
        <w:pStyle w:val="ListBullet"/>
        <w:rPr/>
      </w:pPr>
      <w:r>
        <w:rPr/>
        <w:t xml:space="preserve">- </w:t>
      </w:r>
      <w:r>
        <w:rPr>
          <w:b/>
        </w:rPr>
        <w:t>Ásia Oriental</w:t>
      </w:r>
      <w:r>
        <w:rPr/>
        <w:t xml:space="preserve"> — China tem uma única fonte (n=108, apenas idosos de Pequim). Japão e Coreia do Sul estão completamente ausentes, apesar de serem países com literatura ergonómica ativa. O conjunto ANSUR é amplamente usado como proxy para populações ocidentais, mas os valores diferem sistematicamente das populações do leste asiático (mãos tendencialmente mais pequenas nos estudos disponíveis).</w:t>
      </w:r>
    </w:p>
    <w:p>
      <w:pPr>
        <w:pStyle w:val="ListBullet"/>
        <w:rPr/>
      </w:pPr>
      <w:r>
        <w:rPr/>
        <w:t xml:space="preserve">- </w:t>
      </w:r>
      <w:r>
        <w:rPr>
          <w:b/>
        </w:rPr>
        <w:t>Ásia do Sudeste</w:t>
      </w:r>
      <w:r>
        <w:rPr/>
        <w:t xml:space="preserv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ListBullet"/>
        <w:rPr/>
      </w:pPr>
      <w:r>
        <w:rPr/>
        <w:t xml:space="preserve">- </w:t>
      </w:r>
      <w:r>
        <w:rPr>
          <w:b/>
        </w:rPr>
        <w:t>África Subsaariana</w:t>
      </w:r>
      <w:r>
        <w:rPr/>
        <w:t xml:space="preserve">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ListBullet"/>
        <w:rPr/>
      </w:pPr>
      <w:r>
        <w:rPr/>
        <w:t xml:space="preserve">- </w:t>
      </w:r>
      <w:r>
        <w:rPr>
          <w:b/>
        </w:rPr>
        <w:t>América do Sul</w:t>
      </w:r>
      <w:r>
        <w:rPr/>
        <w:t xml:space="preserve"> — Completamente ausente. Brasil, Colômbia e Argentina têm literatura ergonómica publicada mas não foram identificadas fontes acessíveis com dados de mão codificáveis.</w:t>
      </w:r>
    </w:p>
    <w:p>
      <w:pPr>
        <w:pStyle w:val="ListBullet"/>
        <w:rPr/>
      </w:pPr>
      <w:r>
        <w:rPr/>
        <w:t xml:space="preserve">- </w:t>
      </w:r>
      <w:r>
        <w:rPr>
          <w:b/>
        </w:rPr>
        <w:t>Europa Central e de Leste</w:t>
      </w:r>
      <w:r>
        <w:rPr/>
        <w:t xml:space="preserve"> — Ausente. Os Países Baixos e Portugal representam a Europa, mas há variabilidade antropométrica documentada entre populações do norte, sul e leste do continente.</w:t>
      </w:r>
    </w:p>
    <w:p>
      <w:pPr>
        <w:pStyle w:val="Heading3"/>
        <w:rPr/>
      </w:pPr>
      <w:r>
        <w:rPr/>
      </w:r>
    </w:p>
    <w:p>
      <w:pPr>
        <w:pStyle w:val="Heading3"/>
        <w:rPr/>
      </w:pPr>
      <w:r>
        <w:rPr/>
        <w:t>A.10.2.2 Lacunas demográficas</w:t>
      </w:r>
    </w:p>
    <w:p>
      <w:pPr>
        <w:pStyle w:val="Heading3"/>
        <w:rPr/>
      </w:pPr>
      <w:r>
        <w:rPr/>
      </w:r>
    </w:p>
    <w:p>
      <w:pPr>
        <w:pStyle w:val="ListBullet"/>
        <w:rPr/>
      </w:pPr>
      <w:r>
        <w:rPr/>
        <w:t xml:space="preserve">- </w:t>
      </w:r>
      <w:r>
        <w:rPr>
          <w:b/>
        </w:rPr>
        <w:t>Adolescentes (13–17 anos)</w:t>
      </w:r>
      <w:r>
        <w:rPr/>
        <w:t xml:space="preserve"> — a transição da mão infantil para a adulta não está coberta por nenhum estudo dedicado. O kima1993 chega aos 12 anos e o ANSUR começa aos 17.</w:t>
      </w:r>
    </w:p>
    <w:p>
      <w:pPr>
        <w:pStyle w:val="ListBullet"/>
        <w:rPr/>
      </w:pPr>
      <w:r>
        <w:rPr/>
        <w:t xml:space="preserve">- </w:t>
      </w:r>
      <w:r>
        <w:rPr>
          <w:b/>
        </w:rPr>
        <w:t>Amputados</w:t>
      </w:r>
      <w:r>
        <w:rPr/>
        <w:t xml:space="preserve">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ListBullet"/>
        <w:rPr/>
      </w:pPr>
      <w:r>
        <w:rPr/>
        <w:t xml:space="preserve">- </w:t>
      </w:r>
      <w:r>
        <w:rPr>
          <w:b/>
        </w:rPr>
        <w:t>Pessoas com deficiência física</w:t>
      </w:r>
      <w:r>
        <w:rPr/>
        <w:t xml:space="preserve"> — apenas o estudo de Mistarihi (2020) cobre esta população (n=40, sexos combinados, Jordânia). A dimensão amostral é insuficiente para ser estatisticamente representativa.</w:t>
      </w:r>
    </w:p>
    <w:p>
      <w:pPr>
        <w:pStyle w:val="ListBullet"/>
        <w:rPr/>
      </w:pPr>
      <w:r>
        <w:rPr/>
        <w:t xml:space="preserve">- </w:t>
      </w:r>
      <w:r>
        <w:rPr>
          <w:b/>
        </w:rPr>
        <w:t>Idosos fora da Europa e China</w:t>
      </w:r>
      <w:r>
        <w:rPr/>
        <w:t xml:space="preserve"> — a prevalência de amputação de membro superior é mais elevada em contextos de baixo rendimento (causas traumáticas, diabetes, doença vascular), mas os dados de idosos disponíveis limitam-se a populações europeias e chinesas.</w:t>
      </w:r>
    </w:p>
    <w:p>
      <w:pPr>
        <w:pStyle w:val="Heading3"/>
        <w:rPr/>
      </w:pPr>
      <w:r>
        <w:rPr/>
      </w:r>
    </w:p>
    <w:p>
      <w:pPr>
        <w:pStyle w:val="Heading3"/>
        <w:rPr/>
      </w:pPr>
      <w:r>
        <w:rPr/>
        <w:t>A.10.2.3 Limitações qualitativas dos dados existentes</w:t>
      </w:r>
    </w:p>
    <w:p>
      <w:pPr>
        <w:pStyle w:val="Normal"/>
        <w:rPr/>
      </w:pPr>
      <w:r>
        <w:rPr/>
      </w:r>
    </w:p>
    <w:p>
      <w:pPr>
        <w:pStyle w:val="Normal"/>
        <w:rPr/>
      </w:pPr>
      <w:r>
        <w:rPr/>
        <w:t>Para além das lacunas por ausência, existem limitações nos dados já presentes:</w:t>
      </w:r>
    </w:p>
    <w:p>
      <w:pPr>
        <w:pStyle w:val="ListBullet"/>
        <w:rPr/>
      </w:pPr>
      <w:r>
        <w:rPr/>
        <w:t xml:space="preserve">- </w:t>
      </w:r>
      <w:r>
        <w:rPr>
          <w:b/>
        </w:rPr>
        <w:t>Heterogeneidade de protocolos</w:t>
      </w:r>
      <w:r>
        <w:rPr/>
        <w:t xml:space="preserve">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ListBullet"/>
        <w:rPr/>
      </w:pPr>
      <w:r>
        <w:rPr/>
        <w:t xml:space="preserve">- </w:t>
      </w:r>
      <w:r>
        <w:rPr>
          <w:b/>
        </w:rPr>
        <w:t>Amostras de conveniência</w:t>
      </w:r>
      <w:r>
        <w:rPr/>
        <w:t xml:space="preserve">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ListBullet"/>
        <w:rPr/>
      </w:pPr>
      <w:r>
        <w:rPr/>
        <w:t xml:space="preserve">- </w:t>
      </w:r>
      <w:r>
        <w:rPr>
          <w:b/>
        </w:rPr>
        <w:t>Desequilíbrio de dimensões</w:t>
      </w:r>
      <w:r>
        <w:rPr/>
        <w:t xml:space="preserve"> — o comprimento da mão e a largura da mão (metacarpal) estão presentes em quase todas as fontes; comprimentos por falange individual, profundidade da palma, e ângulos de abdução dos dedos estão ausentes exceto no ANSUR.</w:t>
      </w:r>
    </w:p>
    <w:p>
      <w:pPr>
        <w:pStyle w:val="ListBullet"/>
        <w:rPr/>
      </w:pPr>
      <w:r>
        <w:rPr/>
        <w:t xml:space="preserve">- </w:t>
      </w:r>
      <w:r>
        <w:rPr>
          <w:b/>
        </w:rPr>
        <w:t>Mão medida</w:t>
      </w:r>
      <w:r>
        <w:rPr/>
        <w:t xml:space="preserve"> — a maioria dos estudos mede a mão dominante ou a mão direita; o estudo português mede a mão esquerda por limitação de instalações. Esta inconsistência é registada nos metadados mas não pode ser corrigida post-hoc.</w:t>
      </w:r>
    </w:p>
    <w:p>
      <w:pPr>
        <w:pStyle w:val="Heading3"/>
        <w:rPr/>
      </w:pPr>
      <w:r>
        <w:rPr/>
      </w:r>
    </w:p>
    <w:p>
      <w:pPr>
        <w:pStyle w:val="Heading3"/>
        <w:rPr/>
      </w:pPr>
      <w:r>
        <w:rPr/>
        <w:t>A.10.3 Frentes identificadas para expansão futura</w:t>
      </w:r>
    </w:p>
    <w:p>
      <w:pPr>
        <w:pStyle w:val="Normal"/>
        <w:rPr/>
      </w:pPr>
      <w:r>
        <w:rPr/>
      </w:r>
    </w:p>
    <w:p>
      <w:pPr>
        <w:pStyle w:val="Normal"/>
        <w:rPr/>
      </w:pPr>
      <w:r>
        <w:rP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Heading3"/>
        <w:rPr/>
      </w:pPr>
      <w:r>
        <w:rPr/>
      </w:r>
    </w:p>
    <w:p>
      <w:pPr>
        <w:pStyle w:val="Heading3"/>
        <w:rPr/>
      </w:pPr>
      <w:r>
        <w:rPr/>
        <w:t>A.10.3.1 Prioridade alta</w:t>
      </w:r>
    </w:p>
    <w:p>
      <w:pPr>
        <w:pStyle w:val="ListBullet"/>
        <w:rPr/>
      </w:pPr>
      <w:r>
        <w:rPr/>
        <w:t>- Dados pediátricos e adolescentes da Ásia Oriental, capazes de preencher a lacuna entre os 13 e os 17 anos e de reduzir a dependência de fontes neerlandesas para perfis infantis.</w:t>
      </w:r>
    </w:p>
    <w:p>
      <w:pPr>
        <w:pStyle w:val="ListBullet"/>
        <w:rPr/>
      </w:pPr>
      <w:r>
        <w:rPr/>
        <w:t>- Dados industriais ou ergonómicos do Médio Oriente com maior dimensão amostral e separação por sexo, de modo a complementar a fonte jordana já incluída.</w:t>
      </w:r>
    </w:p>
    <w:p>
      <w:pPr>
        <w:pStyle w:val="ListBullet"/>
        <w:rPr/>
      </w:pPr>
      <w:r>
        <w:rPr/>
        <w:t>- Bases públicas nacionais com dados de mão para populações asiáticas, quando disponibilizarem metadados claros e condições de reutilização compatíveis com investigação académica.</w:t>
      </w:r>
    </w:p>
    <w:p>
      <w:pPr>
        <w:pStyle w:val="Heading3"/>
        <w:rPr/>
      </w:pPr>
      <w:r>
        <w:rPr/>
      </w:r>
    </w:p>
    <w:p>
      <w:pPr>
        <w:pStyle w:val="Heading3"/>
        <w:rPr/>
      </w:pPr>
      <w:r>
        <w:rPr/>
        <w:t>A.10.3.2 Prioridade média</w:t>
      </w:r>
    </w:p>
    <w:p>
      <w:pPr>
        <w:pStyle w:val="ListBullet"/>
        <w:rPr/>
      </w:pPr>
      <w:r>
        <w:rPr/>
        <w:t>- Relatórios técnicos com medições granulares da mão, incluindo comprimentos por falange, profundidades articulares e ângulos de preensão.</w:t>
      </w:r>
    </w:p>
    <w:p>
      <w:pPr>
        <w:pStyle w:val="ListBullet"/>
        <w:rPr/>
      </w:pPr>
      <w:r>
        <w:rPr/>
        <w:t>- Estudos baseados em digitalização 3D com amostras adultas amplas, desde que disponibilizem estatísticas por dimensão e não apenas exemplos individuais.</w:t>
      </w:r>
    </w:p>
    <w:p>
      <w:pPr>
        <w:pStyle w:val="Heading3"/>
        <w:rPr/>
      </w:pPr>
      <w:r>
        <w:rPr/>
      </w:r>
    </w:p>
    <w:p>
      <w:pPr>
        <w:pStyle w:val="Heading3"/>
        <w:rPr/>
      </w:pPr>
      <w:r>
        <w:rPr/>
        <w:t>A.10.3.3 Pertinência direta para o tema da tese</w:t>
      </w:r>
    </w:p>
    <w:p>
      <w:pPr>
        <w:pStyle w:val="Normal"/>
        <w:rPr/>
      </w:pPr>
      <w:r>
        <w:rP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direta com o problema da personalização protésica.</w:t>
      </w:r>
    </w:p>
    <w:sectPr>
      <w:footnotePr>
        <w:numFmt w:val="decimal"/>
      </w:footnotePr>
      <w:type w:val="nextPage"/>
      <w:pgSz w:w="11906" w:h="16838"/>
      <w:pgMar w:left="1440" w:right="1440" w:gutter="0" w:header="0" w:top="1440" w:footer="0" w:bottom="144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6-30T18:08:33Z" w:initials="">
    <w:p>
      <w:pPr>
        <w:overflowPunct w:val="true"/>
        <w:bidi w:val="0"/>
        <w:rPr/>
      </w:pPr>
      <w:r>
        <w:annotationRef/>
      </w:r>
      <w:r>
        <w:rPr>
          <w:lang w:val="pt-PT"/>
        </w:rPr>
        <w:t xml:space="preserve"> material/prosthetics-design/A review of technology, materials and R&amp;D challenges of upper limb prosthesis for improved user suitability.pdf</w:t>
      </w:r>
    </w:p>
    <w:p>
      <w:pPr>
        <w:overflowPunct w:val="true"/>
        <w:bidi w:val="0"/>
        <w:rPr/>
      </w:pPr>
      <w:r>
        <w:rPr>
          <w:lang w:val="pt-PT"/>
        </w:rPr>
      </w:r>
    </w:p>
    <w:p>
      <w:pPr>
        <w:overflowPunct w:val="true"/>
        <w:bidi w:val="0"/>
        <w:rPr/>
      </w:pPr>
      <w:r>
        <w:rPr>
          <w:lang w:val="pt-PT"/>
        </w:rPr>
        <w:t xml:space="preserve">  Ela sustenta a classificação assim: Brack e Amalu classificam a tecnologia de próteses de membro superior em próteses passivas, ativas e híbridas; depois</w:t>
      </w:r>
    </w:p>
    <w:p>
      <w:pPr>
        <w:overflowPunct w:val="true"/>
        <w:bidi w:val="0"/>
        <w:rPr/>
      </w:pPr>
      <w:r>
        <w:rPr>
          <w:lang w:val="pt-PT"/>
        </w:rPr>
        <w:t xml:space="preserve">  subdividem as ativas em acionadas pelo corpo e mioelétricas. Também definem as híbridas como combinação de componentes acionados pelo corpo e mioelétricos.</w:t>
      </w:r>
    </w:p>
    <w:p>
      <w:pPr>
        <w:overflowPunct w:val="true"/>
        <w:bidi w:val="0"/>
        <w:rPr/>
      </w:pPr>
      <w:r>
        <w:rPr>
          <w:lang w:val="pt-PT"/>
        </w:rPr>
      </w:r>
    </w:p>
    <w:p>
      <w:pPr>
        <w:overflowPunct w:val="true"/>
        <w:bidi w:val="0"/>
        <w:rPr/>
      </w:pPr>
      <w:r>
        <w:rPr>
          <w:lang w:val="pt-PT"/>
        </w:rPr>
        <w:t xml:space="preserve">  Posso citar a frase como:</w:t>
      </w:r>
    </w:p>
    <w:p>
      <w:pPr>
        <w:overflowPunct w:val="true"/>
        <w:bidi w:val="0"/>
        <w:rPr/>
      </w:pPr>
      <w:r>
        <w:rPr>
          <w:lang w:val="pt-PT"/>
        </w:rPr>
      </w:r>
    </w:p>
    <w:p>
      <w:pPr>
        <w:overflowPunct w:val="true"/>
        <w:bidi w:val="0"/>
        <w:rPr/>
      </w:pPr>
      <w:r>
        <w:rPr>
          <w:lang w:val="pt-PT"/>
        </w:rPr>
        <w:t xml:space="preserve">  &gt; As próteses de membro superior podem ser classificadas de acordo com a fonte de energia e o mecanismo de controlo, distinguindo-se próteses passivas, acionadas</w:t>
      </w:r>
    </w:p>
    <w:p>
      <w:pPr>
        <w:overflowPunct w:val="true"/>
        <w:bidi w:val="0"/>
        <w:rPr/>
      </w:pPr>
      <w:r>
        <w:rPr>
          <w:lang w:val="pt-PT"/>
        </w:rPr>
        <w:t xml:space="preserve">  &gt; pelo corpo, mioelétricas e híbridas (Brack &amp; Amalu, 2021).</w:t>
      </w:r>
    </w:p>
    <w:p>
      <w:pPr>
        <w:overflowPunct w:val="true"/>
        <w:bidi w:val="0"/>
        <w:rPr/>
      </w:pPr>
      <w:r>
        <w:rPr>
          <w:lang w:val="pt-PT"/>
        </w:rPr>
      </w:r>
    </w:p>
    <w:p>
      <w:pPr>
        <w:overflowPunct w:val="true"/>
        <w:bidi w:val="0"/>
        <w:rPr/>
      </w:pPr>
      <w:r>
        <w:rPr>
          <w:lang w:val="pt-PT"/>
        </w:rPr>
        <w:t xml:space="preserve">  Entrada APA 7:</w:t>
      </w:r>
    </w:p>
    <w:p>
      <w:pPr>
        <w:overflowPunct w:val="true"/>
        <w:bidi w:val="0"/>
        <w:rPr/>
      </w:pPr>
      <w:r>
        <w:rPr>
          <w:lang w:val="pt-PT"/>
        </w:rPr>
      </w:r>
    </w:p>
    <w:p>
      <w:pPr>
        <w:overflowPunct w:val="true"/>
        <w:bidi w:val="0"/>
        <w:rPr/>
      </w:pPr>
      <w:r>
        <w:rPr>
          <w:lang w:val="pt-PT"/>
        </w:rPr>
        <w:t xml:space="preserve">  Brack, R., &amp; Amalu, E. H. (2021). A review of technology, materials and R&amp;D challenges of upper limb prosthesis for improved user suitability. Journal of</w:t>
      </w:r>
    </w:p>
    <w:p>
      <w:pPr>
        <w:overflowPunct w:val="true"/>
        <w:bidi w:val="0"/>
        <w:rPr/>
      </w:pPr>
      <w:r>
        <w:rPr>
          <w:lang w:val="pt-PT"/>
        </w:rPr>
        <w:t xml:space="preserve">  Orthopaedics, 23, 88–96. https://doi.org/10.1016/j.jor.2020.12.009</w:t>
      </w:r>
    </w:p>
    <w:p>
      <w:pPr>
        <w:overflowPunct w:val="true"/>
        <w:bidi w:val="0"/>
        <w:rPr/>
      </w:pPr>
      <w:r>
        <w:rPr>
          <w:lang w:val="pt-PT"/>
        </w:rPr>
      </w:r>
    </w:p>
  </w:comment>
  <w:comment w:id="1" w:author="Unknown Author" w:date="2026-06-30T20:08:54Z" w:initials="">
    <w:p>
      <w:pPr>
        <w:overflowPunct w:val="true"/>
        <w:bidi w:val="0"/>
        <w:rPr/>
      </w:pPr>
      <w:r>
        <w:annotationRef/>
      </w:r>
      <w:r>
        <w:rPr>
          <w:lang w:val="pt-PT"/>
        </w:rPr>
        <w:t>Meter a norma na bibliografia</w:t>
      </w:r>
    </w:p>
  </w:comment>
  <w:comment w:id="2" w:author="Unknown Author" w:date="2026-06-30T20:17:49Z" w:initials="">
    <w:p>
      <w:pPr>
        <w:overflowPunct w:val="true"/>
        <w:bidi w:val="0"/>
        <w:rPr/>
      </w:pPr>
      <w:r>
        <w:annotationRef/>
      </w:r>
      <w:r>
        <w:rPr>
          <w:lang w:val="pt-PT"/>
        </w:rPr>
        <w:t>Quem diz?</w:t>
      </w:r>
    </w:p>
    <w:p>
      <w:pPr>
        <w:overflowPunct w:val="true"/>
        <w:bidi w:val="0"/>
        <w:rPr/>
      </w:pPr>
      <w:r>
        <w:rPr>
          <w:lang w:val="pt-PT"/>
        </w:rPr>
      </w:r>
    </w:p>
    <w:p>
      <w:pPr>
        <w:overflowPunct w:val="true"/>
        <w:bidi w:val="0"/>
        <w:rPr/>
      </w:pPr>
      <w:r>
        <w:rPr>
          <w:lang w:val="pt-PT"/>
        </w:rPr>
        <w:t xml:space="preserve"> Privitera, M. (2017). Designing industrial design in the highly regulated medical device development process: Defining our valuable contribution towards</w:t>
      </w:r>
    </w:p>
    <w:p>
      <w:pPr>
        <w:overflowPunct w:val="true"/>
        <w:bidi w:val="0"/>
        <w:rPr/>
      </w:pPr>
      <w:r>
        <w:rPr>
          <w:lang w:val="pt-PT"/>
        </w:rPr>
        <w:t xml:space="preserve">  usability. The Design Journal, 20(sup1), S2190–S2206. https://doi.org/10.1080/14606925.2017.1352735</w:t>
      </w:r>
    </w:p>
    <w:p>
      <w:pPr>
        <w:overflowPunct w:val="true"/>
        <w:bidi w:val="0"/>
        <w:rPr/>
      </w:pPr>
      <w:r>
        <w:rPr>
          <w:lang w:val="pt-PT"/>
        </w:rPr>
      </w:r>
    </w:p>
    <w:p>
      <w:pPr>
        <w:overflowPunct w:val="true"/>
        <w:bidi w:val="0"/>
        <w:rPr/>
      </w:pPr>
      <w:r>
        <w:rPr>
          <w:lang w:val="pt-PT"/>
        </w:rPr>
        <w:t xml:space="preserve">  Oldfrey, B. M., et al. (2024). A scoping review of digital fabrication techniques applied to prosthetics and orthotics: Part 1 of 2: Prosthetics. Prosthetics and</w:t>
      </w:r>
    </w:p>
    <w:p>
      <w:pPr>
        <w:overflowPunct w:val="true"/>
        <w:bidi w:val="0"/>
        <w:rPr/>
      </w:pPr>
      <w:r>
        <w:rPr>
          <w:lang w:val="pt-PT"/>
        </w:rPr>
        <w:t xml:space="preserve">  Orthotics International, 48, 574–589. https://doi.org/10.1097/PXR.0000000000000351</w:t>
      </w:r>
    </w:p>
    <w:p>
      <w:pPr>
        <w:overflowPunct w:val="true"/>
        <w:bidi w:val="0"/>
        <w:rPr/>
      </w:pPr>
      <w:r>
        <w:rPr>
          <w:lang w:val="pt-PT"/>
        </w:rPr>
      </w:r>
    </w:p>
    <w:p>
      <w:pPr>
        <w:overflowPunct w:val="true"/>
        <w:bidi w:val="0"/>
        <w:rPr/>
      </w:pPr>
      <w:r>
        <w:rPr>
          <w:lang w:val="pt-PT"/>
        </w:rPr>
        <w:t xml:space="preserve">  Mc Guinness, E., Patel, D., Patrick, M., &amp; Austin, V. (2025). Outcomes of assistive technology use by sex and gender: A scoping review. Disability and</w:t>
      </w:r>
    </w:p>
    <w:p>
      <w:pPr>
        <w:overflowPunct w:val="true"/>
        <w:bidi w:val="0"/>
        <w:rPr/>
      </w:pPr>
      <w:r>
        <w:rPr>
          <w:lang w:val="pt-PT"/>
        </w:rPr>
        <w:t xml:space="preserve">  Rehabilitation: Assistive Technology, 20(8), 2666–2690. https://doi.org/10.1080/17483107.2025.2516615</w:t>
      </w:r>
    </w:p>
    <w:p>
      <w:pPr>
        <w:overflowPunct w:val="true"/>
        <w:bidi w:val="0"/>
        <w:rPr/>
      </w:pPr>
      <w:r>
        <w:rPr>
          <w:lang w:val="pt-PT"/>
        </w:rPr>
      </w:r>
    </w:p>
  </w:comment>
  <w:comment w:id="3" w:author="Unknown Author" w:date="2026-07-01T19:07:33Z" w:initials="">
    <w:p>
      <w:pPr>
        <w:overflowPunct w:val="false"/>
        <w:bidi w:val="0"/>
        <w:rPr/>
      </w:pPr>
      <w:r>
        <w:annotationRef/>
      </w:r>
      <w:r>
        <w:rPr>
          <w:lang w:val="pt-PT"/>
        </w:rPr>
        <w:t>Precisas de definir o meta design</w:t>
      </w:r>
    </w:p>
  </w:comment>
  <w:comment w:id="4" w:author="Unknown Author" w:date="2026-07-01T19:08:06Z" w:initials="">
    <w:p>
      <w:pPr>
        <w:overflowPunct w:val="false"/>
        <w:bidi w:val="0"/>
        <w:rPr/>
      </w:pPr>
      <w:r>
        <w:annotationRef/>
      </w:r>
      <w:r>
        <w:rPr>
          <w:lang w:val="pt-PT"/>
        </w:rPr>
        <w:t>Tens que desenvolver isto pare perceber seisto faz sentido de estar aqui ou se cortamos</w:t>
      </w:r>
    </w:p>
  </w:comment>
  <w:comment w:id="5" w:author="Unknown Author" w:date="2026-07-01T20:43:47Z" w:initials="">
    <w:p>
      <w:pPr>
        <w:overflowPunct w:val="false"/>
        <w:bidi w:val="0"/>
        <w:rPr/>
      </w:pPr>
      <w:r>
        <w:annotationRef/>
      </w:r>
      <w:r>
        <w:rPr>
          <w:lang w:val="pt-PT"/>
        </w:rPr>
        <w:t>É a primeira vez que estás a falar sobre isto. É preciso referir e explicar algures antes deste ponto o que é a Vitoria Hand Project e Já agora a E-Nabled</w:t>
      </w:r>
    </w:p>
    <w:p>
      <w:pPr>
        <w:overflowPunct w:val="false"/>
        <w:bidi w:val="0"/>
        <w:rPr/>
      </w:pPr>
      <w:r>
        <w:rPr>
          <w:lang w:val="pt-PT"/>
        </w:rPr>
      </w:r>
    </w:p>
    <w:p>
      <w:pPr>
        <w:overflowPunct w:val="false"/>
        <w:bidi w:val="0"/>
        <w:rPr/>
      </w:pPr>
      <w:r>
        <w:rPr>
          <w:lang w:val="pt-PT"/>
        </w:rPr>
        <w:t>Aqui temos que introduzir um screenshot do sistema do victoria hand no f3s</w:t>
      </w:r>
    </w:p>
  </w:comment>
  <w:comment w:id="6" w:author="Unknown Author" w:date="2026-07-02T17:25:21Z" w:initials="">
    <w:p>
      <w:pPr>
        <w:overflowPunct w:val="false"/>
        <w:bidi w:val="0"/>
        <w:rPr/>
      </w:pPr>
      <w:r>
        <w:annotationRef/>
      </w:r>
      <w:r>
        <w:rPr>
          <w:lang w:val="pt-PT"/>
        </w:rPr>
        <w:t>Podemos adicionar aquele gráfico todo bonito que fizeste antes.</w:t>
      </w:r>
    </w:p>
  </w:comment>
  <w:comment w:id="7" w:author="Unknown Author" w:date="2026-07-02T17:57:37Z" w:initials="">
    <w:p>
      <w:pPr>
        <w:overflowPunct w:val="false"/>
        <w:bidi w:val="0"/>
        <w:rPr/>
      </w:pPr>
      <w:r>
        <w:annotationRef/>
      </w:r>
      <w:r>
        <w:rPr>
          <w:lang w:val="pt-PT"/>
        </w:rPr>
        <w:t>Aqui é que podemos meter o nosso gráfico bonitolas</w:t>
      </w:r>
    </w:p>
  </w:comment>
  <w:comment w:id="8" w:author="Unknown Author" w:date="2026-07-02T18:05:03Z" w:initials="">
    <w:p>
      <w:pPr>
        <w:overflowPunct w:val="false"/>
        <w:bidi w:val="0"/>
        <w:rPr/>
      </w:pPr>
      <w:r>
        <w:annotationRef/>
      </w:r>
      <w:r>
        <w:rPr>
          <w:lang w:val="pt-PT"/>
        </w:rPr>
        <w:t>Falo disto? Acho que não faço em PLA e PETG</w:t>
      </w:r>
    </w:p>
  </w:comment>
  <w:comment w:id="9" w:author="Unknown Author" w:date="2026-07-03T19:16:18Z" w:initials="">
    <w:p>
      <w:pPr>
        <w:overflowPunct w:val="true"/>
        <w:rPr/>
      </w:pPr>
      <w:r>
        <w:annotationRef/>
      </w:r>
      <w:r>
        <w:rPr>
          <w:lang w:val="pt-PT"/>
        </w:rPr>
        <w:t>Isto é a primeira vez que estás a falar do Openscad</w:t>
      </w:r>
    </w:p>
  </w:comment>
  <w:comment w:id="10" w:author="Unknown Author" w:date="2026-07-03T19:16:31Z" w:initials="">
    <w:p>
      <w:pPr>
        <w:overflowPunct w:val="true"/>
        <w:rPr/>
      </w:pPr>
      <w:r>
        <w:annotationRef/>
      </w:r>
      <w:r>
        <w:rPr>
          <w:lang w:val="pt-PT"/>
        </w:rPr>
        <w:t>É preciso dizer o que é STL e 3MF</w:t>
      </w:r>
    </w:p>
  </w:comment>
  <w:comment w:id="11" w:author="Unknown Author" w:date="2026-07-03T13:45:05Z" w:initials="">
    <w:p>
      <w:pPr>
        <w:overflowPunct w:val="false"/>
        <w:bidi w:val="0"/>
        <w:rPr/>
      </w:pPr>
      <w:r>
        <w:annotationRef/>
      </w:r>
      <w:r>
        <w:rPr>
          <w:lang w:val="pt-PT"/>
        </w:rPr>
        <w:t>Estás a entrar em modo repetição outra vez.</w:t>
      </w:r>
    </w:p>
  </w:comment>
  <w:comment w:id="12" w:author="Unknown Author" w:date="2026-07-04T13:26:12Z" w:initials="">
    <w:p>
      <w:pPr>
        <w:overflowPunct w:val="true"/>
        <w:rPr/>
      </w:pPr>
      <w:r>
        <w:annotationRef/>
      </w:r>
      <w:r>
        <w:rPr>
          <w:lang w:val="pt-PT"/>
        </w:rPr>
        <w:t>Começas aqui a falar do modelo gerado mas é a primeira vez que abordas isso. Tens que contextualizar.</w:t>
      </w:r>
    </w:p>
  </w:comment>
  <w:comment w:id="13" w:author="Unknown Author" w:date="2026-07-04T13:27:11Z" w:initials="">
    <w:p>
      <w:pPr>
        <w:overflowPunct w:val="true"/>
        <w:rPr/>
      </w:pPr>
      <w:r>
        <w:annotationRef/>
      </w:r>
      <w:r>
        <w:rPr>
          <w:lang w:val="pt-PT"/>
        </w:rPr>
        <w:t>Meter aqui umas imagens!</w:t>
      </w:r>
    </w:p>
  </w:comment>
  <w:comment w:id="14" w:author="Unknown Author" w:date="2026-07-04T15:20:50Z" w:initials="">
    <w:p>
      <w:pPr>
        <w:overflowPunct w:val="true"/>
        <w:rPr/>
      </w:pPr>
      <w:r>
        <w:annotationRef/>
      </w:r>
      <w:r>
        <w:rPr>
          <w:lang w:val="pt-PT"/>
        </w:rPr>
        <w:t>Vamos meter aqui uma imagem</w:t>
      </w:r>
    </w:p>
  </w:comment>
  <w:comment w:id="15" w:author="Unknown Author" w:date="2026-07-04T18:35:39Z" w:initials="">
    <w:p>
      <w:pPr>
        <w:overflowPunct w:val="true"/>
        <w:rPr/>
      </w:pPr>
      <w:r>
        <w:annotationRef/>
      </w:r>
      <w:r>
        <w:rPr>
          <w:lang w:val="pt-PT"/>
        </w:rPr>
        <w:t>Não te esqueças de adicionar ao indice estas siglas.</w:t>
      </w:r>
    </w:p>
  </w:comment>
  <w:comment w:id="16" w:author="Unknown Author" w:date="2026-07-05T12:17:34Z" w:initials="">
    <w:p>
      <w:pPr>
        <w:overflowPunct w:val="true"/>
        <w:rPr/>
      </w:pPr>
      <w:r>
        <w:annotationRef/>
      </w:r>
      <w:r>
        <w:rPr>
          <w:lang w:val="pt-PT"/>
        </w:rPr>
        <w:t>negação</w:t>
      </w:r>
    </w:p>
  </w:comment>
  <w:comment w:id="17" w:author="Unknown Author" w:date="2026-07-04T18:49:44Z" w:initials="">
    <w:p>
      <w:pPr>
        <w:overflowPunct w:val="true"/>
        <w:bidi w:val="0"/>
        <w:spacing w:before="0" w:after="0"/>
        <w:jc w:val="left"/>
        <w:rPr/>
      </w:pPr>
      <w:r>
        <w:annotationRef/>
      </w:r>
      <w:r>
        <w:rPr>
          <w:rFonts w:eastAsia="Noto Serif CJK SC" w:cs="Calibri" w:ascii="Calibri" w:hAnsi="Calibri"/>
          <w:color w:val="auto"/>
          <w:kern w:val="0"/>
          <w:sz w:val="22"/>
          <w:szCs w:val="22"/>
          <w:lang w:val="pt-PT" w:eastAsia="zh-CN" w:bidi="en-US"/>
        </w:rPr>
        <w:t>¹ Entende-se por proxy seguro uma camada intermédia de comunicação que permite ao servidor gerir os pedidos enviados a serviços externos, protegendo credenciais sensíveis, controlando o acesso e reduzindo a exposição direta da aplicação a sistemas externos.</w:t>
      </w:r>
    </w:p>
    <w:p>
      <w:pPr>
        <w:overflowPunct w:val="true"/>
        <w:bidi w:val="0"/>
        <w:spacing w:before="0" w:after="0"/>
        <w:jc w:val="left"/>
        <w:rPr/>
      </w:pPr>
      <w:r>
        <w:rPr>
          <w:lang w:val="pt-PT"/>
        </w:rPr>
      </w:r>
    </w:p>
    <w:p>
      <w:pPr>
        <w:overflowPunct w:val="true"/>
        <w:bidi w:val="0"/>
        <w:spacing w:before="0" w:after="0"/>
        <w:jc w:val="left"/>
        <w:rPr/>
      </w:pPr>
      <w:r>
        <w:rPr>
          <w:rFonts w:eastAsia="Noto Serif CJK SC" w:cs="Calibri" w:ascii="Calibri" w:hAnsi="Calibri"/>
          <w:color w:val="auto"/>
          <w:kern w:val="0"/>
          <w:sz w:val="22"/>
          <w:szCs w:val="22"/>
          <w:lang w:val="pt-PT" w:eastAsia="zh-CN" w:bidi="en-US"/>
        </w:rPr>
        <w:t>Já escrevemos proxy antes.</w:t>
      </w:r>
    </w:p>
  </w:comment>
  <w:comment w:id="18" w:author="Unknown Author" w:date="2026-07-04T18:51:43Z" w:initials="">
    <w:p>
      <w:pPr>
        <w:overflowPunct w:val="true"/>
        <w:rPr/>
      </w:pPr>
      <w:r>
        <w:annotationRef/>
      </w:r>
      <w:r>
        <w:rPr>
          <w:lang w:val="pt-PT"/>
        </w:rPr>
        <w:t>Faz sentido integrar uma parte sobre a E-nable e os modelos deles.</w:t>
      </w:r>
    </w:p>
  </w:comment>
  <w:comment w:id="19" w:author="Unknown Author" w:date="2026-07-04T18:53:29Z" w:initials="">
    <w:p>
      <w:pPr>
        <w:overflowPunct w:val="true"/>
        <w:rPr/>
      </w:pPr>
      <w:r>
        <w:annotationRef/>
      </w:r>
      <w:r>
        <w:rPr>
          <w:lang w:val="pt-PT"/>
        </w:rPr>
        <w:t>Parametros de hardware</w:t>
      </w:r>
    </w:p>
  </w:comment>
  <w:comment w:id="20" w:author="Unknown Author" w:date="2026-07-04T19:12:30Z" w:initials="">
    <w:p>
      <w:pPr>
        <w:overflowPunct w:val="true"/>
        <w:rPr/>
      </w:pPr>
      <w:r>
        <w:annotationRef/>
      </w:r>
      <w:r>
        <w:rPr>
          <w:lang w:val="pt-PT"/>
        </w:rPr>
        <w:t>Adicionar ao indice</w:t>
      </w:r>
    </w:p>
  </w:comment>
  <w:comment w:id="21" w:author="Unknown Author" w:date="2026-07-04T21:37:44Z" w:initials="">
    <w:p>
      <w:pPr>
        <w:overflowPunct w:val="true"/>
        <w:rPr/>
      </w:pPr>
      <w:r>
        <w:annotationRef/>
      </w:r>
      <w:r>
        <w:rPr>
          <w:lang w:val="pt-PT"/>
        </w:rPr>
        <w:t>Isto está no indice? Vai lá ver</w:t>
      </w:r>
    </w:p>
  </w:comment>
  <w:comment w:id="22" w:author="Unknown Author" w:date="2026-07-05T12:22:53Z" w:initials="">
    <w:p>
      <w:pPr>
        <w:overflowPunct w:val="true"/>
        <w:rPr/>
      </w:pPr>
      <w:r>
        <w:annotationRef/>
      </w:r>
      <w:r>
        <w:rPr>
          <w:lang w:val="pt-PT"/>
        </w:rPr>
        <w:t>Não esquecer de meter no índice</w:t>
      </w:r>
    </w:p>
  </w:comment>
  <w:comment w:id="23" w:author="Unknown Author" w:date="2026-07-05T12:26:47Z" w:initials="">
    <w:p>
      <w:pPr>
        <w:overflowPunct w:val="true"/>
        <w:rPr/>
      </w:pPr>
      <w:r>
        <w:annotationRef/>
      </w:r>
      <w:r>
        <w:rPr>
          <w:lang w:val="pt-PT"/>
        </w:rPr>
        <w:t>Adicionar uma nota a explicar e adicionar no indice a sigla</w:t>
      </w:r>
    </w:p>
  </w:comment>
  <w:comment w:id="24" w:author="Unknown Author" w:date="2026-07-05T14:28:24Z" w:initials="">
    <w:p>
      <w:pPr>
        <w:overflowPunct w:val="false"/>
        <w:rPr/>
      </w:pPr>
      <w:r>
        <w:annotationRef/>
      </w:r>
      <w:r>
        <w:rPr>
          <w:lang w:val="pt-PT"/>
        </w:rPr>
        <w:t>Isto é uma repetição</w:t>
      </w:r>
    </w:p>
  </w:comment>
  <w:comment w:id="25" w:author="Unknown Author" w:date="2026-07-05T14:29:31Z" w:initials="">
    <w:p>
      <w:pPr>
        <w:overflowPunct w:val="false"/>
        <w:rPr/>
      </w:pPr>
      <w:r>
        <w:annotationRef/>
      </w:r>
      <w:r>
        <w:rPr>
          <w:lang w:val="pt-PT"/>
        </w:rPr>
        <w:t>Inserir notas de rodapé</w:t>
      </w:r>
    </w:p>
  </w:comment>
  <w:comment w:id="26" w:author="Unknown Author" w:date="2026-07-05T15:25:09Z" w:initials="">
    <w:p>
      <w:pPr>
        <w:overflowPunct w:val="false"/>
        <w:rPr/>
      </w:pPr>
      <w:r>
        <w:annotationRef/>
      </w:r>
      <w:r>
        <w:rPr>
          <w:lang w:val="pt-PT"/>
        </w:rPr>
        <w:t>Inserir um comentário</w:t>
      </w:r>
    </w:p>
  </w:comment>
  <w:comment w:id="27" w:author="Unknown Author" w:date="2026-07-05T16:14:55Z" w:initials="">
    <w:p>
      <w:pPr>
        <w:overflowPunct w:val="false"/>
        <w:rPr/>
      </w:pPr>
      <w:r>
        <w:annotationRef/>
      </w:r>
      <w:r>
        <w:rPr>
          <w:lang w:val="pt-PT"/>
        </w:rPr>
        <w:t>Se calhar introduzir uma tabela com os prompts</w:t>
      </w:r>
    </w:p>
  </w:comment>
  <w:comment w:id="28" w:author="Unknown Author" w:date="2026-07-05T17:43:41Z" w:initials="">
    <w:p>
      <w:pPr>
        <w:overflowPunct w:val="true"/>
        <w:rPr/>
      </w:pPr>
      <w:r>
        <w:annotationRef/>
      </w:r>
      <w:r>
        <w:rPr>
          <w:lang w:val="pt-PT"/>
        </w:rPr>
        <w:t>Introduzir aqui uma tabela com valores</w:t>
      </w:r>
    </w:p>
  </w:comment>
  <w:comment w:id="29" w:author="Unknown Author" w:date="2026-07-05T19:22:29Z" w:initials="">
    <w:p>
      <w:pPr>
        <w:overflowPunct w:val="true"/>
        <w:rPr/>
      </w:pPr>
      <w:r>
        <w:annotationRef/>
      </w:r>
      <w:r>
        <w:rPr>
          <w:lang w:val="pt-PT"/>
        </w:rPr>
        <w:t>indice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 xml:space="preserve"> </w:t>
      </w:r>
      <w:r>
        <w:rPr/>
        <w:t>Propriocepção designa a perceção corporal da posição, movimento e esforço dos segmentos do corpo. Em próteses acionadas pelo corpo, o feedback proprioceptivo indireto decorre da tensão transmitida pelo sistema de cabos e arnês, ajudando o utilizador a interpretar o comportamento do dispositivo.</w:t>
      </w:r>
    </w:p>
  </w:footnote>
  <w:footnote w:id="3">
    <w:p>
      <w:pPr>
        <w:pStyle w:val="FootnoteText"/>
        <w:rPr/>
      </w:pPr>
      <w:r>
        <w:rPr>
          <w:rStyle w:val="FootnoteCharacters"/>
        </w:rPr>
        <w:footnoteRef/>
      </w:r>
      <w:r>
        <w:rPr/>
      </w:r>
    </w:p>
  </w:footnote>
  <w:footnote w:id="4">
    <w:p>
      <w:pPr>
        <w:pStyle w:val="FootnoteText"/>
        <w:rPr/>
      </w:pPr>
      <w:r>
        <w:rPr>
          <w:rStyle w:val="FootnoteCharacters"/>
        </w:rPr>
        <w:footnoteRef/>
      </w:r>
      <w:r>
        <w:rPr/>
        <w:t xml:space="preserve"> </w:t>
      </w:r>
      <w:r>
        <w:rPr/>
        <w:t>PRISMA corresponde a Preferred Reporting Items for Systematic Reviews and Meta Analyses, um conjunto de orientações para a elaboração e apresentação transparente de revisões sistemáticas e meta-análises.</w:t>
      </w:r>
    </w:p>
  </w:footnote>
  <w:footnote w:id="5">
    <w:p>
      <w:pPr>
        <w:pStyle w:val="FootnoteText"/>
        <w:rPr/>
      </w:pPr>
      <w:r>
        <w:rPr>
          <w:rStyle w:val="FootnoteCharacters"/>
        </w:rPr>
        <w:footnoteRef/>
      </w:r>
      <w:r>
        <w:rPr/>
        <w:t xml:space="preserve"> </w:t>
      </w:r>
      <w:r>
        <w:rPr/>
        <w:t xml:space="preserve">Por </w:t>
      </w:r>
      <w:r>
        <w:rPr>
          <w:rStyle w:val="Emphasis"/>
        </w:rPr>
        <w:t>seed design</w:t>
      </w:r>
      <w:r>
        <w:rPr/>
        <w:t xml:space="preserve"> entende-se um modelo inicial de projeto concebido como base reutilizável para a geração de variantes. Em sistemas paramétricos, este modelo preserva uma estrutura formal e construtiva estável, mas permite ajustamentos controlados através da alteração de parâmetros previamente definidos, funcionando como ponto de partida para processos de personalização ou customização.</w:t>
      </w:r>
    </w:p>
  </w:footnote>
  <w:footnote w:id="6">
    <w:p>
      <w:pPr>
        <w:pStyle w:val="FootnoteText"/>
        <w:rPr/>
      </w:pPr>
      <w:r>
        <w:rPr>
          <w:rStyle w:val="FootnoteCharacters"/>
        </w:rPr>
        <w:footnoteRef/>
      </w:r>
      <w:r>
        <w:rPr/>
        <w:t xml:space="preserve"> </w:t>
      </w:r>
      <w:r>
        <w:rPr>
          <w:rStyle w:val="Emphasi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7">
    <w:p>
      <w:pPr>
        <w:pStyle w:val="FootnoteText"/>
        <w:rPr/>
      </w:pPr>
      <w:r>
        <w:rPr>
          <w:rStyle w:val="FootnoteCharacters"/>
        </w:rPr>
        <w:footnoteRef/>
      </w:r>
      <w:r>
        <w:rPr/>
        <w:t xml:space="preserve"> </w:t>
      </w:r>
      <w:r>
        <w:rPr/>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8">
    <w:p>
      <w:pPr>
        <w:pStyle w:val="FootnoteText"/>
        <w:rPr/>
      </w:pPr>
      <w:r>
        <w:rPr>
          <w:rStyle w:val="FootnoteCharacters"/>
        </w:rPr>
        <w:footnoteRef/>
      </w:r>
      <w:r>
        <w:rPr/>
        <w:t xml:space="preserve"> </w:t>
      </w:r>
      <w:r>
        <w:rPr/>
        <w:t>A modelação estatística de forma consiste na análise de variações geométricas entre diferentes anatomias, permitindo identificar padrões recorrentes e estimar formas prováveis a partir de dados incompletos ou parciais.</w:t>
      </w:r>
    </w:p>
  </w:footnote>
  <w:footnote w:id="9">
    <w:p>
      <w:pPr>
        <w:pStyle w:val="FootnoteText"/>
        <w:rPr/>
      </w:pPr>
      <w:r>
        <w:rPr>
          <w:rStyle w:val="FootnoteCharacters"/>
        </w:rPr>
        <w:footnoteRef/>
      </w:r>
      <w:r>
        <w:rPr/>
        <w:t xml:space="preserve"> </w:t>
      </w:r>
      <w:r>
        <w:rPr/>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10">
    <w:p>
      <w:pPr>
        <w:pStyle w:val="FootnoteText"/>
        <w:rPr/>
      </w:pPr>
      <w:r>
        <w:rPr>
          <w:rStyle w:val="FootnoteCharacters"/>
        </w:rPr>
        <w:footnoteRef/>
      </w:r>
      <w:r>
        <w:rPr/>
        <w:t xml:space="preserve"> </w:t>
      </w:r>
      <w:r>
        <w:rPr/>
        <w:t>Redes neuronais artificiais são modelos computacionais compostos por camadas de unidades interligadas, que ajustam os seus parâmetros internos durante o treino para identificar padrões nos dados.</w:t>
      </w:r>
    </w:p>
  </w:footnote>
  <w:footnote w:id="11">
    <w:p>
      <w:pPr>
        <w:pStyle w:val="FootnoteText"/>
        <w:rPr/>
      </w:pPr>
      <w:r>
        <w:rPr>
          <w:rStyle w:val="FootnoteCharacters"/>
        </w:rPr>
        <w:footnoteRef/>
      </w:r>
      <w:r>
        <w:rPr/>
        <w:t xml:space="preserve"> </w:t>
      </w:r>
      <w:r>
        <w:rPr/>
        <w:t xml:space="preserve">Em sistemas de IA generativa, um </w:t>
      </w:r>
      <w:r>
        <w:rPr>
          <w:rStyle w:val="Emphasi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12">
    <w:p>
      <w:pPr>
        <w:pStyle w:val="FootnoteText"/>
        <w:rPr/>
      </w:pPr>
      <w:r>
        <w:rPr>
          <w:rStyle w:val="FootnoteCharacters"/>
        </w:rPr>
        <w:footnoteRef/>
      </w:r>
      <w:r>
        <w:rPr/>
        <w:t xml:space="preserve"> </w:t>
      </w:r>
      <w:r>
        <w:rPr/>
        <w:t xml:space="preserve">Um </w:t>
      </w:r>
      <w:r>
        <w:rPr>
          <w:rStyle w:val="Emphasi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3">
    <w:p>
      <w:pPr>
        <w:pStyle w:val="FootnoteText"/>
        <w:rPr/>
      </w:pPr>
      <w:r>
        <w:rPr>
          <w:rStyle w:val="FootnoteCharacters"/>
        </w:rPr>
        <w:footnoteRef/>
      </w:r>
      <w:r>
        <w:rPr/>
        <w:t xml:space="preserve"> </w:t>
      </w:r>
      <w:r>
        <w:rPr/>
        <w:t xml:space="preserve">O </w:t>
      </w:r>
      <w:r>
        <w:rPr>
          <w:rStyle w:val="Emphasi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sz w:val="22"/>
        <w:lang w:val="pt-PT"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Calibri" w:hAnsi="Calibri" w:eastAsia="Noto Serif CJK SC" w:cs="Noto Sans Devanagari"/>
      <w:color w:val="auto"/>
      <w:kern w:val="0"/>
      <w:sz w:val="22"/>
      <w:szCs w:val="20"/>
      <w:lang w:val="en-US" w:eastAsia="zh-CN" w:bidi="hi-IN"/>
    </w:rPr>
  </w:style>
  <w:style w:type="paragraph" w:styleId="Heading1">
    <w:name w:val="heading 1"/>
    <w:basedOn w:val="Normal"/>
    <w:uiPriority w:val="9"/>
    <w:qFormat/>
    <w:pPr/>
    <w:rPr>
      <w:b/>
      <w:sz w:val="32"/>
    </w:rPr>
  </w:style>
  <w:style w:type="paragraph" w:styleId="Heading2">
    <w:name w:val="heading 2"/>
    <w:basedOn w:val="Normal"/>
    <w:uiPriority w:val="9"/>
    <w:qFormat/>
    <w:pPr/>
    <w:rPr>
      <w:b/>
      <w:sz w:val="28"/>
    </w:rPr>
  </w:style>
  <w:style w:type="paragraph" w:styleId="Heading3">
    <w:name w:val="heading 3"/>
    <w:basedOn w:val="Normal"/>
    <w:uiPriority w:val="9"/>
    <w:qFormat/>
    <w:pPr/>
    <w:rPr>
      <w:b/>
      <w:sz w:val="24"/>
    </w:rPr>
  </w:style>
  <w:style w:type="character" w:styleId="Hyperlink">
    <w:name w:val="Hyperlink"/>
    <w:rPr>
      <w:color w:val="000080"/>
      <w:u w:val="single"/>
    </w:rPr>
  </w:style>
  <w:style w:type="character" w:styleId="NumberingSymbols">
    <w:name w:val="Numbering Symbols"/>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mphasis">
    <w:name w:val="Emphasis"/>
    <w:qFormat/>
    <w:rPr>
      <w:i/>
      <w:iCs/>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Bullet">
    <w:name w:val="List Bullet"/>
    <w:basedOn w:val="Normal"/>
    <w:pPr>
      <w:ind w:hanging="360" w:left="720"/>
    </w:pPr>
    <w:rPr/>
  </w:style>
  <w:style w:type="paragraph" w:styleId="ListNumber">
    <w:name w:val="List Number"/>
    <w:basedOn w:val="Normal"/>
    <w:pPr>
      <w:ind w:hanging="360" w:left="720"/>
    </w:pPr>
    <w:rPr/>
  </w:style>
  <w:style w:type="paragraph" w:styleId="Quote">
    <w:name w:val="Quote"/>
    <w:basedOn w:val="Normal"/>
    <w:qFormat/>
    <w:pPr>
      <w:ind w:left="720" w:right="720"/>
    </w:pPr>
    <w:rPr>
      <w:i/>
      <w:color w:val="555555"/>
    </w:rPr>
  </w:style>
  <w:style w:type="paragraph" w:styleId="CodeBlock">
    <w:name w:val="Code Block"/>
    <w:basedOn w:val="Normal"/>
    <w:qFormat/>
    <w:pPr>
      <w:spacing w:before="120" w:after="120"/>
      <w:ind w:left="360" w:right="360"/>
    </w:pPr>
    <w:rPr>
      <w:rFonts w:ascii="Consolas" w:hAnsi="Consolas"/>
      <w:sz w:val="20"/>
    </w:rPr>
  </w:style>
  <w:style w:type="paragraph" w:styleId="Comment">
    <w:name w:val="Comment"/>
    <w:basedOn w:val="Normal"/>
    <w:qFormat/>
    <w:pPr>
      <w:spacing w:lineRule="auto" w:line="240" w:before="56" w:after="0"/>
      <w:ind w:hanging="0" w:left="57" w:right="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doi.org/10.1080/17483100701714733" TargetMode="External"/><Relationship Id="rId6" Type="http://schemas.openxmlformats.org/officeDocument/2006/relationships/hyperlink" Target="https://doi.org/10.1080/14606925.2024.2420152" TargetMode="External"/><Relationship Id="rId7" Type="http://schemas.openxmlformats.org/officeDocument/2006/relationships/image" Target="media/image4.png"/><Relationship Id="rId8" Type="http://schemas.openxmlformats.org/officeDocument/2006/relationships/hyperlink" Target="https://www.mdpi.com/2673-1592/7/2/26/pdf?version=1740996517" TargetMode="External"/><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s://www.semanticscholar.org/paper/305d55af5fda06b4d1b33e7d29c1f16d1b7ea488" TargetMode="External"/><Relationship Id="rId14" Type="http://schemas.openxmlformats.org/officeDocument/2006/relationships/hyperlink" Target="https://www.semanticscholar.org/paper/305d55af5fda06b4d1b33e7d29c1f16d1b7ea488" TargetMode="External"/><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https://doi.org/10.1109/BioRob60516.2024.10719909" TargetMode="External"/><Relationship Id="rId20" Type="http://schemas.openxmlformats.org/officeDocument/2006/relationships/image" Target="media/image13.png"/><Relationship Id="rId21" Type="http://schemas.openxmlformats.org/officeDocument/2006/relationships/hyperlink" Target="https://doi.org/10.1115/DETC2018-85645" TargetMode="External"/><Relationship Id="rId22" Type="http://schemas.openxmlformats.org/officeDocument/2006/relationships/image" Target="media/image14.png"/><Relationship Id="rId23" Type="http://schemas.openxmlformats.org/officeDocument/2006/relationships/hyperlink" Target="https://doi.org/10.1109/BioRob60516.2024.10719909" TargetMode="External"/><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hyperlink" Target="https://doi.org/10.1088/1742-6596/2198/1/012040" TargetMode="External"/><Relationship Id="rId27" Type="http://schemas.openxmlformats.org/officeDocument/2006/relationships/image" Target="media/image17.png"/><Relationship Id="rId28" Type="http://schemas.openxmlformats.org/officeDocument/2006/relationships/hyperlink" Target="https://doi.org/10.1080/17483107.2025.2483953" TargetMode="External"/><Relationship Id="rId29" Type="http://schemas.openxmlformats.org/officeDocument/2006/relationships/image" Target="media/image18.png"/><Relationship Id="rId30" Type="http://schemas.openxmlformats.org/officeDocument/2006/relationships/hyperlink" Target="https://doi.org/10.1016/j.inffus.2019.12.012" TargetMode="External"/><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footnotes" Target="footnotes.xml"/><Relationship Id="rId34" Type="http://schemas.openxmlformats.org/officeDocument/2006/relationships/comments" Target="comments.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4081</TotalTime>
  <Application>LibreOffice/26.2.4.2$Linux_X86_64 LibreOffice_project/3346a99e6b841765b75a9b29714a5b95c6761ce3</Application>
  <AppVersion>15.0000</AppVersion>
  <Pages>131</Pages>
  <Words>46959</Words>
  <Characters>296872</Characters>
  <CharactersWithSpaces>342610</CharactersWithSpaces>
  <Paragraphs>1360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2026-07-01T15:26:09Z</dcterms:created>
  <dc:creator>Codex Markdown Exporter</dc:creator>
  <dc:description/>
  <dc:language>en-US</dc:language>
  <cp:lastModifiedBy/>
  <dcterms:modified xsi:type="dcterms:W3CDTF">2026-07-07T21:15:27Z</dcterms:modified>
  <cp:revision>87</cp:revision>
  <dc:subject/>
  <dc:title>projecto-completo</dc:title>
</cp:coreProperties>
</file>

<file path=docProps/custom.xml><?xml version="1.0" encoding="utf-8"?>
<Properties xmlns="http://schemas.openxmlformats.org/officeDocument/2006/custom-properties" xmlns:vt="http://schemas.openxmlformats.org/officeDocument/2006/docPropsVTypes"/>
</file>