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documento:0.4.22</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pPr>
      <w:r>
        <w:t xml:space="preserve">Resumo</w:t>
      </w:r>
    </w:p>
    <w:p>
      <w:pPr>
        <w:pStyle w:val="Normal"/>
      </w:pPr>
      <w:r>
        <w:t xml:space="preserve">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 As peças foram preparadas no PrusaSlicer 2.9.6 e no Bambu Studio e materializadas em PLA e PETG em impressoras FDM. Os resultados mostram que a combinação entre regras paramétricas explícitas, apoio de IA e verificação material pode tornar o processo de personalização mais rastreável 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Normal"/>
      </w:pPr>
      <w:r>
        <w:t xml:space="preserve">Palavras-chave: design industrial; próteses de membro superior; design paramétrico; inteligência artificial; impressão 3D; dados antropométricos; fabrico digital.</w:t>
      </w:r>
    </w:p>
    <w:p>
      <w:pPr>
        <w:pStyle w:val="Heading2"/>
      </w:pPr>
      <w:r>
        <w:t xml:space="preserve">Abstract</w:t>
      </w:r>
    </w:p>
    <w:p>
      <w:pPr>
        <w:pStyle w:val="Normal"/>
      </w:pPr>
      <w:r>
        <w:t xml:space="preserve">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parts were prepared in PrusaSlicer 2.9.6 and Bambu Studio and materialised in PLA and PETG using FDM printers.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Normal"/>
      </w:pPr>
      <w:r>
        <w:t xml:space="preserve">Keywords: industrial design; upper-limb prostheses; parametric design; artificial intelligence; 3D printing; anthropometric data; digital fabrication.</w:t>
      </w:r>
    </w:p>
    <w:p>
      <w:pPr>
        <w:pStyle w:val="Normal"/>
      </w:pPr>
      <w:r>
        <w:t xml:space="preserve"/>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0" w:type="auto"/>
          </w:tcPr>
          <w:p>
            <w:pPr/>
            <w:r>
              <w:t>Tabela 6.1</w:t>
            </w:r>
          </w:p>
        </w:tc>
        <w:tc>
          <w:tcPr>
            <w:tcW w:w="0" w:type="auto"/>
          </w:tcPr>
          <w:p>
            <w:pPr/>
            <w:r>
              <w:t>Especificação técnica dos modelos de IA e do contrato de sugestão paramétrica</w:t>
            </w:r>
          </w:p>
        </w:tc>
        <w:tc>
          <w:tcPr>
            <w:tcW w:w="0" w:type="auto"/>
          </w:tcPr>
          <w:p>
            <w:pPr/>
            <w:r>
              <w:t>87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0" w:type="auto"/>
          </w:tcPr>
          <w:p>
            <w:pPr/>
            <w: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0" w:type="auto"/>
          </w:tcPr>
          <w:p>
            <w:pPr/>
            <w:r>
              <w:t>104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0" w:type="auto"/>
          </w:tcPr>
          <w:p>
            <w:pPr/>
            <w:r>
              <w:t>105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0" w:type="auto"/>
          </w:tcPr>
          <w:p>
            <w:pPr/>
            <w:r>
              <w:t>105</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100</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4963160" cy="3408045"/>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40"/>
                    <ns3:stretch>
                      <ns3:fillRect/>
                    </ns3:stretch>
                  </ns4:blipFill>
                  <ns4:spPr bwMode="auto">
                    <ns3:xfrm>
                      <ns3:off x="0" y="0"/>
                      <ns3:ext cx="4963160" cy="340804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 xml:space="preserve">Figura 1.1 — Exemplos de próteses  </w:t>
      </w:r>
      <w:r>
        <w:rPr>
          <w:lang w:val="pt-PT"/>
        </w:rPr>
        <w:t xml:space="preserve">produzidas por </w:t>
      </w:r>
      <w:r>
        <w:rPr>
          <w:lang w:val="pt-PT"/>
        </w:rPr>
        <w:t>fabricação aditiva.</w:t>
      </w:r>
    </w:p>
    <w:p>
      <w:pPr>
        <w:pStyle w:val="Normal"/>
        <w:bidi w:val="0"/>
        <w:jc w:val="left"/>
        <w:rPr>
          <w:lang w:val="pt-PT"/>
        </w:rPr>
      </w:pPr>
      <w:r>
        <w:rPr>
          <w:lang w:val="pt-PT"/>
        </w:rPr>
        <w:t>Fonte: elaboração própria.</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1"/>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w:t>
      </w:r>
    </w:p>
    <w:p>
      <w:pPr>
        <w:pStyle w:val="Normal"/>
        <w:bidi w:val="0"/>
        <w:jc w:val="left"/>
        <w:rPr/>
      </w:pPr>
      <w:r>
        <w:rPr>
          <w:lang w:val="pt-PT"/>
        </w:rPr>
        <w:t>Adaptado de</w:t>
      </w:r>
      <w:r>
        <w:rPr>
          <w:lang w:val="pt-PT"/>
        </w:rPr>
        <w:t xml:space="preserve">: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4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personalização em massa (mass customization) e personalização individualizada em escala (mass personalization), reduzindo custos marginais ao dispensar moldes e dispositivos específicos de fabrico.[^12] (Lei et al., 2016 (#ref-lei-2016); Stralen, 2018 (#ref-stralen-2018)).</w:t>
      </w:r>
      <w:r>
        <w:rPr>
          <w:i/>
          <w:iCs/>
          <w:lang w:val="pt-PT"/>
        </w:rPr>
        <w:t/>
      </w:r>
      <w:r>
        <w:rPr>
          <w:lang w:val="pt-PT"/>
        </w:rPr>
        <w:t/>
      </w:r>
      <w:r>
        <w:rPr>
          <w:rStyle w:val="FootnoteReference"/>
          <w:lang w:val="pt-PT"/>
        </w:rPr>
        <w:footnoteReference w:id="6"/>
      </w:r>
      <w:r>
        <w:rPr>
          <w:lang w:val="pt-PT"/>
        </w:rPr>
        <w:t xml:space="preserve"/>
      </w:r>
      <w:r>
        <w:rPr/>
        <w:t/>
      </w:r>
      <w:r>
        <w:rPr>
          <w:rStyle w:val="Emphasis"/>
        </w:rPr>
        <w:t/>
      </w:r>
      <w:r>
        <w:rPr/>
        <w:t/>
      </w:r>
      <w:r>
        <w:rPr>
          <w:rStyle w:val="Emphasis"/>
        </w:rPr>
        <w:t/>
      </w:r>
      <w:r>
        <w:rPr/>
        <w:t/>
      </w:r>
      <w:r>
        <w:rPr>
          <w:lang w:val="pt-PT"/>
        </w:rPr>
        <w:t xml:space="preserve"/>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43"/>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44"/>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4"/>
      </w:r>
      <w:r>
        <w:br w:type="page"/>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 xml:space="preserve">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 xml:space="preserve">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45"/>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r>
    </w:p>
    <w:p>
      <w:pPr>
        <w:pStyle w:val="Normal"/>
        <w:bidi w:val="0"/>
        <w:jc w:val="left"/>
        <w:rPr>
          <w:lang w:val="pt-PT"/>
        </w:rPr>
      </w:pPr>
      <w:r>
        <w:drawing>
          <ns2:anchor distT="0" distB="0" distL="0" distR="0" simplePos="0" relativeHeight="22" behindDoc="0" locked="0" layoutInCell="0" allowOverlap="1">
            <ns2:simplePos x="0" y="0"/>
            <ns2:positionH relativeFrom="column">
              <ns2:align>center</ns2:align>
            </ns2:positionH>
            <ns2:positionV relativeFrom="paragraph">
              <ns2:posOffset>635</ns2:posOffset>
            </ns2:positionV>
            <ns2:extent cx="5731510" cy="3234055"/>
            <ns2:effectExtent l="0" t="0" r="0" b="0"/>
            <ns2:wrapSquare wrapText="largest"/>
            <ns2:docPr id="16" name="Image21"/>
            <ns2:cNvGraphicFramePr>
              <ns3:graphicFrameLocks noChangeAspect="1"/>
            </ns2:cNvGraphicFramePr>
            <ns3:graphic>
              <ns3:graphicData uri="http://schemas.openxmlformats.org/drawingml/2006/picture">
                <ns4:pic>
                  <ns4:nvPicPr>
                    <ns4:cNvPr id="16" name="Image21"/>
                    <ns4:cNvPicPr>
                      <ns3:picLocks noChangeAspect="1" noChangeArrowheads="1"/>
                    </ns4:cNvPicPr>
                  </ns4:nvPicPr>
                  <ns4:blipFill>
                    <ns3:blip ns5:embed="rId46"/>
                    <ns3:stretch>
                      <ns3:fillRect/>
                    </ns3:stretch>
                  </ns4:blipFill>
                  <ns4:spPr bwMode="auto">
                    <ns3:xfrm>
                      <ns3:off x="0" y="0"/>
                      <ns3:ext cx="5731510" cy="3234055"/>
                    </ns3:xfrm>
                    <ns3:prstGeom prst="rect">
                      <ns3:avLst/>
                    </ns3:prstGeom>
                    <ns3:noFill/>
                  </ns4:spPr>
                </ns4:pic>
              </ns3:graphicData>
            </ns3:graphic>
          </ns2:anchor>
        </w:drawing>
      </w:r>
      <w:r>
        <w:rPr>
          <w:lang w:val="pt-PT"/>
        </w:rPr>
        <w:t>Figura 5.</w:t>
      </w:r>
      <w:r>
        <w:rPr>
          <w:lang w:val="pt-PT"/>
        </w:rPr>
        <w:t>2</w:t>
      </w:r>
      <w:r>
        <w:rPr>
          <w:lang w:val="pt-PT"/>
        </w:rPr>
        <w:t xml:space="preserve"> — </w:t>
      </w:r>
      <w:r>
        <w:rPr>
          <w:lang w:val="pt-PT"/>
        </w:rPr>
        <w:t>Painel de configuração do perfil de utilizador na plataforma</w:t>
      </w:r>
      <w:r>
        <w:rPr>
          <w:lang w:val="pt-PT"/>
        </w:rPr>
        <w:t xml:space="preserve"> – Hand Fab</w:t>
      </w:r>
    </w:p>
    <w:p>
      <w:pPr>
        <w:pStyle w:val="Normal"/>
        <w:bidi w:val="0"/>
        <w:jc w:val="left"/>
        <w:rPr>
          <w:lang w:val="pt-PT"/>
        </w:rPr>
      </w:pPr>
      <w:r>
        <w:rPr/>
        <w:t>Produção própria</w:t>
      </w:r>
    </w:p>
    <w:p>
      <w:pPr>
        <w:pStyle w:val="Normal"/>
        <w:bidi w:val="0"/>
        <w:jc w:val="left"/>
        <w:rPr>
          <w:lang w:val="pt-PT"/>
        </w:rPr>
      </w:pPr>
      <w:r>
        <w:rPr>
          <w:lang w:val="pt-PT"/>
        </w:rPr>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7" name="Image 15" descr="Image 15"/>
            <ns2:cNvGraphicFramePr>
              <ns3:graphicFrameLocks noChangeAspect="1"/>
            </ns2:cNvGraphicFramePr>
            <ns3:graphic>
              <ns3:graphicData uri="http://schemas.openxmlformats.org/drawingml/2006/picture">
                <ns4:pic>
                  <ns4:nvPicPr>
                    <ns4:cNvPr id="17" name="Image 15" descr="Image 15"/>
                    <ns4:cNvPicPr>
                      <ns3:picLocks noChangeAspect="1" noChangeArrowheads="1"/>
                    </ns4:cNvPicPr>
                  </ns4:nvPicPr>
                  <ns4:blipFill>
                    <ns3:blip ns5:embed="rId47"/>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w:t>
      </w:r>
      <w:r>
        <w:rPr>
          <w:lang w:val="pt-PT"/>
        </w:rPr>
        <w:t>3</w:t>
      </w:r>
      <w:r>
        <w:rPr>
          <w:lang w:val="pt-PT"/>
        </w:rPr>
        <w:t xml:space="preserve">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7">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3" behindDoc="0" locked="0" layoutInCell="0" allowOverlap="1">
            <ns2:simplePos x="0" y="0"/>
            <ns2:positionH relativeFrom="column">
              <ns2:align>center</ns2:align>
            </ns2:positionH>
            <ns2:positionV relativeFrom="paragraph">
              <ns2:posOffset>635</ns2:posOffset>
            </ns2:positionV>
            <ns2:extent cx="5731510" cy="4450080"/>
            <ns2:effectExtent l="0" t="0" r="0" b="0"/>
            <ns2:wrapSquare wrapText="largest"/>
            <ns2:docPr id="18" name="Image22"/>
            <ns2:cNvGraphicFramePr>
              <ns3:graphicFrameLocks noChangeAspect="1"/>
            </ns2:cNvGraphicFramePr>
            <ns3:graphic>
              <ns3:graphicData uri="http://schemas.openxmlformats.org/drawingml/2006/picture">
                <ns4:pic>
                  <ns4:nvPicPr>
                    <ns4:cNvPr id="18" name="Image22"/>
                    <ns4:cNvPicPr>
                      <ns3:picLocks noChangeAspect="1" noChangeArrowheads="1"/>
                    </ns4:cNvPicPr>
                  </ns4:nvPicPr>
                  <ns4:blipFill>
                    <ns3:blip ns5:embed="rId48"/>
                    <ns3:stretch>
                      <ns3:fillRect/>
                    </ns3:stretch>
                  </ns4:blipFill>
                  <ns4:spPr bwMode="auto">
                    <ns3:xfrm>
                      <ns3:off x="0" y="0"/>
                      <ns3:ext cx="5731510" cy="4450080"/>
                    </ns3:xfrm>
                    <ns3:prstGeom prst="rect">
                      <ns3:avLst/>
                    </ns3:prstGeom>
                    <ns3:noFill/>
                  </ns4:spPr>
                </ns4:pic>
              </ns3:graphicData>
            </ns3:graphic>
          </ns2:anchor>
        </w:drawing>
      </w:r>
    </w:p>
    <w:p>
      <w:pPr>
        <w:pStyle w:val="Normal"/>
        <w:bidi w:val="0"/>
        <w:jc w:val="left"/>
        <w:rPr>
          <w:lang w:val="pt-PT"/>
        </w:rPr>
      </w:pPr>
      <w:r>
        <w:rPr>
          <w:lang w:val="pt-PT"/>
        </w:rPr>
        <w:t>Figura 5.</w:t>
      </w:r>
      <w:r>
        <w:rPr>
          <w:lang w:val="pt-PT"/>
        </w:rPr>
        <w:t>4</w:t>
      </w:r>
      <w:r>
        <w:rPr>
          <w:lang w:val="pt-PT"/>
        </w:rPr>
        <w:t xml:space="preserve"> — </w:t>
      </w:r>
      <w:r>
        <w:rPr>
          <w:lang w:val="pt-PT"/>
        </w:rPr>
        <w:t xml:space="preserve"> Modelo paramétrico através da visualização do código que o compõe, na plataforma Hand Fab.</w:t>
      </w:r>
    </w:p>
    <w:p>
      <w:pPr>
        <w:pStyle w:val="Normal"/>
        <w:bidi w:val="0"/>
        <w:jc w:val="left"/>
        <w:rPr>
          <w:lang w:val="pt-PT"/>
        </w:rPr>
      </w:pPr>
      <w:r>
        <w:rPr/>
        <w:t xml:space="preserve">Fonte original: </w:t>
      </w:r>
      <w:r>
        <w:rPr/>
        <w:t>Produção própria</w:t>
      </w:r>
    </w:p>
    <w:p>
      <w:pPr>
        <w:pStyle w:val="Normal"/>
        <w:bidi w:val="0"/>
        <w:jc w:val="left"/>
        <w:rPr>
          <w:lang w:val="pt-PT"/>
        </w:rPr>
      </w:pPr>
      <w:r>
        <w:rPr>
          <w:lang w:val="pt-PT"/>
        </w:rPr>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r>
    </w:p>
    <w:p>
      <w:pPr>
        <w:pStyle w:val="Normal"/>
        <w:bidi w:val="0"/>
        <w:jc w:val="left"/>
        <w:rPr>
          <w:lang w:val="pt-PT"/>
        </w:rPr>
      </w:pPr>
      <w:r>
        <w:rPr/>
      </w:r>
    </w:p>
    <w:p>
      <w:pPr>
        <w:pStyle w:val="Normal"/>
        <w:bidi w:val="0"/>
        <w:jc w:val="left"/>
        <w:rPr>
          <w:lang w:val="pt-PT"/>
        </w:rPr>
      </w:pPr>
      <w:r>
        <w:rPr/>
        <w:t>Figura 5.</w:t>
      </w:r>
      <w:r>
        <w:rPr/>
        <w:t xml:space="preserve">4 </w:t>
      </w:r>
      <w:r>
        <w:rPr>
          <w:lang w:val="pt-PT"/>
        </w:rPr>
        <w:t>— Ferramentas para edição de modelo paramétrico na plataforma Hand Fab.</w:t>
      </w:r>
    </w:p>
    <w:p>
      <w:pPr>
        <w:pStyle w:val="Normal"/>
        <w:bidi w:val="0"/>
        <w:jc w:val="left"/>
        <w:rPr>
          <w:lang w:val="pt-PT"/>
        </w:rPr>
      </w:pPr>
      <w:r>
        <w:rPr>
          <w:lang w:val="pt-PT"/>
        </w:rPr>
        <w:t>Fonte: Produção própria.</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8"/>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8"/>
      <w:r>
        <w:commentReference w:id="18"/>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9"/>
      <w:r>
        <w:rPr>
          <w:i/>
          <w:iCs/>
          <w:shd w:fill="FFFF00" w:val="clear"/>
          <w:lang w:val="pt-PT"/>
        </w:rPr>
        <w:t>data-driven</w:t>
      </w:r>
      <w:r>
        <w:rPr>
          <w:i/>
          <w:iCs/>
          <w:shd w:fill="FFFF00" w:val="clear"/>
          <w:lang w:val="pt-PT"/>
        </w:rPr>
      </w:r>
      <w:commentRangeEnd w:id="19"/>
      <w:r>
        <w:commentReference w:id="19"/>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efetivamente implementada no protótipo e a sua relação com os modelos paramétricos disponibilizados na plataforma.</w:t>
      </w:r>
    </w:p>
    <w:p>
      <w:pPr/>
      <w:r>
        <w:t>Tabela 6.1 — Especificação técnica dos modelos de IA e do contrato de sugestão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Elemento</w:t>
            </w:r>
          </w:p>
        </w:tc>
        <w:tc>
          <w:tcPr>
            <w:tcW w:w="0" w:type="auto"/>
          </w:tcPr>
          <w:p>
            <w:pPr/>
            <w:r>
              <w:t>Especificação no protótipo</w:t>
            </w:r>
          </w:p>
        </w:tc>
      </w:tr>
      <w:tr>
        <w:tc>
          <w:tcPr>
            <w:tcW w:w="0" w:type="auto"/>
          </w:tcPr>
          <w:p>
            <w:pPr/>
            <w:r>
              <w:t>Função da IA</w:t>
            </w:r>
          </w:p>
        </w:tc>
        <w:tc>
          <w:tcPr>
            <w:tcW w:w="0" w:type="auto"/>
          </w:tcPr>
          <w:p>
            <w:pPr/>
            <w:r>
              <w:t>Sugestão inicial de parâmetros antropométricos e geométricos a partir de descrições em linguagem natural; não gera autonomamente a geometria final nem valida clinicamente a prótese.</w:t>
            </w:r>
          </w:p>
        </w:tc>
      </w:tr>
      <w:tr>
        <w:tc>
          <w:tcPr>
            <w:tcW w:w="0" w:type="auto"/>
          </w:tcPr>
          <w:p>
            <w:pPr/>
            <w:r>
              <w:t>Endpoint de integração</w:t>
            </w:r>
          </w:p>
        </w:tc>
        <w:tc>
          <w:tcPr>
            <w:tcW w:w="0" w:type="auto"/>
          </w:tcPr>
          <w:p>
            <w:pPr/>
            <w:r>
              <w:rPr>
                <w:rFonts w:ascii="Consolas" w:hAnsi="Consolas"/>
              </w:rPr>
              <w:t>POST /api/ai/suggest</w:t>
            </w:r>
            <w:r>
              <w:t>, através de chamada autenticada e limitada por frequência, com as chaves de API mantidas no servidor.</w:t>
            </w:r>
          </w:p>
        </w:tc>
      </w:tr>
      <w:tr>
        <w:tc>
          <w:tcPr>
            <w:tcW w:w="0" w:type="auto"/>
          </w:tcPr>
          <w:p>
            <w:pPr/>
            <w:r>
              <w:t>Fornecedor e modelo usados na validação</w:t>
            </w:r>
          </w:p>
        </w:tc>
        <w:tc>
          <w:tcPr>
            <w:tcW w:w="0" w:type="auto"/>
          </w:tcPr>
          <w:p>
            <w:pPr/>
            <w:r>
              <w:t xml:space="preserve">Anthropic, com o modelo </w:t>
            </w:r>
            <w:r>
              <w:rPr>
                <w:rFonts w:ascii="Consolas" w:hAnsi="Consolas"/>
              </w:rPr>
              <w:t>claude-sonnet-4-6</w:t>
            </w:r>
            <w:r>
              <w:t>, definido como opção predefinida no backend do protótipo.</w:t>
            </w:r>
          </w:p>
        </w:tc>
      </w:tr>
      <w:tr>
        <w:tc>
          <w:tcPr>
            <w:tcW w:w="0" w:type="auto"/>
          </w:tcPr>
          <w:p>
            <w:pPr/>
            <w:r>
              <w:t>Modelo alternativo disponibilizado</w:t>
            </w:r>
          </w:p>
        </w:tc>
        <w:tc>
          <w:tcPr>
            <w:tcW w:w="0" w:type="auto"/>
          </w:tcPr>
          <w:p>
            <w:pPr/>
            <w:r>
              <w:t xml:space="preserve">OpenAI, com o modelo </w:t>
            </w:r>
            <w:r>
              <w:rPr>
                <w:rFonts w:ascii="Consolas" w:hAnsi="Consolas"/>
              </w:rPr>
              <w:t>gpt-4</w:t>
            </w:r>
            <w:r>
              <w:t>, acessível através da mesma rota de sugestão paramétrica.</w:t>
            </w:r>
          </w:p>
        </w:tc>
      </w:tr>
      <w:tr>
        <w:tc>
          <w:tcPr>
            <w:tcW w:w="0" w:type="auto"/>
          </w:tcPr>
          <w:p>
            <w:pPr/>
            <w:r>
              <w:t>Seleção do fornecedor</w:t>
            </w:r>
          </w:p>
        </w:tc>
        <w:tc>
          <w:tcPr>
            <w:tcW w:w="0" w:type="auto"/>
          </w:tcPr>
          <w:p>
            <w:pPr/>
            <w:r>
              <w:t xml:space="preserve">A interface permite escolher entre </w:t>
            </w:r>
            <w:r>
              <w:rPr>
                <w:rFonts w:ascii="Consolas" w:hAnsi="Consolas"/>
              </w:rPr>
              <w:t>Anthropic (Claude)</w:t>
            </w:r>
            <w:r>
              <w:t xml:space="preserve"> e </w:t>
            </w:r>
            <w:r>
              <w:rPr>
                <w:rFonts w:ascii="Consolas" w:hAnsi="Consolas"/>
              </w:rPr>
              <w:t>OpenAI (GPT-4)</w:t>
            </w:r>
            <w:r>
              <w:t xml:space="preserve">; o pedido enviado ao servidor identifica o fornecedor através do campo </w:t>
            </w:r>
            <w:r>
              <w:rPr>
                <w:rFonts w:ascii="Consolas" w:hAnsi="Consolas"/>
              </w:rPr>
              <w:t>provider</w:t>
            </w:r>
            <w:r>
              <w:t>.</w:t>
            </w:r>
          </w:p>
        </w:tc>
      </w:tr>
      <w:tr>
        <w:tc>
          <w:tcPr>
            <w:tcW w:w="0" w:type="auto"/>
          </w:tcPr>
          <w:p>
            <w:pPr/>
            <w:r>
              <w:t>Contrato de resposta</w:t>
            </w:r>
          </w:p>
        </w:tc>
        <w:tc>
          <w:tcPr>
            <w:tcW w:w="0" w:type="auto"/>
          </w:tcPr>
          <w:p>
            <w:pPr/>
            <w:r>
              <w:t>Objeto JSON simples no formato parâmetro-valor; chaves desconhecidas são rejeitadas ou ignoradas e apenas parâmetros pertencentes ao modelo ativo podem ser aplicados.</w:t>
            </w:r>
          </w:p>
        </w:tc>
      </w:tr>
      <w:tr>
        <w:tc>
          <w:tcPr>
            <w:tcW w:w="0" w:type="auto"/>
          </w:tcPr>
          <w:p>
            <w:pPr/>
            <w:r>
              <w:t>Enquadramento dos dados</w:t>
            </w:r>
          </w:p>
        </w:tc>
        <w:tc>
          <w:tcPr>
            <w:tcW w:w="0" w:type="auto"/>
          </w:tcPr>
          <w:p>
            <w:pPr/>
            <w:r>
              <w:t>O pedido inclui o esquema vivo do modelo, limites mínimos e máximos, valores correntes, legendas dos parâmetros e, quando disponível, médias de perfis antropométricos populacionais.</w:t>
            </w:r>
          </w:p>
        </w:tc>
      </w:tr>
      <w:tr>
        <w:tc>
          <w:tcPr>
            <w:tcW w:w="0" w:type="auto"/>
          </w:tcPr>
          <w:p>
            <w:pPr/>
            <w:r>
              <w:t>Modelos CAD parametrizados abrangidos</w:t>
            </w:r>
          </w:p>
        </w:tc>
        <w:tc>
          <w:tcPr>
            <w:tcW w:w="0" w:type="auto"/>
          </w:tcPr>
          <w:p>
            <w:pPr/>
            <w:r>
              <w:t>Flexy Beast, Paraglider Hand e UnLimbited Phoenix, cada um com parâmetros, limites e mecanismos de escala próprios.</w:t>
            </w:r>
          </w:p>
        </w:tc>
      </w:tr>
    </w:tbl>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0"/>
      <w:r>
        <w:rPr>
          <w:i/>
          <w:iCs/>
          <w:lang w:val="pt-PT"/>
        </w:rPr>
        <w:t>human-in-the-loop.</w:t>
      </w:r>
      <w:r>
        <w:rPr>
          <w:i/>
          <w:iCs/>
          <w:lang w:val="pt-PT"/>
        </w:rPr>
      </w:r>
      <w:commentRangeEnd w:id="20"/>
      <w:r>
        <w:commentReference w:id="20"/>
      </w:r>
      <w:r>
        <w:rPr/>
        <w:t xml:space="preserve">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1"/>
      <w:r>
        <w:commentReference w:id="21"/>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2"/>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 xml:space="preserve">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 xml:space="preserve">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pStyle w:val="Normal"/>
        <w:bidi w:val="0"/>
        <w:jc w:val="left"/>
        <w:rPr>
          <w:lang w:val="pt-PT"/>
        </w:rPr>
      </w:pPr>
      <w:r>
        <w:rP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 xml:space="preserve">&lt;a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 xml:space="preserve">&lt;a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 xml:space="preserve">&lt;a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 xml:space="preserve">&lt;a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 xml:space="preserve">&lt;a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 Id="rId40" Type="http://schemas.openxmlformats.org/officeDocument/2006/relationships/image" Target="media/image1.jpeg"/><Relationship Id="rId41" Type="http://schemas.openxmlformats.org/officeDocument/2006/relationships/image" Target="media/image3.jpeg"/><Relationship Id="rId42" Type="http://schemas.openxmlformats.org/officeDocument/2006/relationships/image" Target="media/image4_sync1.png"/><Relationship Id="rId43" Type="http://schemas.openxmlformats.org/officeDocument/2006/relationships/image" Target="media/image9_sync1.png"/><Relationship Id="rId44" Type="http://schemas.openxmlformats.org/officeDocument/2006/relationships/image" Target="media/image10_sync1.png"/><Relationship Id="rId45" Type="http://schemas.openxmlformats.org/officeDocument/2006/relationships/image" Target="media/image12_sync1.png"/><Relationship Id="rId46" Type="http://schemas.openxmlformats.org/officeDocument/2006/relationships/image" Target="media/image16_sync1.png"/><Relationship Id="rId47" Type="http://schemas.openxmlformats.org/officeDocument/2006/relationships/image" Target="media/image17_sync1.png"/><Relationship Id="rId48" Type="http://schemas.openxmlformats.org/officeDocument/2006/relationships/image" Target="media/image18_sync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