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B4910" w14:textId="77777777" w:rsidR="00387183" w:rsidRDefault="00387183"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b/>
          <w:noProof/>
          <w:sz w:val="28"/>
          <w:szCs w:val="28"/>
          <w:lang w:eastAsia="pt-PT"/>
        </w:rPr>
        <w:drawing>
          <wp:anchor distT="0" distB="0" distL="114300" distR="114300" simplePos="0" relativeHeight="251727872" behindDoc="1" locked="0" layoutInCell="1" allowOverlap="1" wp14:anchorId="6BDFB9A2" wp14:editId="00E176D0">
            <wp:simplePos x="0" y="0"/>
            <wp:positionH relativeFrom="margin">
              <wp:align>center</wp:align>
            </wp:positionH>
            <wp:positionV relativeFrom="page">
              <wp:posOffset>-11090</wp:posOffset>
            </wp:positionV>
            <wp:extent cx="7560000" cy="2261453"/>
            <wp:effectExtent l="0" t="0" r="3175" b="571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1668389752"/>
          <w:placeholder>
            <w:docPart w:val="C6C8B396F38742269116E3E95D6BCD1C"/>
          </w:placeholder>
          <w:text/>
        </w:sdtPr>
        <w:sdtEndPr>
          <w:rPr>
            <w:rStyle w:val="Tipodeletrapredefinidodopargrafo"/>
            <w:rFonts w:ascii="Times New Roman" w:hAnsi="Times New Roman" w:cs="Times New Roman"/>
            <w:b w:val="0"/>
            <w:caps w:val="0"/>
            <w:sz w:val="20"/>
            <w:szCs w:val="24"/>
          </w:rPr>
        </w:sdtEndPr>
        <w:sdtContent>
          <w:r>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157039507"/>
        <w:placeholder>
          <w:docPart w:val="B807ABD708884D38B5AE5EE882C026F4"/>
        </w:placeholder>
        <w:text/>
      </w:sdtPr>
      <w:sdtEndPr/>
      <w:sdtContent>
        <w:p w14:paraId="77EEC925" w14:textId="77777777" w:rsidR="00387183" w:rsidRPr="008E43D2" w:rsidRDefault="00387183" w:rsidP="00387183">
          <w:pPr>
            <w:pStyle w:val="Subttulo-Capaefolhaderosto-IPCA"/>
            <w:ind w:left="1843"/>
            <w:rPr>
              <w:b/>
            </w:rPr>
          </w:pPr>
          <w:r>
            <w:t/>
          </w:r>
        </w:p>
      </w:sdtContent>
    </w:sdt>
    <w:p w14:paraId="1EA78495" w14:textId="77777777" w:rsidR="00387183" w:rsidRDefault="00387183" w:rsidP="00387183">
      <w:pPr>
        <w:pStyle w:val="Nomes-e-Data-na-Capa-e-Folha-de-Rosto-IPCA"/>
        <w:tabs>
          <w:tab w:val="clear" w:pos="3740"/>
        </w:tabs>
        <w:ind w:hanging="1843"/>
      </w:pPr>
    </w:p>
    <w:p w14:paraId="1B961096" w14:textId="77777777" w:rsidR="00387183" w:rsidRDefault="00387183" w:rsidP="00387183">
      <w:pPr>
        <w:pStyle w:val="Nomes-e-Data-na-Capa-e-Folha-de-Rosto-IPCA"/>
        <w:tabs>
          <w:tab w:val="clear" w:pos="3740"/>
        </w:tabs>
        <w:ind w:hanging="1843"/>
      </w:pPr>
    </w:p>
    <w:p w14:paraId="670716C4" w14:textId="77777777" w:rsidR="00387183" w:rsidRDefault="00387183" w:rsidP="00387183">
      <w:pPr>
        <w:pStyle w:val="Nomes-e-Data-na-Capa-e-Folha-de-Rosto-IPCA"/>
        <w:tabs>
          <w:tab w:val="clear" w:pos="3740"/>
        </w:tabs>
        <w:ind w:hanging="1843"/>
      </w:pPr>
    </w:p>
    <w:p w14:paraId="160159F6" w14:textId="77777777" w:rsidR="00387183" w:rsidRDefault="00387183" w:rsidP="00387183">
      <w:pPr>
        <w:pStyle w:val="Nomes-e-Data-na-Capa-e-Folha-de-Rosto-IPCA"/>
        <w:tabs>
          <w:tab w:val="clear" w:pos="3740"/>
        </w:tabs>
        <w:ind w:hanging="1843"/>
      </w:pPr>
    </w:p>
    <w:sdt>
      <w:sdtPr>
        <w:alias w:val="nome do mestrando"/>
        <w:tag w:val="nome do mestrando"/>
        <w:id w:val="1946117378"/>
        <w:placeholder>
          <w:docPart w:val="BF4593EC3AAB4B53B4D0FC901A22B352"/>
        </w:placeholder>
        <w:text/>
      </w:sdtPr>
      <w:sdtEndPr/>
      <w:sdtContent>
        <w:p w14:paraId="4CE4F667"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673392851"/>
        <w:lock w:val="contentLocked"/>
        <w:placeholder>
          <w:docPart w:val="1AD481FD11BD4F4F9EE6D521F8FBC13B"/>
        </w:placeholder>
        <w:group/>
      </w:sdtPr>
      <w:sdtEndPr>
        <w:rPr>
          <w:rStyle w:val="Nomes-e-Data-na-Capa-e-Folha-de-Rosto-IPCACarter"/>
          <w:i w:val="0"/>
        </w:rPr>
      </w:sdtEndPr>
      <w:sdtContent>
        <w:p w14:paraId="06CDA490"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263842794"/>
            <w:placeholder>
              <w:docPart w:val="1AD481FD11BD4F4F9EE6D521F8FBC13B"/>
            </w:placeholder>
            <w:text/>
          </w:sdtPr>
          <w:sdtEndPr>
            <w:rPr>
              <w:rStyle w:val="Nomes-e-Data-na-Capa-e-Folha-de-Rosto-IPCACarter"/>
            </w:rPr>
          </w:sdtEndPr>
          <w:sdtContent>
            <w:p w14:paraId="1A2EE54F"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141FB5A2"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805890034"/>
        <w:placeholder>
          <w:docPart w:val="1AD481FD11BD4F4F9EE6D521F8FBC13B"/>
        </w:placeholder>
        <w:text/>
      </w:sdtPr>
      <w:sdtEndPr>
        <w:rPr>
          <w:rStyle w:val="Nomes-e-Data-na-Capa-e-Folha-de-Rosto-IPCACarter"/>
        </w:rPr>
      </w:sdtEndPr>
      <w:sdtContent>
        <w:p w14:paraId="1F87C898"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1822872975"/>
        <w:lock w:val="contentLocked"/>
        <w:placeholder>
          <w:docPart w:val="1AD481FD11BD4F4F9EE6D521F8FBC13B"/>
        </w:placeholder>
        <w:group/>
      </w:sdtPr>
      <w:sdtEndPr/>
      <w:sdtContent>
        <w:p w14:paraId="730EDC79" w14:textId="2DDB54B4" w:rsidR="00387183" w:rsidRPr="00D06664" w:rsidRDefault="00387183" w:rsidP="00387183">
          <w:pPr>
            <w:pStyle w:val="Texto-normal-Capa-e-Folha-de-Rosto-IPCA"/>
            <w:ind w:left="1843"/>
          </w:pPr>
          <w:r>
            <w:t>Projeto apresentado</w:t>
          </w:r>
          <w:r w:rsidRPr="00D06664">
            <w:br/>
            <w:t>ao Instituto Politécnico do Cávado e do Ave</w:t>
          </w:r>
        </w:p>
        <w:p w14:paraId="1C2CF822" w14:textId="3405CE4C"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sidR="003B2550">
                <w:rPr>
                  <w:rStyle w:val="Texto-normal-Capa-e-Folha-de-Rosto-IPCACarter"/>
                </w:rPr>
                <w:t/>
              </w:r>
            </w:sdtContent>
          </w:sdt>
        </w:p>
        <w:p w14:paraId="0437F2AB"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71653414"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1AD481FD11BD4F4F9EE6D521F8FBC13B"/>
        </w:placeholder>
        <w:group/>
      </w:sdtPr>
      <w:sdtEndPr>
        <w:rPr>
          <w:rStyle w:val="Nomes-e-Data-na-Capa-e-Folha-de-Rosto-IPCACarter"/>
          <w:i w:val="0"/>
        </w:rPr>
      </w:sdtEndPr>
      <w:sdtContent>
        <w:p w14:paraId="528BD8AD" w14:textId="77777777" w:rsidR="00387183" w:rsidRDefault="00387183" w:rsidP="00387183">
          <w:pPr>
            <w:pStyle w:val="Texto-normal-Capa-e-Folha-de-Rosto-IPCA"/>
            <w:ind w:left="1843"/>
            <w:rPr>
              <w:i/>
            </w:rPr>
          </w:pPr>
        </w:p>
        <w:p w14:paraId="5A0456F6" w14:textId="77777777" w:rsidR="00387183" w:rsidRDefault="00387183" w:rsidP="00387183">
          <w:pPr>
            <w:pStyle w:val="Texto-normal-Capa-e-Folha-de-Rosto-IPCA"/>
            <w:ind w:left="1843"/>
            <w:rPr>
              <w:i/>
            </w:rPr>
          </w:pPr>
        </w:p>
        <w:sdt>
          <w:sdtPr>
            <w:rPr>
              <w:rStyle w:val="Nomes-e-Data-na-Capa-e-Folha-de-Rosto-IPCACarter"/>
            </w:rPr>
            <w:alias w:val="mês, ano"/>
            <w:tag w:val="mês, ano"/>
            <w:id w:val="99533454"/>
            <w:placeholder>
              <w:docPart w:val="BA20F4F1FD5E4E6DA9525F80E21A818B"/>
            </w:placeholder>
            <w:date>
              <w:dateFormat w:val="MMMM, yyyy"/>
              <w:lid w:val="pt-PT"/>
              <w:storeMappedDataAs w:val="date"/>
              <w:calendar w:val="gregorian"/>
            </w:date>
          </w:sdtPr>
          <w:sdtEndPr>
            <w:rPr>
              <w:rStyle w:val="Nomes-e-Data-na-Capa-e-Folha-de-Rosto-IPCACarter"/>
            </w:rPr>
          </w:sdtEndPr>
          <w:sdtContent>
            <w:p w14:paraId="73890DB4" w14:textId="77777777" w:rsidR="00387183"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2CFF922B" w14:textId="082A48A4" w:rsidR="00B41630" w:rsidRDefault="00B41630" w:rsidP="009B0BAC">
      <w:pPr>
        <w:pStyle w:val="TextoNormal-IPCA"/>
        <w:ind w:firstLine="0"/>
        <w:rPr>
          <w:rFonts w:ascii="Arial" w:hAnsi="Arial" w:cs="Arial"/>
          <w:b/>
          <w:sz w:val="24"/>
        </w:rPr>
      </w:pPr>
    </w:p>
    <w:p w14:paraId="59316EAE" w14:textId="2C4A96B5" w:rsidR="00EB7216" w:rsidRDefault="00EB7216" w:rsidP="009B0BAC">
      <w:pPr>
        <w:pStyle w:val="TextoNormal-IPCA"/>
        <w:ind w:firstLine="0"/>
        <w:rPr>
          <w:rFonts w:ascii="Arial" w:hAnsi="Arial" w:cs="Arial"/>
          <w:b/>
          <w:sz w:val="24"/>
        </w:rPr>
      </w:pPr>
    </w:p>
    <w:p w14:paraId="44846EC0" w14:textId="545BC281" w:rsidR="00EB7216" w:rsidRDefault="00EB7216" w:rsidP="009B0BAC">
      <w:pPr>
        <w:pStyle w:val="TextoNormal-IPCA"/>
        <w:ind w:firstLine="0"/>
        <w:rPr>
          <w:rFonts w:ascii="Arial" w:hAnsi="Arial" w:cs="Arial"/>
          <w:b/>
          <w:sz w:val="24"/>
        </w:rPr>
      </w:pPr>
    </w:p>
    <w:p w14:paraId="58A7887D" w14:textId="77777777" w:rsidR="00EB7216" w:rsidRDefault="00EB7216" w:rsidP="00EB7216">
      <w:pPr>
        <w:tabs>
          <w:tab w:val="left" w:pos="3740"/>
        </w:tabs>
        <w:spacing w:line="240" w:lineRule="auto"/>
        <w:ind w:left="1843" w:firstLine="0"/>
        <w:rPr>
          <w:rStyle w:val="TtulodeCapaefolhaderosto-IPCACarter"/>
        </w:rPr>
      </w:pPr>
      <w:r>
        <w:rPr>
          <w:rStyle w:val="TtulodeCapaefolhaderosto-IPCACarter"/>
        </w:rPr>
        <w:lastRenderedPageBreak/>
        <w:t>(folha em branco)</w:t>
      </w:r>
    </w:p>
    <w:p w14:paraId="2E2C1095" w14:textId="77777777" w:rsidR="00EB7216" w:rsidRDefault="00EB7216" w:rsidP="00EB7216">
      <w:pPr>
        <w:tabs>
          <w:tab w:val="left" w:pos="3740"/>
        </w:tabs>
        <w:spacing w:line="240" w:lineRule="auto"/>
        <w:ind w:left="1843" w:firstLine="0"/>
        <w:rPr>
          <w:rStyle w:val="TtulodeCapaefolhaderosto-IPCACarter"/>
        </w:rPr>
      </w:pPr>
    </w:p>
    <w:p w14:paraId="6B84F08E" w14:textId="77777777" w:rsidR="00EB7216" w:rsidRDefault="00EB7216" w:rsidP="00EB7216">
      <w:pPr>
        <w:tabs>
          <w:tab w:val="left" w:pos="3740"/>
        </w:tabs>
        <w:spacing w:line="240" w:lineRule="auto"/>
        <w:ind w:left="1843" w:firstLine="0"/>
        <w:rPr>
          <w:rStyle w:val="TtulodeCapaefolhaderosto-IPCACarter"/>
        </w:rPr>
      </w:pPr>
    </w:p>
    <w:p w14:paraId="660D5BEA" w14:textId="77777777" w:rsidR="00EB7216" w:rsidRDefault="00EB7216" w:rsidP="00EB7216">
      <w:pPr>
        <w:tabs>
          <w:tab w:val="left" w:pos="3740"/>
        </w:tabs>
        <w:spacing w:line="240" w:lineRule="auto"/>
        <w:ind w:left="1843" w:firstLine="0"/>
        <w:rPr>
          <w:rStyle w:val="TtulodeCapaefolhaderosto-IPCACarter"/>
        </w:rPr>
      </w:pPr>
    </w:p>
    <w:p w14:paraId="298C023E" w14:textId="77777777" w:rsidR="00EB7216" w:rsidRDefault="00EB7216" w:rsidP="00EB7216">
      <w:pPr>
        <w:tabs>
          <w:tab w:val="left" w:pos="3740"/>
        </w:tabs>
        <w:spacing w:line="240" w:lineRule="auto"/>
        <w:ind w:left="1843" w:firstLine="0"/>
        <w:rPr>
          <w:rStyle w:val="TtulodeCapaefolhaderosto-IPCACarter"/>
        </w:rPr>
      </w:pPr>
    </w:p>
    <w:p w14:paraId="5F41B750" w14:textId="772259D7" w:rsidR="00EB7216" w:rsidRDefault="00EB7216" w:rsidP="009B0BAC">
      <w:pPr>
        <w:pStyle w:val="TextoNormal-IPCA"/>
        <w:ind w:firstLine="0"/>
        <w:rPr>
          <w:rFonts w:ascii="Arial" w:hAnsi="Arial" w:cs="Arial"/>
          <w:b/>
          <w:sz w:val="24"/>
        </w:rPr>
      </w:pPr>
    </w:p>
    <w:p w14:paraId="7BDD8EE1" w14:textId="7DBF3EA7" w:rsidR="00EB7216" w:rsidRDefault="00EB7216" w:rsidP="009B0BAC">
      <w:pPr>
        <w:pStyle w:val="TextoNormal-IPCA"/>
        <w:ind w:firstLine="0"/>
        <w:rPr>
          <w:rFonts w:ascii="Arial" w:hAnsi="Arial" w:cs="Arial"/>
          <w:b/>
          <w:sz w:val="24"/>
        </w:rPr>
      </w:pPr>
    </w:p>
    <w:p w14:paraId="2CD382AE" w14:textId="49492A59" w:rsidR="00EB7216" w:rsidRDefault="00EB7216" w:rsidP="009B0BAC">
      <w:pPr>
        <w:pStyle w:val="TextoNormal-IPCA"/>
        <w:ind w:firstLine="0"/>
        <w:rPr>
          <w:rFonts w:ascii="Arial" w:hAnsi="Arial" w:cs="Arial"/>
          <w:b/>
          <w:sz w:val="24"/>
        </w:rPr>
      </w:pPr>
    </w:p>
    <w:p w14:paraId="16EA69B5" w14:textId="0A1E1811" w:rsidR="00EB7216" w:rsidRDefault="00EB7216" w:rsidP="009B0BAC">
      <w:pPr>
        <w:pStyle w:val="TextoNormal-IPCA"/>
        <w:ind w:firstLine="0"/>
        <w:rPr>
          <w:rFonts w:ascii="Arial" w:hAnsi="Arial" w:cs="Arial"/>
          <w:b/>
          <w:sz w:val="24"/>
        </w:rPr>
      </w:pPr>
    </w:p>
    <w:p w14:paraId="3F8DFA93" w14:textId="3E7232E3" w:rsidR="00EB7216" w:rsidRDefault="00EB7216" w:rsidP="009B0BAC">
      <w:pPr>
        <w:pStyle w:val="TextoNormal-IPCA"/>
        <w:ind w:firstLine="0"/>
        <w:rPr>
          <w:rFonts w:ascii="Arial" w:hAnsi="Arial" w:cs="Arial"/>
          <w:b/>
          <w:sz w:val="24"/>
        </w:rPr>
      </w:pPr>
    </w:p>
    <w:p w14:paraId="3E170EF9" w14:textId="15A63E80" w:rsidR="00EB7216" w:rsidRDefault="00EB7216" w:rsidP="009B0BAC">
      <w:pPr>
        <w:pStyle w:val="TextoNormal-IPCA"/>
        <w:ind w:firstLine="0"/>
        <w:rPr>
          <w:rFonts w:ascii="Arial" w:hAnsi="Arial" w:cs="Arial"/>
          <w:b/>
          <w:sz w:val="24"/>
        </w:rPr>
      </w:pPr>
    </w:p>
    <w:p w14:paraId="25B87863" w14:textId="30EF372C" w:rsidR="00EB7216" w:rsidRDefault="00EB7216" w:rsidP="009B0BAC">
      <w:pPr>
        <w:pStyle w:val="TextoNormal-IPCA"/>
        <w:ind w:firstLine="0"/>
        <w:rPr>
          <w:rFonts w:ascii="Arial" w:hAnsi="Arial" w:cs="Arial"/>
          <w:b/>
          <w:sz w:val="24"/>
        </w:rPr>
      </w:pPr>
    </w:p>
    <w:p w14:paraId="64245837" w14:textId="61592FE3" w:rsidR="00EB7216" w:rsidRDefault="00EB7216" w:rsidP="009B0BAC">
      <w:pPr>
        <w:pStyle w:val="TextoNormal-IPCA"/>
        <w:ind w:firstLine="0"/>
        <w:rPr>
          <w:rFonts w:ascii="Arial" w:hAnsi="Arial" w:cs="Arial"/>
          <w:b/>
          <w:sz w:val="24"/>
        </w:rPr>
      </w:pPr>
    </w:p>
    <w:p w14:paraId="358F059C" w14:textId="4AD70BF6" w:rsidR="00EB7216" w:rsidRDefault="00EB7216" w:rsidP="009B0BAC">
      <w:pPr>
        <w:pStyle w:val="TextoNormal-IPCA"/>
        <w:ind w:firstLine="0"/>
        <w:rPr>
          <w:rFonts w:ascii="Arial" w:hAnsi="Arial" w:cs="Arial"/>
          <w:b/>
          <w:sz w:val="24"/>
        </w:rPr>
      </w:pPr>
    </w:p>
    <w:p w14:paraId="36F2B17D" w14:textId="178FC913" w:rsidR="00EB7216" w:rsidRDefault="00EB7216" w:rsidP="009B0BAC">
      <w:pPr>
        <w:pStyle w:val="TextoNormal-IPCA"/>
        <w:ind w:firstLine="0"/>
        <w:rPr>
          <w:rFonts w:ascii="Arial" w:hAnsi="Arial" w:cs="Arial"/>
          <w:b/>
          <w:sz w:val="24"/>
        </w:rPr>
      </w:pPr>
    </w:p>
    <w:p w14:paraId="0221AE61" w14:textId="77777777" w:rsidR="00EB7216" w:rsidRDefault="00EB7216" w:rsidP="009B0BAC">
      <w:pPr>
        <w:pStyle w:val="TextoNormal-IPCA"/>
        <w:ind w:firstLine="0"/>
        <w:rPr>
          <w:rFonts w:ascii="Arial" w:hAnsi="Arial" w:cs="Arial"/>
          <w:b/>
          <w:sz w:val="24"/>
        </w:rPr>
        <w:sectPr w:rsidR="00EB7216" w:rsidSect="00B41630">
          <w:footerReference w:type="default" r:id="rId9"/>
          <w:type w:val="oddPage"/>
          <w:pgSz w:w="11900" w:h="16840"/>
          <w:pgMar w:top="6521" w:right="1843" w:bottom="1985" w:left="1843" w:header="709" w:footer="709" w:gutter="0"/>
          <w:pgNumType w:fmt="upperRoman" w:start="1"/>
          <w:cols w:space="708"/>
          <w:docGrid w:linePitch="360"/>
        </w:sectPr>
      </w:pPr>
    </w:p>
    <w:p w14:paraId="116D30B2" w14:textId="77777777" w:rsidR="00387183" w:rsidRDefault="0040156C"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noProof/>
          <w:sz w:val="24"/>
          <w:lang w:eastAsia="pt-PT"/>
        </w:rPr>
        <w:lastRenderedPageBreak/>
        <w:drawing>
          <wp:anchor distT="0" distB="0" distL="114300" distR="114300" simplePos="0" relativeHeight="251725824" behindDoc="0" locked="0" layoutInCell="1" allowOverlap="1" wp14:anchorId="372F3723" wp14:editId="56F51E14">
            <wp:simplePos x="0" y="0"/>
            <wp:positionH relativeFrom="column">
              <wp:posOffset>-1177290</wp:posOffset>
            </wp:positionH>
            <wp:positionV relativeFrom="paragraph">
              <wp:posOffset>-4145915</wp:posOffset>
            </wp:positionV>
            <wp:extent cx="7559675" cy="2261235"/>
            <wp:effectExtent l="0" t="0" r="3175" b="571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lementos-templates-IPCA-07.png"/>
                    <pic:cNvPicPr/>
                  </pic:nvPicPr>
                  <pic:blipFill>
                    <a:blip r:embed="rId10">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r w:rsidR="00387183">
        <w:rPr>
          <w:rFonts w:ascii="Lucida Sans Unicode" w:hAnsi="Lucida Sans Unicode" w:cs="Lucida Sans Unicode"/>
          <w:b/>
          <w:noProof/>
          <w:sz w:val="28"/>
          <w:szCs w:val="28"/>
          <w:lang w:eastAsia="pt-PT"/>
        </w:rPr>
        <w:drawing>
          <wp:anchor distT="0" distB="0" distL="114300" distR="114300" simplePos="0" relativeHeight="251729920" behindDoc="1" locked="0" layoutInCell="1" allowOverlap="1" wp14:anchorId="10B8E07F" wp14:editId="1F891E9D">
            <wp:simplePos x="0" y="0"/>
            <wp:positionH relativeFrom="margin">
              <wp:align>center</wp:align>
            </wp:positionH>
            <wp:positionV relativeFrom="page">
              <wp:posOffset>-11090</wp:posOffset>
            </wp:positionV>
            <wp:extent cx="7560000" cy="2261453"/>
            <wp:effectExtent l="0" t="0" r="3175" b="571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394633902"/>
          <w:placeholder>
            <w:docPart w:val="75C7DE33533A4905A026ED6DB6B23DCB"/>
          </w:placeholder>
          <w:text/>
        </w:sdtPr>
        <w:sdtEndPr>
          <w:rPr>
            <w:rStyle w:val="Tipodeletrapredefinidodopargrafo"/>
            <w:rFonts w:ascii="Times New Roman" w:hAnsi="Times New Roman" w:cs="Times New Roman"/>
            <w:b w:val="0"/>
            <w:caps w:val="0"/>
            <w:sz w:val="20"/>
            <w:szCs w:val="24"/>
          </w:rPr>
        </w:sdtEndPr>
        <w:sdtContent>
          <w:r w:rsidR="00387183">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201283050"/>
        <w:placeholder>
          <w:docPart w:val="B796957645E64C9F89278F33C30A9096"/>
        </w:placeholder>
        <w:text/>
      </w:sdtPr>
      <w:sdtEndPr/>
      <w:sdtContent>
        <w:p w14:paraId="24F1E50C" w14:textId="77777777" w:rsidR="00387183" w:rsidRPr="008E43D2" w:rsidRDefault="00387183" w:rsidP="00387183">
          <w:pPr>
            <w:pStyle w:val="Subttulo-Capaefolhaderosto-IPCA"/>
            <w:ind w:left="1843"/>
            <w:rPr>
              <w:b/>
            </w:rPr>
          </w:pPr>
          <w:r>
            <w:t/>
          </w:r>
        </w:p>
      </w:sdtContent>
    </w:sdt>
    <w:p w14:paraId="6EECC2AA" w14:textId="77777777" w:rsidR="00387183" w:rsidRDefault="00387183" w:rsidP="00387183">
      <w:pPr>
        <w:pStyle w:val="Nomes-e-Data-na-Capa-e-Folha-de-Rosto-IPCA"/>
        <w:tabs>
          <w:tab w:val="clear" w:pos="3740"/>
        </w:tabs>
        <w:ind w:hanging="1843"/>
      </w:pPr>
    </w:p>
    <w:p w14:paraId="0BF4F4A3" w14:textId="77777777" w:rsidR="00387183" w:rsidRDefault="00387183" w:rsidP="00387183">
      <w:pPr>
        <w:pStyle w:val="Nomes-e-Data-na-Capa-e-Folha-de-Rosto-IPCA"/>
        <w:tabs>
          <w:tab w:val="clear" w:pos="3740"/>
        </w:tabs>
        <w:ind w:hanging="1843"/>
      </w:pPr>
    </w:p>
    <w:p w14:paraId="4F59D4E0" w14:textId="77777777" w:rsidR="00387183" w:rsidRDefault="00387183" w:rsidP="00387183">
      <w:pPr>
        <w:pStyle w:val="Nomes-e-Data-na-Capa-e-Folha-de-Rosto-IPCA"/>
        <w:tabs>
          <w:tab w:val="clear" w:pos="3740"/>
        </w:tabs>
        <w:ind w:hanging="1843"/>
      </w:pPr>
    </w:p>
    <w:p w14:paraId="4448700A" w14:textId="77777777" w:rsidR="00387183" w:rsidRDefault="00387183" w:rsidP="00387183">
      <w:pPr>
        <w:pStyle w:val="Nomes-e-Data-na-Capa-e-Folha-de-Rosto-IPCA"/>
        <w:tabs>
          <w:tab w:val="clear" w:pos="3740"/>
        </w:tabs>
        <w:ind w:hanging="1843"/>
      </w:pPr>
    </w:p>
    <w:sdt>
      <w:sdtPr>
        <w:alias w:val="nome do mestrando"/>
        <w:tag w:val="nome do mestrando"/>
        <w:id w:val="-1501430138"/>
        <w:placeholder>
          <w:docPart w:val="396701218BE84D579494245872309619"/>
        </w:placeholder>
        <w:text/>
      </w:sdtPr>
      <w:sdtEndPr/>
      <w:sdtContent>
        <w:p w14:paraId="29FF013B"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1044829158"/>
        <w:lock w:val="contentLocked"/>
        <w:placeholder>
          <w:docPart w:val="65C82D464226422EB5EF13E482790014"/>
        </w:placeholder>
        <w:group/>
      </w:sdtPr>
      <w:sdtEndPr>
        <w:rPr>
          <w:rStyle w:val="Nomes-e-Data-na-Capa-e-Folha-de-Rosto-IPCACarter"/>
          <w:i w:val="0"/>
        </w:rPr>
      </w:sdtEndPr>
      <w:sdtContent>
        <w:p w14:paraId="36DF06DB"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588577040"/>
            <w:placeholder>
              <w:docPart w:val="65C82D464226422EB5EF13E482790014"/>
            </w:placeholder>
            <w:text/>
          </w:sdtPr>
          <w:sdtEndPr>
            <w:rPr>
              <w:rStyle w:val="Nomes-e-Data-na-Capa-e-Folha-de-Rosto-IPCACarter"/>
            </w:rPr>
          </w:sdtEndPr>
          <w:sdtContent>
            <w:p w14:paraId="2516D1E8"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777F7CA8"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1098752978"/>
        <w:placeholder>
          <w:docPart w:val="65C82D464226422EB5EF13E482790014"/>
        </w:placeholder>
        <w:text/>
      </w:sdtPr>
      <w:sdtEndPr>
        <w:rPr>
          <w:rStyle w:val="Nomes-e-Data-na-Capa-e-Folha-de-Rosto-IPCACarter"/>
        </w:rPr>
      </w:sdtEndPr>
      <w:sdtContent>
        <w:p w14:paraId="70DE2EE4"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46812274"/>
        <w:lock w:val="contentLocked"/>
        <w:placeholder>
          <w:docPart w:val="65C82D464226422EB5EF13E482790014"/>
        </w:placeholder>
        <w:group/>
      </w:sdtPr>
      <w:sdtEndPr/>
      <w:sdtContent>
        <w:p w14:paraId="72629404" w14:textId="6212EEB6" w:rsidR="00387183" w:rsidRPr="00D06664" w:rsidRDefault="00387183" w:rsidP="00387183">
          <w:pPr>
            <w:pStyle w:val="Texto-normal-Capa-e-Folha-de-Rosto-IPCA"/>
            <w:ind w:left="1843"/>
          </w:pPr>
          <w:r>
            <w:t>Projeto apresentado</w:t>
          </w:r>
          <w:r w:rsidRPr="00D06664">
            <w:br/>
            <w:t>ao Instituto Politécnico do Cávado e do Ave</w:t>
          </w:r>
        </w:p>
        <w:p w14:paraId="4AD5478D" w14:textId="77777777"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Pr>
                  <w:rStyle w:val="Texto-normal-Capa-e-Folha-de-Rosto-IPCACarter"/>
                </w:rPr>
                <w:t/>
              </w:r>
            </w:sdtContent>
          </w:sdt>
        </w:p>
        <w:p w14:paraId="7326CDDA"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32B41809"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1538112461"/>
        <w:lock w:val="contentLocked"/>
        <w:placeholder>
          <w:docPart w:val="65C82D464226422EB5EF13E482790014"/>
        </w:placeholder>
        <w:group/>
      </w:sdtPr>
      <w:sdtEndPr>
        <w:rPr>
          <w:rStyle w:val="Nomes-e-Data-na-Capa-e-Folha-de-Rosto-IPCACarter"/>
          <w:i w:val="0"/>
        </w:rPr>
      </w:sdtEndPr>
      <w:sdtContent>
        <w:p w14:paraId="420AE437" w14:textId="77777777" w:rsidR="00387183" w:rsidRDefault="00387183" w:rsidP="00387183">
          <w:pPr>
            <w:pStyle w:val="Texto-normal-Capa-e-Folha-de-Rosto-IPCA"/>
            <w:ind w:left="1843"/>
            <w:rPr>
              <w:i/>
            </w:rPr>
          </w:pPr>
        </w:p>
        <w:p w14:paraId="36E1EEBE" w14:textId="77777777" w:rsidR="00387183" w:rsidRDefault="00387183" w:rsidP="00387183">
          <w:pPr>
            <w:pStyle w:val="Texto-normal-Capa-e-Folha-de-Rosto-IPCA"/>
            <w:ind w:left="1843"/>
            <w:rPr>
              <w:i/>
            </w:rPr>
          </w:pPr>
        </w:p>
        <w:sdt>
          <w:sdtPr>
            <w:rPr>
              <w:rStyle w:val="Nomes-e-Data-na-Capa-e-Folha-de-Rosto-IPCACarter"/>
            </w:rPr>
            <w:alias w:val="mês, ano"/>
            <w:tag w:val="mês, ano"/>
            <w:id w:val="-1437366096"/>
            <w:placeholder>
              <w:docPart w:val="3884FADF6B7A4358B6F537A1918BD45D"/>
            </w:placeholder>
            <w:date>
              <w:dateFormat w:val="MMMM, yyyy"/>
              <w:lid w:val="pt-PT"/>
              <w:storeMappedDataAs w:val="date"/>
              <w:calendar w:val="gregorian"/>
            </w:date>
          </w:sdtPr>
          <w:sdtEndPr>
            <w:rPr>
              <w:rStyle w:val="Nomes-e-Data-na-Capa-e-Folha-de-Rosto-IPCACarter"/>
            </w:rPr>
          </w:sdtEndPr>
          <w:sdtContent>
            <w:p w14:paraId="6B20E605" w14:textId="053C597A" w:rsidR="00B41630"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01E377AC" w14:textId="6F03459E" w:rsidR="0040156C" w:rsidRDefault="0040156C" w:rsidP="007D0882">
      <w:pPr>
        <w:pStyle w:val="TextoNormal-IPCA"/>
        <w:rPr>
          <w:b/>
        </w:rPr>
        <w:sectPr w:rsidR="0040156C" w:rsidSect="00B41630">
          <w:type w:val="oddPage"/>
          <w:pgSz w:w="11900" w:h="16840"/>
          <w:pgMar w:top="6521" w:right="1843" w:bottom="1985" w:left="1843" w:header="709" w:footer="709" w:gutter="0"/>
          <w:pgNumType w:fmt="upperRoman" w:start="1"/>
          <w:cols w:space="708"/>
          <w:docGrid w:linePitch="360"/>
        </w:sectPr>
      </w:pPr>
    </w:p>
    <w:sdt>
      <w:sdtPr>
        <w:rPr>
          <w:rFonts w:ascii="Times New Roman" w:hAnsi="Times New Roman" w:cs="Times New Roman"/>
          <w:b w:val="0"/>
          <w:caps w:val="0"/>
          <w:sz w:val="20"/>
          <w:szCs w:val="24"/>
        </w:rPr>
        <w:id w:val="-171030983"/>
        <w:lock w:val="contentLocked"/>
        <w:placeholder>
          <w:docPart w:val="DefaultPlaceholder_-1854013440"/>
        </w:placeholder>
        <w:group/>
      </w:sdtPr>
      <w:sdtEndPr/>
      <w:sdtContent>
        <w:p w14:paraId="25643124" w14:textId="1AC7B7EC" w:rsidR="00DB107D" w:rsidRPr="00030568" w:rsidRDefault="00DB107D" w:rsidP="004170BC">
          <w:pPr>
            <w:pStyle w:val="TtulodeCapaefolhaderosto-IPCA"/>
          </w:pPr>
          <w:r w:rsidRPr="00030568">
            <w:t>Declaração</w:t>
          </w:r>
        </w:p>
        <w:p w14:paraId="28350CB7" w14:textId="77777777" w:rsidR="00DB107D" w:rsidRPr="00030568" w:rsidRDefault="00DB107D" w:rsidP="00030568">
          <w:pPr>
            <w:pStyle w:val="TextoNormal-IPCA"/>
          </w:pPr>
        </w:p>
        <w:p w14:paraId="1635A28C" w14:textId="4B236ABB" w:rsidR="00DB107D" w:rsidRPr="00030568" w:rsidRDefault="00DB107D" w:rsidP="007D0882">
          <w:pPr>
            <w:pStyle w:val="TextoNormal-IPCA"/>
            <w:ind w:firstLine="0"/>
          </w:pPr>
          <w:r w:rsidRPr="00030568">
            <w:t>Nome: Pedro Miguel Candeias da Silva</w:t>
          </w:r>
          <w:r w:rsidR="00030568" w:rsidRPr="00030568">
            <w:t/>
          </w:r>
          <w:r w:rsidR="006E7F80">
            <w:t xml:space="preserve"/>
          </w:r>
          <w:sdt>
            <w:sdtPr>
              <w:rPr>
                <w:rStyle w:val="TextoNormal-IPCACarter"/>
                <w:color w:val="7F7F7F" w:themeColor="text1" w:themeTint="80"/>
              </w:rPr>
              <w:alias w:val="Nome"/>
              <w:tag w:val="Nome"/>
              <w:id w:val="-567648718"/>
              <w:lock w:val="sdtLocked"/>
              <w:placeholder>
                <w:docPart w:val="F7BC73B9446B47C6AF69187ACFDCE166"/>
              </w:placeholder>
              <w:showingPlcHdr/>
              <w:text w:multiLine="1"/>
            </w:sdtPr>
            <w:sdtEndPr>
              <w:rPr>
                <w:rStyle w:val="Tipodeletrapredefinidodopargrafo"/>
                <w:color w:val="auto"/>
              </w:rPr>
            </w:sdtEndPr>
            <w:sdtContent>
              <w:r w:rsidR="00030568" w:rsidRPr="0072215A">
                <w:rPr>
                  <w:rStyle w:val="TextodoMarcadordePosio"/>
                  <w:color w:val="7F7F7F" w:themeColor="text1" w:themeTint="80"/>
                </w:rPr>
                <w:t/>
              </w:r>
              <w:r w:rsidR="006E7F80" w:rsidRPr="0072215A">
                <w:rPr>
                  <w:rStyle w:val="TextodoMarcadordePosio"/>
                  <w:color w:val="7F7F7F" w:themeColor="text1" w:themeTint="80"/>
                </w:rPr>
                <w:t xml:space="preserve"/>
              </w:r>
            </w:sdtContent>
          </w:sdt>
        </w:p>
      </w:sdtContent>
    </w:sdt>
    <w:p w14:paraId="22A99513" w14:textId="58A7DC21" w:rsidR="00DB107D" w:rsidRPr="00030568" w:rsidRDefault="00DB107D" w:rsidP="007D0882">
      <w:pPr>
        <w:pStyle w:val="TextoNormal-IPCA"/>
        <w:ind w:firstLine="0"/>
      </w:pPr>
      <w:r w:rsidRPr="00030568">
        <w:t>Endereço eletrónico:</w:t>
      </w:r>
      <w:r w:rsidR="006E7F80">
        <w:t xml:space="preserve"/>
      </w:r>
      <w:sdt>
        <w:sdtPr>
          <w:alias w:val="Endereço Eletrónico"/>
          <w:tag w:val="Endereço Eletrónico"/>
          <w:id w:val="62685314"/>
          <w:placeholder>
            <w:docPart w:val="6DF02E02C7024CE29593E466669178CE"/>
          </w:placeholder>
          <w:showingPlcHdr/>
          <w:text w:multiLine="1"/>
        </w:sdtPr>
        <w:sdtEndPr/>
        <w:sdtContent>
          <w:r w:rsidR="00030568" w:rsidRPr="0072215A">
            <w:rPr>
              <w:rStyle w:val="TextodoMarcadordePosio"/>
              <w:color w:val="808080" w:themeColor="background1" w:themeShade="80"/>
            </w:rPr>
            <w:t/>
          </w:r>
          <w:r w:rsidR="006E7F80" w:rsidRPr="0072215A">
            <w:rPr>
              <w:rStyle w:val="TextodoMarcadordePosio"/>
              <w:color w:val="808080" w:themeColor="background1" w:themeShade="80"/>
            </w:rPr>
            <w:t xml:space="preserve"/>
          </w:r>
        </w:sdtContent>
      </w:sdt>
    </w:p>
    <w:sdt>
      <w:sdtPr>
        <w:id w:val="575713978"/>
        <w:lock w:val="contentLocked"/>
        <w:placeholder>
          <w:docPart w:val="DefaultPlaceholder_-1854013440"/>
        </w:placeholder>
        <w:group/>
      </w:sdtPr>
      <w:sdtEndPr/>
      <w:sdtContent>
        <w:p w14:paraId="08CAC2B8" w14:textId="00DECAD6" w:rsidR="00DB107D" w:rsidRPr="00030568" w:rsidRDefault="00DB107D" w:rsidP="007D0882">
          <w:pPr>
            <w:pStyle w:val="TextoNormal-IPCA"/>
            <w:ind w:firstLine="0"/>
          </w:pPr>
          <w:r w:rsidRPr="00030568">
            <w:t xml:space="preserve">Título do Projeto: INTEGRAÇÃO DO DESIGN E DA INTELIGÊNCIA ARTIFICIAL EM PROCESSOS PARAMÉTRICOS PARA O DESENVOLVIMENTO DE PRÓTESES DE MEMBROS SUPERIORES EM IMPRESSÃO 3D.</w:t>
          </w:r>
          <w:r w:rsidR="0068689D">
            <w:t/>
          </w:r>
          <w:r w:rsidR="00EF236D">
            <w:t/>
          </w:r>
          <w:r w:rsidR="006E7F80">
            <w:t/>
          </w:r>
          <w:r w:rsidR="007D0882">
            <w:t xml:space="preserve"/>
          </w:r>
          <w:sdt>
            <w:sdtPr>
              <w:alias w:val="Título do Tema"/>
              <w:tag w:val="Título do Tema"/>
              <w:id w:val="-1766060944"/>
              <w:lock w:val="sdtLocked"/>
              <w:placeholder>
                <w:docPart w:val="F38F014E7F3A461CA54319F883CC43D1"/>
              </w:placeholder>
              <w:showingPlcHdr/>
              <w:text/>
            </w:sdtPr>
            <w:sdtEndPr/>
            <w:sdtContent>
              <w:r w:rsidR="006E7F80" w:rsidRPr="0072215A">
                <w:rPr>
                  <w:rStyle w:val="TextodoMarcadordePosio"/>
                  <w:color w:val="808080" w:themeColor="background1" w:themeShade="80"/>
                </w:rPr>
                <w:t/>
              </w:r>
            </w:sdtContent>
          </w:sdt>
        </w:p>
      </w:sdtContent>
    </w:sdt>
    <w:p w14:paraId="74A1E2A2" w14:textId="7073153E" w:rsidR="0072215A" w:rsidRDefault="0072215A" w:rsidP="007D0882">
      <w:pPr>
        <w:pStyle w:val="TextoNormal-IPCA"/>
        <w:ind w:firstLine="0"/>
      </w:pPr>
      <w:r>
        <w:t>Subtítulo do Projeto:</w:t>
      </w:r>
      <w:r w:rsidR="007D0882">
        <w:t xml:space="preserve"/>
      </w:r>
      <w:r w:rsidR="0068689D">
        <w:rPr>
          <w:rStyle w:val="TextoNormal-IPCACarter"/>
        </w:rPr>
        <w:t/>
      </w:r>
      <w:r w:rsidR="00EF236D">
        <w:rPr>
          <w:rStyle w:val="TextoNormal-IPCACarter"/>
        </w:rPr>
        <w:t/>
      </w:r>
      <w:r w:rsidR="0068689D">
        <w:t/>
      </w:r>
      <w:r w:rsidR="007D0882">
        <w:t xml:space="preserve"/>
      </w:r>
      <w:sdt>
        <w:sdtPr>
          <w:rPr>
            <w:rStyle w:val="TextoNormal-IPCACarter"/>
          </w:rPr>
          <w:alias w:val="subtitulo"/>
          <w:tag w:val="subtitulo"/>
          <w:id w:val="356474509"/>
          <w:placeholder>
            <w:docPart w:val="DefaultPlaceholder_-1854013440"/>
          </w:placeholder>
          <w:text/>
        </w:sdtPr>
        <w:sdtEndPr>
          <w:rPr>
            <w:rStyle w:val="Tipodeletrapredefinidodopargrafo"/>
          </w:rPr>
        </w:sdtEndPr>
        <w:sdtContent>
          <w:r w:rsidR="00243591">
            <w:rPr>
              <w:rStyle w:val="TextodoMarcadordePosio"/>
            </w:rPr>
            <w:t xml:space="preserve"/>
          </w:r>
          <w:r w:rsidR="00243591" w:rsidRPr="00243591">
            <w:rPr>
              <w:rStyle w:val="TextodoMarcadordePosio"/>
              <w:color w:val="808080" w:themeColor="background1" w:themeShade="80"/>
            </w:rPr>
            <w:t/>
          </w:r>
          <w:r w:rsidR="00596D34">
            <w:rPr>
              <w:rStyle w:val="TextodoMarcadordePosio"/>
              <w:color w:val="808080" w:themeColor="background1" w:themeShade="80"/>
            </w:rPr>
            <w:t/>
          </w:r>
          <w:r w:rsidR="00243591" w:rsidRPr="00243591">
            <w:rPr>
              <w:rStyle w:val="TextodoMarcadordePosio"/>
              <w:color w:val="808080" w:themeColor="background1" w:themeShade="80"/>
            </w:rPr>
            <w:t/>
          </w:r>
        </w:sdtContent>
      </w:sdt>
      <w:r>
        <w:t xml:space="preserve"/>
      </w:r>
    </w:p>
    <w:p w14:paraId="4C53BB63" w14:textId="3C1E5FC1" w:rsidR="00DB107D" w:rsidRDefault="00197141" w:rsidP="007D0882">
      <w:pPr>
        <w:pStyle w:val="TextoNormal-IPCA"/>
        <w:ind w:firstLine="0"/>
      </w:pPr>
      <w:sdt>
        <w:sdtPr>
          <w:id w:val="829553701"/>
          <w:lock w:val="contentLocked"/>
          <w:placeholder>
            <w:docPart w:val="DefaultPlaceholder_-1854013440"/>
          </w:placeholder>
          <w:group/>
        </w:sdtPr>
        <w:sdtEndPr/>
        <w:sdtContent>
          <w:r w:rsidR="00DB107D" w:rsidRPr="00D9447A">
            <w:t>Orientador: Demétrio Ferreira Matos</w:t>
          </w:r>
          <w:r w:rsidR="00243591">
            <w:t xml:space="preserve"/>
          </w:r>
          <w:sdt>
            <w:sdtPr>
              <w:rPr>
                <w:rStyle w:val="TextoNormal-IPCACarter"/>
              </w:rPr>
              <w:alias w:val="Orientador"/>
              <w:tag w:val="Orientador"/>
              <w:id w:val="248702369"/>
              <w:lock w:val="sdtLocked"/>
              <w:placeholder>
                <w:docPart w:val="9D8AA2DA197C4CCAA2770152AC6B839E"/>
              </w:placeholder>
              <w:showingPlcHdr/>
              <w:text/>
            </w:sdtPr>
            <w:sdtEndPr>
              <w:rPr>
                <w:rStyle w:val="Tipodeletrapredefinidodopargrafo"/>
              </w:rPr>
            </w:sdtEndPr>
            <w:sdtContent>
              <w:r w:rsidR="00243591" w:rsidRPr="00243591">
                <w:rPr>
                  <w:rStyle w:val="TextodoMarcadordePosio"/>
                  <w:color w:val="808080" w:themeColor="background1" w:themeShade="80"/>
                </w:rPr>
                <w:t/>
              </w:r>
            </w:sdtContent>
          </w:sdt>
        </w:sdtContent>
      </w:sdt>
      <w:r w:rsidR="00DB107D" w:rsidRPr="00030568">
        <w:t xml:space="preserve"/>
      </w:r>
    </w:p>
    <w:p w14:paraId="63601D34" w14:textId="12F3D547" w:rsidR="00243591" w:rsidRPr="00030568" w:rsidRDefault="00243591" w:rsidP="007D0882">
      <w:pPr>
        <w:pStyle w:val="TextoNormal-IPCA"/>
        <w:ind w:firstLine="0"/>
      </w:pPr>
      <w:r>
        <w:t xml:space="preserve">Coorientador:</w:t>
      </w:r>
      <w:sdt>
        <w:sdtPr>
          <w:rPr>
            <w:rStyle w:val="TextoNormal-IPCACarter"/>
          </w:rPr>
          <w:alias w:val="Coorientador"/>
          <w:tag w:val="Coorientador"/>
          <w:id w:val="1892528926"/>
          <w:placeholder>
            <w:docPart w:val="F0D923B61B9443289EF9818057377D92"/>
          </w:placeholder>
          <w:showingPlcHdr/>
          <w:text/>
        </w:sdtPr>
        <w:sdtEndPr>
          <w:rPr>
            <w:rStyle w:val="Tipodeletrapredefinidodopargrafo"/>
          </w:rPr>
        </w:sdtEndPr>
        <w:sdtContent>
          <w:r w:rsidRPr="00243591">
            <w:rPr>
              <w:rStyle w:val="TextodoMarcadordePosio"/>
              <w:color w:val="808080" w:themeColor="background1" w:themeShade="80"/>
            </w:rPr>
            <w:t/>
          </w:r>
          <w:r w:rsidR="00596D34">
            <w:rPr>
              <w:rStyle w:val="TextodoMarcadordePosio"/>
              <w:color w:val="808080" w:themeColor="background1" w:themeShade="80"/>
            </w:rPr>
            <w:t/>
          </w:r>
          <w:r w:rsidRPr="00243591">
            <w:rPr>
              <w:rStyle w:val="TextodoMarcadordePosio"/>
              <w:color w:val="808080" w:themeColor="background1" w:themeShade="80"/>
            </w:rPr>
            <w:t/>
          </w:r>
        </w:sdtContent>
      </w:sdt>
    </w:p>
    <w:sdt>
      <w:sdtPr>
        <w:id w:val="1615395948"/>
        <w:lock w:val="contentLocked"/>
        <w:placeholder>
          <w:docPart w:val="DefaultPlaceholder_-1854013440"/>
        </w:placeholder>
        <w:group/>
      </w:sdtPr>
      <w:sdtEndPr/>
      <w:sdtContent>
        <w:p w14:paraId="4348AC24" w14:textId="3B07AA7D" w:rsidR="00DB107D" w:rsidRPr="00030568" w:rsidRDefault="00DB107D" w:rsidP="007D0882">
          <w:pPr>
            <w:pStyle w:val="TextoNormal-IPCA"/>
            <w:ind w:firstLine="0"/>
          </w:pPr>
          <w:r w:rsidRPr="00030568">
            <w:t xml:space="preserve">Ano de conclusão: julho, 2026</w:t>
          </w:r>
          <w:sdt>
            <w:sdtPr>
              <w:alias w:val="Data"/>
              <w:tag w:val="Data"/>
              <w:id w:val="1495687124"/>
              <w:lock w:val="sdtLocked"/>
              <w:placeholder>
                <w:docPart w:val="7872ECC2E2344039A64BB0E1EC503F3E"/>
              </w:placeholder>
              <w:showingPlcHdr/>
              <w:date>
                <w:dateFormat w:val="MMMM, yyyy"/>
                <w:lid w:val="pt-PT"/>
                <w:storeMappedDataAs w:val="dateTime"/>
                <w:calendar w:val="gregorian"/>
              </w:date>
            </w:sdtPr>
            <w:sdtEndPr/>
            <w:sdtContent>
              <w:r w:rsidR="00243591">
                <w:rPr>
                  <w:rStyle w:val="TextodoMarcadordePosio"/>
                </w:rPr>
                <w:t/>
              </w:r>
            </w:sdtContent>
          </w:sdt>
        </w:p>
      </w:sdtContent>
    </w:sdt>
    <w:sdt>
      <w:sdtPr>
        <w:id w:val="-1301601127"/>
        <w:lock w:val="contentLocked"/>
        <w:placeholder>
          <w:docPart w:val="DefaultPlaceholder_-1854013440"/>
        </w:placeholder>
        <w:group/>
      </w:sdtPr>
      <w:sdtEndPr/>
      <w:sdtContent>
        <w:p w14:paraId="75BEF327" w14:textId="3C6AF2F0" w:rsidR="00DB107D" w:rsidRPr="00030568" w:rsidRDefault="00DB107D" w:rsidP="007D0882">
          <w:pPr>
            <w:pStyle w:val="TextoNormal-IPCA"/>
            <w:ind w:firstLine="0"/>
          </w:pPr>
          <w:r w:rsidRPr="00030568">
            <w:t>Designação do Curso de Mestrado: Mestrado em Design e Desenvolvimento de Produto</w:t>
          </w:r>
          <w:r w:rsidR="0068689D">
            <w:t xml:space="preserve"/>
          </w:r>
          <w:r w:rsidR="00243591">
            <w:t xml:space="preserve"/>
          </w:r>
          <w:sdt>
            <w:sdtPr>
              <w:rPr>
                <w:rStyle w:val="TextoNormal-IPCACarter"/>
              </w:r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sidR="003832A5">
                <w:rPr>
                  <w:rStyle w:val="TextodoMarcadordePosio"/>
                </w:rPr>
                <w:t/>
              </w:r>
              <w:r w:rsidR="00243591" w:rsidRPr="007569E6">
                <w:rPr>
                  <w:rStyle w:val="TextodoMarcadordePosio"/>
                </w:rPr>
                <w:t/>
              </w:r>
            </w:sdtContent>
          </w:sdt>
          <w:r w:rsidR="00243591">
            <w:t xml:space="preserve"/>
          </w:r>
        </w:p>
      </w:sdtContent>
    </w:sdt>
    <w:p w14:paraId="5612E5A4" w14:textId="77777777" w:rsidR="007D0882" w:rsidRDefault="007D0882" w:rsidP="003832A5">
      <w:pPr>
        <w:pStyle w:val="TextoNormal-IPCA"/>
        <w:ind w:firstLine="0"/>
      </w:pPr>
    </w:p>
    <w:sdt>
      <w:sdtPr>
        <w:id w:val="-238719754"/>
        <w:lock w:val="contentLocked"/>
        <w:placeholder>
          <w:docPart w:val="DefaultPlaceholder_-1854013440"/>
        </w:placeholder>
        <w:group/>
      </w:sdtPr>
      <w:sdtEndPr/>
      <w:sdtContent>
        <w:p w14:paraId="398309B7" w14:textId="40EC9385" w:rsidR="00DB107D" w:rsidRPr="00030568" w:rsidRDefault="00DB107D" w:rsidP="003832A5">
          <w:pPr>
            <w:pStyle w:val="TextoNormal-IPCA"/>
            <w:ind w:firstLine="0"/>
          </w:pPr>
          <w:r w:rsidRPr="00030568">
            <w:t>Nos exemplares das Dissertações</w:t>
          </w:r>
          <w:r w:rsidR="00084C8A">
            <w:t xml:space="preserve"> /Projetos/ Relatórios de Estágio</w:t>
          </w:r>
          <w:r w:rsidRPr="00030568">
            <w:t xml:space="preserve"> de mestrado ou de outros trabalhos entregues para prestação de Provas Públicas, e dos quais é obrigatoriamente enviado exemplares para depósito </w:t>
          </w:r>
          <w:r w:rsidR="00F75A2D" w:rsidRPr="00030568">
            <w:t>legal, deve</w:t>
          </w:r>
          <w:r w:rsidRPr="00030568">
            <w:t xml:space="preserve"> constar uma das seguintes declarações:</w:t>
          </w:r>
        </w:p>
        <w:p w14:paraId="2D312261" w14:textId="77777777" w:rsidR="003832A5" w:rsidRDefault="003832A5" w:rsidP="003832A5">
          <w:pPr>
            <w:pStyle w:val="TextoNormal-IPCA"/>
            <w:ind w:firstLine="0"/>
          </w:pPr>
        </w:p>
        <w:p w14:paraId="115A86CE" w14:textId="118314DB" w:rsidR="00DB107D" w:rsidRPr="003832A5" w:rsidRDefault="00197141" w:rsidP="003832A5">
          <w:pPr>
            <w:pStyle w:val="TextoNormal-IPCA"/>
            <w:ind w:firstLine="0"/>
            <w:jc w:val="left"/>
          </w:pPr>
          <w:sdt>
            <w:sdtPr>
              <w:alias w:val="opção 1."/>
              <w:tag w:val="opção 1."/>
              <w:id w:val="157031528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 É AUTORIZADA A REPRODUÇÃO INTEGRAL DESTA DISSERTAÇÃO/TRABALHO APENAS PARA EFEITOS DE INVESTIGAÇÃO, MEDIANTE DECLARAÇÃO ESCRITA DO INTERESSADO, QUE A TAL SE COMPROMETE;</w:t>
              </w:r>
            </w:sdtContent>
          </w:sdt>
          <w:r w:rsidR="007D0882">
            <w:tab/>
          </w:r>
          <w:r w:rsidR="003832A5">
            <w:t xml:space="preserve"/>
          </w:r>
          <w:r w:rsidR="00DB107D" w:rsidRPr="003832A5">
            <w:t/>
          </w:r>
        </w:p>
      </w:sdtContent>
    </w:sdt>
    <w:p w14:paraId="58F259C9" w14:textId="77777777" w:rsidR="00DB107D" w:rsidRPr="00030568" w:rsidRDefault="00DB107D" w:rsidP="003832A5">
      <w:pPr>
        <w:pStyle w:val="TextoNormal-IPCA"/>
        <w:jc w:val="left"/>
      </w:pPr>
    </w:p>
    <w:p w14:paraId="646B62C3" w14:textId="6E473B28" w:rsidR="00DB107D" w:rsidRPr="003832A5" w:rsidRDefault="00197141" w:rsidP="003832A5">
      <w:pPr>
        <w:pStyle w:val="TextoNormal-IPCA"/>
        <w:ind w:firstLine="0"/>
        <w:jc w:val="left"/>
      </w:pPr>
      <w:sdt>
        <w:sdtPr>
          <w:id w:val="-451863212"/>
          <w:lock w:val="contentLocked"/>
          <w:placeholder>
            <w:docPart w:val="DefaultPlaceholder_-1854013440"/>
          </w:placeholder>
          <w:group/>
        </w:sdtPr>
        <w:sdtEndPr/>
        <w:sdtContent>
          <w:sdt>
            <w:sdtPr>
              <w:alias w:val="opção 2."/>
              <w:tag w:val="opção 2."/>
              <w:id w:val="-187368761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t xml:space="preserve"> </w:t>
          </w:r>
          <w:r w:rsidR="00DB107D" w:rsidRPr="003832A5">
            <w:t>É AUTORIZADA A REPRODUÇÃO PARCIAL DESTA</w:t>
          </w:r>
          <w:r w:rsidR="003832A5" w:rsidRPr="003832A5">
            <w:t xml:space="preserve"> </w:t>
          </w:r>
          <w:r w:rsidR="00DB107D" w:rsidRPr="003832A5">
            <w:t>DISSERTAÇÃO/TRABALHO</w:t>
          </w:r>
        </w:sdtContent>
      </w:sdt>
      <w:r w:rsidR="00DB107D" w:rsidRPr="003832A5">
        <w:t xml:space="preserve"> (indicar, caso tal seja necessário, nº máximo de páginas</w:t>
      </w:r>
      <w:r w:rsidR="00DC4EAC">
        <w:t>,</w:t>
      </w:r>
      <w:r w:rsidR="00DB107D" w:rsidRPr="003832A5">
        <w:t xml:space="preserve"> ilustrações, gráficos, </w:t>
      </w:r>
      <w:proofErr w:type="spellStart"/>
      <w:r w:rsidR="00DB107D" w:rsidRPr="003832A5">
        <w:t>etc</w:t>
      </w:r>
      <w:proofErr w:type="spellEnd"/>
      <w:sdt>
        <w:sdtPr>
          <w:id w:val="1396708363"/>
          <w:lock w:val="contentLocked"/>
          <w:placeholder>
            <w:docPart w:val="DefaultPlaceholder_-1854013440"/>
          </w:placeholder>
          <w:group/>
        </w:sdtPr>
        <w:sdtEndPr/>
        <w:sdtContent>
          <w:r w:rsidR="00DB107D" w:rsidRPr="003832A5">
            <w:t>.), APENAS PARA EFEITOS DE INVESTIGAÇÃO, MEDIANTE DECLARAÇÃO ESCRITA DO INTERESSADO, QUE A TAL SE COMPROMETE;</w:t>
          </w:r>
        </w:sdtContent>
      </w:sdt>
    </w:p>
    <w:p w14:paraId="06B8BE84" w14:textId="77777777" w:rsidR="00DB107D" w:rsidRPr="00030568" w:rsidRDefault="00DB107D" w:rsidP="003832A5">
      <w:pPr>
        <w:pStyle w:val="TextoNormal-IPCA"/>
        <w:jc w:val="left"/>
      </w:pPr>
    </w:p>
    <w:p w14:paraId="4B0D1B55" w14:textId="5C0C6E4E" w:rsidR="00DB107D" w:rsidRPr="003832A5" w:rsidRDefault="00197141" w:rsidP="003832A5">
      <w:pPr>
        <w:pStyle w:val="TextoNormal-IPCA"/>
        <w:ind w:firstLine="0"/>
      </w:pPr>
      <w:sdt>
        <w:sdtPr>
          <w:alias w:val="opção 3."/>
          <w:tag w:val="opção 3."/>
          <w:id w:val="-1993479126"/>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rsidRPr="003832A5">
        <w:t xml:space="preserve"> </w:t>
      </w:r>
      <w:r w:rsidR="00F75A2D" w:rsidRPr="003832A5">
        <w:t xml:space="preserve">DE ACORDO COM A LEGISLAÇÃO EM VIGOR, NÃO É PERMITIDA A REPRODUÇÃO DE QUALQUER PARTE DESTA </w:t>
      </w:r>
      <w:r w:rsidR="00F75A2D" w:rsidRPr="002E43AE">
        <w:t>DISSERTAÇÃO</w:t>
      </w:r>
      <w:r w:rsidR="00F75A2D" w:rsidRPr="003832A5">
        <w:t>/TRABALHO</w:t>
      </w:r>
    </w:p>
    <w:p w14:paraId="50DE6472" w14:textId="77777777" w:rsidR="00DB107D" w:rsidRPr="00030568" w:rsidRDefault="00DB107D" w:rsidP="00030568">
      <w:pPr>
        <w:pStyle w:val="TextoNormal-IPCA"/>
      </w:pPr>
    </w:p>
    <w:sdt>
      <w:sdtPr>
        <w:id w:val="522902187"/>
        <w:lock w:val="contentLocked"/>
        <w:placeholder>
          <w:docPart w:val="DefaultPlaceholder_-1854013440"/>
        </w:placeholder>
        <w:group/>
      </w:sdtPr>
      <w:sdtEndPr>
        <w:rPr>
          <w:rStyle w:val="TextoNormal-IPCACarter"/>
        </w:rPr>
      </w:sdtEndPr>
      <w:sdtContent>
        <w:p w14:paraId="7EC037B6" w14:textId="4D404034" w:rsidR="00DB107D" w:rsidRPr="00030568" w:rsidRDefault="00DB107D" w:rsidP="007D0882">
          <w:pPr>
            <w:pStyle w:val="TextoNormal-IPCA"/>
            <w:ind w:firstLine="0"/>
          </w:pPr>
          <w:r w:rsidRPr="00030568">
            <w:t xml:space="preserve">Instituto Politécnico do Cávado e do Ave, 13/07/2026</w:t>
          </w:r>
          <w:r w:rsidR="00F75A2D" w:rsidRPr="00030568">
            <w:t/>
          </w:r>
          <w:sdt>
            <w:sdtPr>
              <w:rPr>
                <w:rStyle w:val="TextoNormal-IPCACarter"/>
              </w:rPr>
              <w:alias w:val="Data"/>
              <w:tag w:val="Data"/>
              <w:id w:val="-2102025058"/>
              <w:lock w:val="sdtLocked"/>
              <w:placeholder>
                <w:docPart w:val="DefaultPlaceholder_-1854013437"/>
              </w:placeholder>
              <w:date>
                <w:dateFormat w:val="dd/MM/yyyy"/>
                <w:lid w:val="pt-PT"/>
                <w:storeMappedDataAs w:val="dateTime"/>
                <w:calendar w:val="gregorian"/>
              </w:date>
            </w:sdtPr>
            <w:sdtEndPr>
              <w:rPr>
                <w:rStyle w:val="TextoNormal-IPCACarter"/>
              </w:rPr>
            </w:sdtEndPr>
            <w:sdtContent>
              <w:r w:rsidR="00F75A2D" w:rsidRPr="003832A5">
                <w:rPr>
                  <w:rStyle w:val="TextoNormal-IPCACarter"/>
                </w:rPr>
                <w:t xml:space="preserve"/>
              </w:r>
              <w:r w:rsidRPr="003832A5">
                <w:rPr>
                  <w:rStyle w:val="TextoNormal-IPCACarter"/>
                </w:rPr>
                <w:t/>
              </w:r>
            </w:sdtContent>
          </w:sdt>
        </w:p>
      </w:sdtContent>
    </w:sdt>
    <w:p w14:paraId="6893A4BF" w14:textId="77777777" w:rsidR="00DB107D" w:rsidRPr="00030568" w:rsidRDefault="00DB107D" w:rsidP="00030568">
      <w:pPr>
        <w:pStyle w:val="TextoNormal-IPCA"/>
      </w:pPr>
    </w:p>
    <w:p w14:paraId="032414A6" w14:textId="77777777" w:rsidR="00DB107D" w:rsidRPr="00030568" w:rsidRDefault="00DB107D" w:rsidP="007D0882">
      <w:pPr>
        <w:pStyle w:val="TextoNormal-IPCA"/>
        <w:ind w:firstLine="0"/>
      </w:pPr>
      <w:r w:rsidRPr="00030568">
        <w:t>Assinatura: ________________________________________________</w:t>
      </w:r>
    </w:p>
    <w:p w14:paraId="1B283178" w14:textId="77777777" w:rsidR="00F75A2D" w:rsidRDefault="00F75A2D" w:rsidP="00A6161A">
      <w:pPr>
        <w:pStyle w:val="TextoNormal-IPCA"/>
        <w:ind w:left="708" w:hanging="708"/>
      </w:pPr>
    </w:p>
    <w:p w14:paraId="6FFE8DAD" w14:textId="77777777" w:rsidR="00F75A2D" w:rsidRDefault="00F75A2D" w:rsidP="00A6161A">
      <w:pPr>
        <w:pStyle w:val="TextoNormal-IPCA"/>
        <w:ind w:left="708" w:hanging="708"/>
        <w:sectPr w:rsidR="00F75A2D" w:rsidSect="000505F8">
          <w:footerReference w:type="default" r:id="rId11"/>
          <w:pgSz w:w="11900" w:h="16840"/>
          <w:pgMar w:top="1985" w:right="1418" w:bottom="1985" w:left="1701" w:header="709" w:footer="709" w:gutter="0"/>
          <w:pgNumType w:fmt="upperRoman" w:start="1"/>
          <w:cols w:space="708"/>
          <w:docGrid w:linePitch="360"/>
        </w:sectPr>
      </w:pPr>
    </w:p>
    <w:p w14:paraId="25AABF96" w14:textId="57658C33" w:rsidR="006F4486" w:rsidRPr="004F6AA5" w:rsidRDefault="004F6AA5" w:rsidP="00DC4EAC">
      <w:pPr>
        <w:pStyle w:val="TtulodeCapaefolhaderosto-IPCA"/>
      </w:pPr>
      <w:r w:rsidRPr="004F6AA5">
        <w:lastRenderedPageBreak/>
        <w:t>INTEGRAÇÃO DO DESIGN E DA INTELIGÊNCIA ARTIFICIAL EM PROCESSOS PARAMÉTRICOS PARA O DESENVOLVIMENTO DE PRÓTESES DE MEMBROS SUPERIORES EM IMPRESSÃO 3D.</w:t>
      </w:r>
      <w:r w:rsidR="00DC4EAC">
        <w:t xml:space="preserve"/>
      </w:r>
    </w:p>
    <w:p w14:paraId="65B66409" w14:textId="3C86FEBA" w:rsidR="006F4486" w:rsidRPr="0045454A" w:rsidRDefault="006F4486" w:rsidP="00DC4EAC">
      <w:pPr>
        <w:pStyle w:val="Subttulo-Capaefolhaderosto-IPCA"/>
      </w:pPr>
      <w:r w:rsidRPr="0045454A">
        <w:t xml:space="preserve"/>
      </w:r>
      <w:r w:rsidR="00DC4EAC">
        <w:t/>
      </w:r>
    </w:p>
    <w:p w14:paraId="1BC2704E" w14:textId="77777777" w:rsidR="00336F4F" w:rsidRDefault="00336F4F" w:rsidP="000505F8">
      <w:pPr>
        <w:pStyle w:val="TtulosPrembulo-IPCA"/>
      </w:pPr>
    </w:p>
    <w:p w14:paraId="56A14F77" w14:textId="77777777" w:rsidR="00F47439" w:rsidRPr="004F6AA5" w:rsidRDefault="005F195C" w:rsidP="000505F8">
      <w:pPr>
        <w:pStyle w:val="TtulosPrembulo-IPCA"/>
      </w:pPr>
      <w:bookmarkStart w:id="1" w:name="_Toc521677099"/>
      <w:r w:rsidRPr="004F6AA5">
        <w:t>RESUMO</w:t>
      </w:r>
      <w:bookmarkEnd w:id="1"/>
    </w:p>
    <w:p w14:paraId="057270E9" w14:textId="011A1297" w:rsidR="00306872" w:rsidRDefault="005F195C" w:rsidP="00401434">
      <w:pPr>
        <w:pStyle w:val="TextoNormal-IPCA"/>
      </w:pPr>
      <w:r w:rsidRPr="00273867">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r w:rsidR="003C3EB8">
        <w:t/>
      </w:r>
      <w:r w:rsidR="003B2550">
        <w:t xml:space="preserve"/>
      </w:r>
      <w:r w:rsidRPr="00273867">
        <w:t xml:space="preserve"/>
      </w:r>
      <w:r w:rsidR="00306872">
        <w:t/>
      </w:r>
      <w:r w:rsidRPr="00273867">
        <w:t xml:space="preserve"/>
      </w:r>
      <w:r w:rsidR="00306872">
        <w:t/>
      </w:r>
    </w:p>
    <w:p w14:paraId="1262449C" w14:textId="4CB4B048" w:rsidR="005F195C" w:rsidRPr="00273867" w:rsidRDefault="005F195C" w:rsidP="00401434">
      <w:pPr>
        <w:pStyle w:val="TextoNormal-IPCA"/>
      </w:pPr>
      <w:r w:rsidRPr="00273867">
        <w:t xml:space="preserve"/>
      </w:r>
      <w:r w:rsidRPr="00596D34">
        <w:t/>
      </w:r>
      <w:r w:rsidRPr="00273867">
        <w:t xml:space="preserve"/>
      </w:r>
      <w:r w:rsidR="00306872">
        <w:t/>
      </w:r>
      <w:r w:rsidRPr="00273867">
        <w:t xml:space="preserve"/>
      </w:r>
    </w:p>
    <w:p w14:paraId="5EEEBD5B" w14:textId="77777777" w:rsidR="005F195C" w:rsidRPr="00273867" w:rsidRDefault="005F195C" w:rsidP="00401434">
      <w:pPr>
        <w:pStyle w:val="TextoNormal-IPCA"/>
      </w:pPr>
      <w:r w:rsidRPr="00273867">
        <w:t/>
      </w:r>
    </w:p>
    <w:p w14:paraId="07E33E1A" w14:textId="77777777" w:rsidR="005F195C" w:rsidRPr="00273867" w:rsidRDefault="005F195C" w:rsidP="00401434">
      <w:pPr>
        <w:pStyle w:val="TextoNormal-IPCA"/>
      </w:pPr>
    </w:p>
    <w:p w14:paraId="33D23075" w14:textId="77777777" w:rsidR="005F195C" w:rsidRDefault="005F195C" w:rsidP="00401434">
      <w:pPr>
        <w:pStyle w:val="TextoNormal-IPCA"/>
      </w:pPr>
      <w:r w:rsidRPr="00273867">
        <w:rPr>
          <w:b/>
        </w:rPr>
        <w:t>Palavras-chave: design industrial; próteses de membro superior; design paramétrico; inteligência artificial; impressão 3D; dados antropométricos; fabrico digital.</w:t>
      </w:r>
      <w:r w:rsidRPr="00273867">
        <w:t xml:space="preserve"/>
      </w:r>
    </w:p>
    <w:p w14:paraId="0522D6DF" w14:textId="77777777" w:rsidR="00F75A2D" w:rsidRPr="00273867" w:rsidRDefault="00F75A2D" w:rsidP="00401434">
      <w:pPr>
        <w:pStyle w:val="TextoNormal-IPCA"/>
      </w:pPr>
    </w:p>
    <w:p w14:paraId="0463D659" w14:textId="77777777" w:rsidR="00F75A2D" w:rsidRDefault="00F75A2D" w:rsidP="004F6AA5">
      <w:pPr>
        <w:pStyle w:val="TextoNormal-IPCA"/>
        <w:ind w:firstLine="0"/>
        <w:rPr>
          <w:rFonts w:ascii="Arial" w:hAnsi="Arial" w:cs="Arial"/>
          <w:b/>
          <w:sz w:val="24"/>
        </w:rPr>
        <w:sectPr w:rsidR="00F75A2D" w:rsidSect="000505F8">
          <w:footerReference w:type="default" r:id="rId13"/>
          <w:type w:val="oddPage"/>
          <w:pgSz w:w="11900" w:h="16840"/>
          <w:pgMar w:top="1985" w:right="1418" w:bottom="1985" w:left="1701" w:header="709" w:footer="709" w:gutter="0"/>
          <w:pgNumType w:fmt="upperRoman"/>
          <w:cols w:space="708"/>
          <w:docGrid w:linePitch="360"/>
        </w:sectPr>
      </w:pPr>
    </w:p>
    <w:p w14:paraId="7F4237ED" w14:textId="4281C658" w:rsidR="00F75A2D" w:rsidRPr="00F75A2D" w:rsidRDefault="00F75A2D" w:rsidP="006F4486">
      <w:pPr>
        <w:pStyle w:val="TextoNormal-IPCA"/>
        <w:ind w:firstLine="0"/>
        <w:rPr>
          <w:rFonts w:ascii="Arial" w:hAnsi="Arial" w:cs="Arial"/>
          <w:b/>
          <w:sz w:val="24"/>
        </w:rPr>
        <w:sectPr w:rsidR="00F75A2D" w:rsidRPr="00F75A2D" w:rsidSect="000505F8">
          <w:pgSz w:w="11900" w:h="16840"/>
          <w:pgMar w:top="1985" w:right="1418" w:bottom="1985" w:left="1701" w:header="709" w:footer="709" w:gutter="0"/>
          <w:pgNumType w:fmt="upperRoman"/>
          <w:cols w:space="708"/>
          <w:docGrid w:linePitch="360"/>
        </w:sectPr>
      </w:pPr>
    </w:p>
    <w:p w14:paraId="6B8AD6BB" w14:textId="35E5FCD8" w:rsidR="00336F4F" w:rsidRPr="00336F4F" w:rsidRDefault="00DC4EAC" w:rsidP="00DC4EAC">
      <w:pPr>
        <w:pStyle w:val="TtulodeCapaefolhaderosto-IPCA"/>
        <w:rPr>
          <w:lang w:val="en-US"/>
        </w:rPr>
      </w:pPr>
      <w:r>
        <w:rPr>
          <w:lang w:val="en-US"/>
        </w:rPr>
        <w:lastRenderedPageBreak/>
        <w:t>INTEGRATION OF DESIGN AND ARTIFICIAL INTELLIGENCE IN PARAMETRIC PROCESSES FOR THE DEVELOPMENT OF 3D-PRINTED UPPER-LIMB PROSTHESES</w:t>
      </w:r>
      <w:r w:rsidR="00336F4F" w:rsidRPr="00336F4F">
        <w:rPr>
          <w:lang w:val="en-US"/>
        </w:rPr>
        <w:t xml:space="preserve"/>
      </w:r>
    </w:p>
    <w:p w14:paraId="2199B725" w14:textId="3FDDBB67" w:rsidR="005F195C" w:rsidRPr="0045454A" w:rsidRDefault="00DC4EAC" w:rsidP="00DC4EAC">
      <w:pPr>
        <w:pStyle w:val="Subttulo-Capaefolhaderosto-IPCA"/>
        <w:rPr>
          <w:lang w:val="en-US"/>
        </w:rPr>
      </w:pPr>
      <w:r>
        <w:rPr>
          <w:lang w:val="en-US"/>
        </w:rPr>
        <w:t xml:space="preserve"/>
      </w:r>
      <w:r w:rsidR="00336F4F" w:rsidRPr="0045454A">
        <w:rPr>
          <w:lang w:val="en-US"/>
        </w:rPr>
        <w:t/>
      </w:r>
    </w:p>
    <w:p w14:paraId="2DD9E8BD" w14:textId="77777777" w:rsidR="00336F4F" w:rsidRDefault="00336F4F" w:rsidP="000505F8">
      <w:pPr>
        <w:pStyle w:val="TtulosPrembulo-IPCA"/>
        <w:rPr>
          <w:lang w:val="en-US"/>
        </w:rPr>
      </w:pPr>
    </w:p>
    <w:p w14:paraId="11B585A9" w14:textId="70D78BB6" w:rsidR="00F47439" w:rsidRPr="004F6AA5" w:rsidRDefault="005F195C" w:rsidP="000505F8">
      <w:pPr>
        <w:pStyle w:val="TtulosPrembulo-IPCA"/>
        <w:rPr>
          <w:lang w:val="en-US"/>
        </w:rPr>
      </w:pPr>
      <w:bookmarkStart w:id="2" w:name="_Toc521677100"/>
      <w:r w:rsidRPr="004F6AA5">
        <w:rPr>
          <w:lang w:val="en-US"/>
        </w:rPr>
        <w:t>ABSTRACT</w:t>
      </w:r>
      <w:bookmarkEnd w:id="2"/>
    </w:p>
    <w:p w14:paraId="7BD55DB6" w14:textId="77777777" w:rsidR="00273867" w:rsidRDefault="005F195C" w:rsidP="00336F4F">
      <w:pPr>
        <w:pStyle w:val="TextoNormal-IPCA"/>
        <w:ind w:firstLine="0"/>
        <w:rPr>
          <w:lang w:val="en-US"/>
        </w:rPr>
      </w:pPr>
      <w:r w:rsidRPr="00273867">
        <w:rPr>
          <w:lang w:val="en-US"/>
        </w:rPr>
        <w:t xml:space="preserve">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14:paraId="43790D99" w14:textId="77777777" w:rsidR="005F195C" w:rsidRPr="00273867" w:rsidRDefault="005F195C" w:rsidP="00336F4F">
      <w:pPr>
        <w:pStyle w:val="TextoNormal-IPCA"/>
        <w:ind w:firstLine="0"/>
        <w:rPr>
          <w:lang w:val="en-US"/>
        </w:rPr>
      </w:pPr>
      <w:r w:rsidRPr="00273867">
        <w:rPr>
          <w:lang w:val="en-US"/>
        </w:rPr>
        <w:t/>
      </w:r>
      <w:r w:rsidR="00306872">
        <w:rPr>
          <w:lang w:val="en-US"/>
        </w:rPr>
        <w:t xml:space="preserve"/>
      </w:r>
      <w:r w:rsidRPr="00273867">
        <w:rPr>
          <w:lang w:val="en-US"/>
        </w:rPr>
        <w:t/>
      </w:r>
      <w:r w:rsidR="00306872">
        <w:rPr>
          <w:lang w:val="en-US"/>
        </w:rPr>
        <w:t xml:space="preserve"/>
      </w:r>
      <w:proofErr w:type="spellStart"/>
      <w:r w:rsidR="00306872">
        <w:rPr>
          <w:lang w:val="en-US"/>
        </w:rPr>
        <w:t/>
      </w:r>
      <w:proofErr w:type="spellEnd"/>
      <w:r w:rsidR="00306872">
        <w:rPr>
          <w:lang w:val="en-US"/>
        </w:rPr>
        <w:t/>
      </w:r>
      <w:r w:rsidRPr="00273867">
        <w:rPr>
          <w:lang w:val="en-US"/>
        </w:rPr>
        <w:t xml:space="preserve"/>
      </w:r>
    </w:p>
    <w:p w14:paraId="160B7170" w14:textId="77777777" w:rsidR="005F195C" w:rsidRPr="00273867" w:rsidRDefault="005F195C" w:rsidP="00401434">
      <w:pPr>
        <w:pStyle w:val="TextoNormal-IPCA"/>
        <w:rPr>
          <w:lang w:val="en-US"/>
        </w:rPr>
      </w:pPr>
    </w:p>
    <w:p w14:paraId="0A9F988D" w14:textId="77777777" w:rsidR="004F6AA5" w:rsidRDefault="005F195C" w:rsidP="00401434">
      <w:pPr>
        <w:pStyle w:val="TextoNormal-IPCA"/>
        <w:rPr>
          <w:lang w:val="en-US"/>
        </w:rPr>
      </w:pPr>
      <w:r w:rsidRPr="00273867">
        <w:rPr>
          <w:b/>
          <w:lang w:val="en-US"/>
        </w:rPr>
        <w:t>Keywords: industrial design; upper-limb prostheses; parametric design; artificial intelligence; 3D printing; anthropometric data; digital fabrication.</w:t>
      </w:r>
      <w:r w:rsidRPr="00273867">
        <w:rPr>
          <w:lang w:val="en-US"/>
        </w:rPr>
        <w:t xml:space="preserve"/>
      </w:r>
      <w:r w:rsidRPr="00273867">
        <w:rPr>
          <w:lang w:val="en-US"/>
        </w:rPr>
        <w:cr/>
      </w:r>
      <w:bookmarkStart w:id="3" w:name="_Toc394664654"/>
      <w:bookmarkStart w:id="4" w:name="_Toc394664868"/>
      <w:bookmarkStart w:id="5" w:name="_Toc394664946"/>
      <w:bookmarkStart w:id="6" w:name="_Toc457372007"/>
    </w:p>
    <w:p w14:paraId="32EF138C" w14:textId="77777777" w:rsidR="004F6AA5" w:rsidRDefault="004F6AA5" w:rsidP="00401434">
      <w:pPr>
        <w:pStyle w:val="TextoNormal-IPCA"/>
        <w:rPr>
          <w:lang w:val="en-US"/>
        </w:rPr>
        <w:sectPr w:rsidR="004F6AA5" w:rsidSect="000505F8">
          <w:pgSz w:w="11900" w:h="16840"/>
          <w:pgMar w:top="1985" w:right="1418" w:bottom="1985" w:left="1701" w:header="709" w:footer="709" w:gutter="0"/>
          <w:pgNumType w:fmt="upperRoman"/>
          <w:cols w:space="708"/>
          <w:docGrid w:linePitch="360"/>
        </w:sectPr>
      </w:pPr>
    </w:p>
    <w:p w14:paraId="5198CF4C" w14:textId="77777777" w:rsidR="002A5AB8" w:rsidRDefault="002A5AB8" w:rsidP="000505F8">
      <w:pPr>
        <w:pStyle w:val="TtulosPrembulo-IPCA"/>
      </w:pPr>
      <w:bookmarkStart w:id="7" w:name="_Toc457372008"/>
      <w:bookmarkStart w:id="8" w:name="_Toc521677101"/>
      <w:r>
        <w:lastRenderedPageBreak/>
        <w:br w:type="page"/>
      </w:r>
    </w:p>
    <w:p w14:paraId="322E8802" w14:textId="28A51242" w:rsidR="00F47439" w:rsidRPr="00F47439" w:rsidRDefault="00F47439" w:rsidP="000505F8">
      <w:pPr>
        <w:pStyle w:val="TtulosPrembulo-IPCA"/>
      </w:pPr>
      <w:bookmarkStart w:id="12" w:name="_Toc521677103"/>
      <w:r w:rsidRPr="00F47439">
        <w:lastRenderedPageBreak/>
        <w:t xml:space="preserve">Lista de Abreviaturas </w:t>
      </w:r>
      <w:r w:rsidR="00A3238C">
        <w:br/>
      </w:r>
      <w:r w:rsidRPr="00F47439">
        <w:t>e/ou Siglas</w:t>
      </w:r>
      <w:bookmarkEnd w:id="11"/>
      <w:bookmarkEnd w:id="12"/>
    </w:p>
    <w:p>
      <w:pPr>
        <w:pStyle w:val="TextoNormal-IPCA"/>
      </w:pPr>
      <w:r>
        <w:t>2D – Bidimensional.</w:t>
      </w:r>
    </w:p>
    <w:p>
      <w:pPr>
        <w:pStyle w:val="TextoNormal-IPCA"/>
      </w:pPr>
      <w:r>
        <w:t>3D – Tridimensional.</w:t>
      </w:r>
    </w:p>
    <w:p>
      <w:pPr>
        <w:pStyle w:val="TextoNormal-IPCA"/>
      </w:pPr>
      <w:r>
        <w:t>3DP – 3D Printing; impressão 3D.</w:t>
      </w:r>
    </w:p>
    <w:p>
      <w:pPr>
        <w:pStyle w:val="TextoNormal-IPCA"/>
      </w:pPr>
      <w:r>
        <w:t>3MF – 3D Manufacturing Format; formato de ficheiro para fabrico aditivo.</w:t>
      </w:r>
    </w:p>
    <w:p>
      <w:pPr>
        <w:pStyle w:val="TextoNormal-IPCA"/>
      </w:pPr>
      <w:r>
        <w:t>AMS – Automatic Material System; sistema automático de alimentação de filamento usado em impressoras Bambu Lab.</w:t>
      </w:r>
    </w:p>
    <w:p>
      <w:pPr>
        <w:pStyle w:val="TextoNormal-IPCA"/>
      </w:pPr>
      <w:r>
        <w:t>ANSUR – Anthropometric Survey of U.S. Army Personnel; inquérito antropométrico do Exército dos Estados Unidos.</w:t>
      </w:r>
    </w:p>
    <w:p>
      <w:pPr>
        <w:pStyle w:val="TextoNormal-IPCA"/>
      </w:pPr>
      <w:r>
        <w:t>API – Application Programming Interface; interface de programação de aplicações.</w:t>
      </w:r>
    </w:p>
    <w:p>
      <w:pPr>
        <w:pStyle w:val="TextoNormal-IPCA"/>
      </w:pPr>
      <w:r>
        <w:t>ASTM – American Society for Testing and Materials; organismo internacional de normalização.</w:t>
      </w:r>
    </w:p>
    <w:p>
      <w:pPr>
        <w:pStyle w:val="TextoNormal-IPCA"/>
      </w:pPr>
      <w:r>
        <w:t>CAD – Computer-Aided Design; desenho ou projecto assistido por computador.</w:t>
      </w:r>
    </w:p>
    <w:p>
      <w:pPr>
        <w:pStyle w:val="TextoNormal-IPCA"/>
      </w:pPr>
      <w:r>
        <w:t>CAM – Computer-Aided Manufacturing; fabrico assistido por computador.</w:t>
      </w:r>
    </w:p>
    <w:p>
      <w:pPr>
        <w:pStyle w:val="TextoNormal-IPCA"/>
      </w:pPr>
      <w:r>
        <w:t>CE – Conformité Européenne; marcação europeia de conformidade.</w:t>
      </w:r>
    </w:p>
    <w:p>
      <w:pPr>
        <w:pStyle w:val="TextoNormal-IPCA"/>
      </w:pPr>
      <w:r>
        <w:t>CSG – Constructive Solid Geometry; geometria sólida construtiva.</w:t>
      </w:r>
    </w:p>
    <w:p>
      <w:pPr>
        <w:pStyle w:val="TextoNormal-IPCA"/>
      </w:pPr>
      <w:r>
        <w:t>CSV – Comma-Separated Values; formato de valores separados por vírgulas.</w:t>
      </w:r>
    </w:p>
    <w:p>
      <w:pPr>
        <w:pStyle w:val="TextoNormal-IPCA"/>
      </w:pPr>
      <w:r>
        <w:t>CT – Computed Tomography; tomografia computorizada.</w:t>
      </w:r>
    </w:p>
    <w:p>
      <w:pPr>
        <w:pStyle w:val="TextoNormal-IPCA"/>
      </w:pPr>
      <w:r>
        <w:t>DfAM – Design for Additive Manufacturing; design para fabrico aditivo.</w:t>
      </w:r>
    </w:p>
    <w:p>
      <w:pPr>
        <w:pStyle w:val="TextoNormal-IPCA"/>
      </w:pPr>
      <w:r>
        <w:t>DINED – Delft Institute of Ergonomics and Design; base de dados antropométrica da TU Delft.</w:t>
      </w:r>
    </w:p>
    <w:p>
      <w:pPr>
        <w:pStyle w:val="TextoNormal-IPCA"/>
      </w:pPr>
      <w:r>
        <w:t>DOI – Digital Object Identifier; identificador digital de objecto.</w:t>
      </w:r>
    </w:p>
    <w:p>
      <w:pPr>
        <w:pStyle w:val="TextoNormal-IPCA"/>
      </w:pPr>
      <w:r>
        <w:t>EMG – Eletromiografia; registo da actividade elétrica muscular.</w:t>
      </w:r>
    </w:p>
    <w:p>
      <w:pPr>
        <w:pStyle w:val="TextoNormal-IPCA"/>
      </w:pPr>
      <w:r>
        <w:t>EU – European Union; União Europeia.</w:t>
      </w:r>
    </w:p>
    <w:p>
      <w:pPr>
        <w:pStyle w:val="TextoNormal-IPCA"/>
      </w:pPr>
      <w:r>
        <w:t>EUA – Estados Unidos da América.</w:t>
      </w:r>
    </w:p>
    <w:p>
      <w:pPr>
        <w:pStyle w:val="TextoNormal-IPCA"/>
      </w:pPr>
      <w:r>
        <w:t>FA/FdA – Fabrico aditivo.</w:t>
      </w:r>
    </w:p>
    <w:p>
      <w:pPr>
        <w:pStyle w:val="TextoNormal-IPCA"/>
      </w:pPr>
      <w:r>
        <w:t>FDA – Food and Drug Administration; agência reguladora dos Estados Unidos para alimentos, medicamentos e dispositivos médicos.</w:t>
      </w:r>
    </w:p>
    <w:p>
      <w:pPr>
        <w:pStyle w:val="TextoNormal-IPCA"/>
      </w:pPr>
      <w:r>
        <w:t>FDM – Fused Deposition Modelling; modelação por deposição fundida.</w:t>
      </w:r>
    </w:p>
    <w:p>
      <w:pPr>
        <w:pStyle w:val="TextoNormal-IPCA"/>
      </w:pPr>
      <w:r>
        <w:t>FEA – Finite Element Analysis; análise por elementos finitos.</w:t>
      </w:r>
    </w:p>
    <w:p>
      <w:pPr>
        <w:pStyle w:val="TextoNormal-IPCA"/>
      </w:pPr>
      <w:r>
        <w:t>FEM – Finite Element Method; método dos elementos finitos.</w:t>
      </w:r>
    </w:p>
    <w:p>
      <w:pPr>
        <w:pStyle w:val="TextoNormal-IPCA"/>
      </w:pPr>
      <w:r>
        <w:t>FFF – Fused Filament Fabrication; fabrico por filamento fundido.</w:t>
      </w:r>
    </w:p>
    <w:p>
      <w:pPr>
        <w:pStyle w:val="TextoNormal-IPCA"/>
      </w:pPr>
      <w:r>
        <w:t>FFD – Free-Form Deformation; deformação de forma livre.</w:t>
      </w:r>
    </w:p>
    <w:p>
      <w:pPr>
        <w:pStyle w:val="TextoNormal-IPCA"/>
      </w:pPr>
      <w:r>
        <w:t>GB/T – Norma nacional recomendada chinesa.</w:t>
      </w:r>
    </w:p>
    <w:p>
      <w:pPr>
        <w:pStyle w:val="TextoNormal-IPCA"/>
      </w:pPr>
      <w:r>
        <w:t>HB – Hand Breadth; largura da mão.</w:t>
      </w:r>
    </w:p>
    <w:p>
      <w:pPr>
        <w:pStyle w:val="TextoNormal-IPCA"/>
      </w:pPr>
      <w:r>
        <w:t>HCD – Human-Centred Design; design centrado no humano.</w:t>
      </w:r>
    </w:p>
    <w:p>
      <w:pPr>
        <w:pStyle w:val="TextoNormal-IPCA"/>
      </w:pPr>
      <w:r>
        <w:t>HGD – Hand Grip Diameter; diâmetro de preensão da mão.</w:t>
      </w:r>
    </w:p>
    <w:p>
      <w:pPr>
        <w:pStyle w:val="TextoNormal-IPCA"/>
      </w:pPr>
      <w:r>
        <w:t>HL – Hand Length; comprimento da mão.</w:t>
      </w:r>
    </w:p>
    <w:p>
      <w:pPr>
        <w:pStyle w:val="TextoNormal-IPCA"/>
      </w:pPr>
      <w:r>
        <w:t>HTML – HyperText Markup Language; linguagem de marcação de hipertexto.</w:t>
      </w:r>
    </w:p>
    <w:p>
      <w:pPr>
        <w:pStyle w:val="TextoNormal-IPCA"/>
      </w:pPr>
      <w:r>
        <w:t>IA – Inteligência Artificial.</w:t>
      </w:r>
    </w:p>
    <w:p>
      <w:pPr>
        <w:pStyle w:val="TextoNormal-IPCA"/>
      </w:pPr>
      <w:r>
        <w:t>ICF – International Classification of Functioning, Disability and Health; Classificação Internacional de Funcionalidade, Incapacidade e Saúde.</w:t>
      </w:r>
    </w:p>
    <w:p>
      <w:pPr>
        <w:pStyle w:val="TextoNormal-IPCA"/>
      </w:pPr>
      <w:r>
        <w:t>IEEE – Institute of Electrical and Electronics Engineers; associação técnico-científica e entidade editorial/de normalização.</w:t>
      </w:r>
    </w:p>
    <w:p>
      <w:pPr>
        <w:pStyle w:val="TextoNormal-IPCA"/>
      </w:pPr>
      <w:r>
        <w:t>ISO – International Organization for Standardization; Organização Internacional de Normalização.</w:t>
      </w:r>
    </w:p>
    <w:p>
      <w:pPr>
        <w:pStyle w:val="TextoNormal-IPCA"/>
      </w:pPr>
      <w:r>
        <w:t>JSON – JavaScript Object Notation; formato leve de intercâmbio de dados.</w:t>
      </w:r>
    </w:p>
    <w:p>
      <w:pPr>
        <w:pStyle w:val="TextoNormal-IPCA"/>
      </w:pPr>
      <w:r>
        <w:t>JWT – JSON Web Token; token web em formato JSON para autenticação e autorização.</w:t>
      </w:r>
    </w:p>
    <w:p>
      <w:pPr>
        <w:pStyle w:val="TextoNormal-IPCA"/>
      </w:pPr>
      <w:r>
        <w:t>LL – Lower Limb; membro inferior.</w:t>
      </w:r>
    </w:p>
    <w:p>
      <w:pPr>
        <w:pStyle w:val="TextoNormal-IPCA"/>
      </w:pPr>
      <w:r>
        <w:t>MCP – Metacarpophalangeal; articulação metacarpofalângica.</w:t>
      </w:r>
    </w:p>
    <w:p>
      <w:pPr>
        <w:pStyle w:val="TextoNormal-IPCA"/>
      </w:pPr>
      <w:r>
        <w:t>MDR – Medical Device Regulation; Regulamento Europeu dos Dispositivos Médicos.</w:t>
      </w:r>
    </w:p>
    <w:p>
      <w:pPr>
        <w:pStyle w:val="TextoNormal-IPCA"/>
      </w:pPr>
      <w:r>
        <w:t>MPT – Matching Person and Technology; modelo de adequação entre pessoa e tecnologia.</w:t>
      </w:r>
    </w:p>
    <w:p>
      <w:pPr>
        <w:pStyle w:val="TextoNormal-IPCA"/>
      </w:pPr>
      <w:r>
        <w:t>MRI – Magnetic Resonance Imaging; ressonância magnética.</w:t>
      </w:r>
    </w:p>
    <w:p>
      <w:pPr>
        <w:pStyle w:val="TextoNormal-IPCA"/>
      </w:pPr>
      <w:r>
        <w:t>PCA – Principal Component Analysis; análise de componentes principais.</w:t>
      </w:r>
    </w:p>
    <w:p>
      <w:pPr>
        <w:pStyle w:val="TextoNormal-IPCA"/>
      </w:pPr>
      <w:r>
        <w:t>PDF – Portable Document Format; formato portátil de documento.</w:t>
      </w:r>
    </w:p>
    <w:p>
      <w:pPr>
        <w:pStyle w:val="TextoNormal-IPCA"/>
      </w:pPr>
      <w:r>
        <w:t>PIP – Proximal Interphalangeal; articulação interfalângica proximal.</w:t>
      </w:r>
    </w:p>
    <w:p>
      <w:pPr>
        <w:pStyle w:val="TextoNormal-IPCA"/>
      </w:pPr>
      <w:r>
        <w:t>PL – Palm Length; comprimento da palma.</w:t>
      </w:r>
    </w:p>
    <w:p>
      <w:pPr>
        <w:pStyle w:val="TextoNormal-IPCA"/>
      </w:pPr>
      <w:r>
        <w:t>PRISMA – Preferred Reporting Items for Systematic Reviews and Meta-Analyses; diretrizes para reporte de revisões sistemáticas e meta-análises.</w:t>
      </w:r>
    </w:p>
    <w:p>
      <w:pPr>
        <w:pStyle w:val="TextoNormal-IPCA"/>
      </w:pPr>
      <w:r>
        <w:t>RTD – Research Through Design; investigação através do design.</w:t>
      </w:r>
    </w:p>
    <w:p>
      <w:pPr>
        <w:pStyle w:val="TextoNormal-IPCA"/>
      </w:pPr>
      <w:r>
        <w:t>SD – Standard Deviation; desvio-padrão.</w:t>
      </w:r>
    </w:p>
    <w:p>
      <w:pPr>
        <w:pStyle w:val="TextoNormal-IPCA"/>
      </w:pPr>
      <w:r>
        <w:t>SLA – Stereolithography; estereolitografia.</w:t>
      </w:r>
    </w:p>
    <w:p>
      <w:pPr>
        <w:pStyle w:val="TextoNormal-IPCA"/>
      </w:pPr>
      <w:r>
        <w:t>SLS – Selective Laser Sintering; sinterização selectiva a laser.</w:t>
      </w:r>
    </w:p>
    <w:p>
      <w:pPr>
        <w:pStyle w:val="TextoNormal-IPCA"/>
      </w:pPr>
      <w:r>
        <w:t>SSM – Statistical Shape Modelling; modelação estatística da forma.</w:t>
      </w:r>
    </w:p>
    <w:p>
      <w:pPr>
        <w:pStyle w:val="TextoNormal-IPCA"/>
      </w:pPr>
      <w:r>
        <w:t>SQLite – Motor leve de base de dados relacional baseado em SQL, autónomo e incorporável na aplicação.</w:t>
      </w:r>
    </w:p>
    <w:p>
      <w:pPr>
        <w:pStyle w:val="TextoNormal-IPCA"/>
      </w:pPr>
      <w:r>
        <w:t>STL – Stereolithography; formato de ficheiro de malha tridimensional usado em impressão 3D.</w:t>
      </w:r>
    </w:p>
    <w:p>
      <w:pPr>
        <w:pStyle w:val="TextoNormal-IPCA"/>
      </w:pPr>
      <w:r>
        <w:t>TC – Technical Committee; comité técnico.</w:t>
      </w:r>
    </w:p>
    <w:p>
      <w:pPr>
        <w:pStyle w:val="TextoNormal-IPCA"/>
      </w:pPr>
      <w:r>
        <w:t>TRL – Technology Readiness Level; nível de prontidão tecnológica.</w:t>
      </w:r>
    </w:p>
    <w:p>
      <w:pPr>
        <w:pStyle w:val="TextoNormal-IPCA"/>
      </w:pPr>
      <w:r>
        <w:t>UCD – User-Centred Design; design centrado no utilizador.</w:t>
      </w:r>
    </w:p>
    <w:p>
      <w:pPr>
        <w:pStyle w:val="TextoNormal-IPCA"/>
      </w:pPr>
      <w:r>
        <w:t>UI – User Interface; interface do utilizador.</w:t>
      </w:r>
    </w:p>
    <w:p>
      <w:pPr>
        <w:pStyle w:val="TextoNormal-IPCA"/>
      </w:pPr>
      <w:r>
        <w:t>UL – Upper Limb; membro superior.</w:t>
      </w:r>
    </w:p>
    <w:p>
      <w:pPr>
        <w:pStyle w:val="TextoNormal-IPCA"/>
      </w:pPr>
      <w:r>
        <w:t>UX – User Experience; experiência do utilizador.</w:t>
      </w:r>
    </w:p>
    <w:p>
      <w:pPr>
        <w:pStyle w:val="TextoNormal-IPCA"/>
      </w:pPr>
      <w:r>
        <w:t>WASM – WebAssembly; tecnologia para execução de código compilado no navegador.</w:t>
      </w:r>
    </w:p>
    <w:p>
      <w:pPr>
        <w:pStyle w:val="TextoNormal-IPCA"/>
      </w:pPr>
      <w:r>
        <w:t>XAI – Explainable Artificial Intelligence; inteligência artificial explicável.</w:t>
      </w:r>
    </w:p>
    <w:p>
      <w:pPr>
        <w:pStyle w:val="TtulosPrembulo-IPCA"/>
        <w:pageBreakBefore/>
      </w:pPr>
      <w:r>
        <w:t>Lista de Tabelas</w:t>
      </w:r>
    </w:p>
    <w:p>
      <w:pPr>
        <w:pStyle w:val="ndice1"/>
        <w:tabs>
          <w:tab w:val="right" w:leader="dot" w:pos="8204"/>
        </w:tabs>
      </w:pPr>
      <w:r>
        <w:t>Tabela 2.1 — Papéis dos profissionais de saúde no desenvolvimento de dispositivos médicos</w:t>
        <w:tab/>
      </w:r>
      <w:r>
        <w:t>9</w:t>
      </w:r>
    </w:p>
    <w:p>
      <w:pPr>
        <w:pStyle w:val="ndice1"/>
        <w:tabs>
          <w:tab w:val="right" w:leader="dot" w:pos="8204"/>
        </w:tabs>
      </w:pPr>
      <w:r>
        <w:t>Tabela 2.2 — Elementos centrais na configuração da participação em sistemas configuráveis</w:t>
        <w:tab/>
      </w:r>
      <w:r>
        <w:t>27</w:t>
      </w:r>
    </w:p>
    <w:p>
      <w:pPr>
        <w:pStyle w:val="ndice1"/>
        <w:tabs>
          <w:tab w:val="right" w:leader="dot" w:pos="8204"/>
        </w:tabs>
      </w:pPr>
      <w:r>
        <w:t>Tabela 3.1 — Ciclos de Research Through Design documentados no desenvolvimento</w:t>
        <w:tab/>
      </w:r>
      <w:r>
        <w:t>34</w:t>
      </w:r>
    </w:p>
    <w:p>
      <w:pPr>
        <w:pStyle w:val="ndice1"/>
        <w:tabs>
          <w:tab w:val="right" w:leader="dot" w:pos="8204"/>
        </w:tabs>
      </w:pPr>
      <w:r>
        <w:t>Tabela 3.2 — Correspondência entre perguntas, actividades, evidência e limites</w:t>
        <w:tab/>
      </w:r>
      <w:r>
        <w:t>36</w:t>
      </w:r>
    </w:p>
    <w:p>
      <w:pPr>
        <w:pStyle w:val="ndice1"/>
        <w:tabs>
          <w:tab w:val="right" w:leader="dot" w:pos="8204"/>
        </w:tabs>
      </w:pPr>
      <w:r>
        <w:t>Tabela 4.1 — Principais parâmetros antropométricos da mão e do membro superior relevantes para modelação paramétrica</w:t>
        <w:tab/>
      </w:r>
      <w:r>
        <w:t>42</w:t>
      </w:r>
    </w:p>
    <w:p>
      <w:pPr>
        <w:pStyle w:val="ndice1"/>
        <w:tabs>
          <w:tab w:val="right" w:leader="dot" w:pos="8204"/>
        </w:tabs>
      </w:pPr>
      <w:r>
        <w:t>Tabela 4.2 — Conjuntos mínimos de parâmetros por nível de amputação</w:t>
        <w:tab/>
      </w:r>
      <w:r>
        <w:t>43</w:t>
      </w:r>
    </w:p>
    <w:p>
      <w:pPr>
        <w:pStyle w:val="ndice1"/>
        <w:tabs>
          <w:tab w:val="right" w:leader="dot" w:pos="8204"/>
        </w:tabs>
      </w:pPr>
      <w:r>
        <w:t>Tabela 4.3 — Métodos de recolha de dados antropométricos e suas características</w:t>
        <w:tab/>
      </w:r>
      <w:r>
        <w:t>45</w:t>
      </w:r>
    </w:p>
    <w:p>
      <w:pPr>
        <w:pStyle w:val="ndice1"/>
        <w:tabs>
          <w:tab w:val="right" w:leader="dot" w:pos="8204"/>
        </w:tabs>
      </w:pPr>
      <w:r>
        <w:t>Tabela 4.4 — Fontes integradas na base local de dados antropométricos</w:t>
        <w:tab/>
      </w:r>
      <w:r>
        <w:t>46</w:t>
      </w:r>
    </w:p>
    <w:p>
      <w:pPr>
        <w:pStyle w:val="ndice1"/>
        <w:tabs>
          <w:tab w:val="right" w:leader="dot" w:pos="8204"/>
        </w:tabs>
      </w:pPr>
      <w:r>
        <w:t>Tabela 4.5 — Estrutura hierárquica dos parâmetros no modelo paramétrico</w:t>
        <w:tab/>
      </w:r>
      <w:r>
        <w:t>50</w:t>
      </w:r>
    </w:p>
    <w:p>
      <w:pPr>
        <w:pStyle w:val="ndice1"/>
        <w:tabs>
          <w:tab w:val="right" w:leader="dot" w:pos="8204"/>
        </w:tabs>
      </w:pPr>
      <w:r>
        <w:t>Tabela 4.6 — Mapeamento entre parâmetros antropométricos e elementos do modelo</w:t>
        <w:tab/>
      </w:r>
      <w:r>
        <w:t>52</w:t>
      </w:r>
    </w:p>
    <w:p>
      <w:pPr>
        <w:pStyle w:val="ndice1"/>
        <w:tabs>
          <w:tab w:val="right" w:leader="dot" w:pos="8204"/>
        </w:tabs>
      </w:pPr>
      <w:r>
        <w:t>Tabela 4.7 — Estrutura técnica em camadas de um modelo paramétrico em OpenSCAD para próteses personalizadas</w:t>
        <w:tab/>
      </w:r>
      <w:r>
        <w:t>54</w:t>
      </w:r>
    </w:p>
    <w:p>
      <w:pPr>
        <w:pStyle w:val="ndice1"/>
        <w:tabs>
          <w:tab w:val="right" w:leader="dot" w:pos="8204"/>
        </w:tabs>
      </w:pPr>
      <w:r>
        <w:t>Tabela 4.8 — Relações paramétricas dos modelos avaliados</w:t>
        <w:tab/>
      </w:r>
      <w:r>
        <w:t>56</w:t>
      </w:r>
    </w:p>
    <w:p>
      <w:pPr>
        <w:pStyle w:val="ndice1"/>
        <w:tabs>
          <w:tab w:val="right" w:leader="dot" w:pos="8204"/>
        </w:tabs>
      </w:pPr>
      <w:r>
        <w:t>Tabela 4.9 — Dicionário operacional dos parâmetros numéricos dos modelos avaliados</w:t>
        <w:tab/>
      </w:r>
      <w:r>
        <w:t>58</w:t>
      </w:r>
    </w:p>
    <w:p>
      <w:pPr>
        <w:pStyle w:val="ndice1"/>
        <w:tabs>
          <w:tab w:val="right" w:leader="dot" w:pos="8204"/>
        </w:tabs>
      </w:pPr>
      <w:r>
        <w:t>Tabela 4.10 — Percurso numérico do vector antropométrico até às malhas do Flexy Beast</w:t>
        <w:tab/>
      </w:r>
      <w:r>
        <w:t>59</w:t>
      </w:r>
    </w:p>
    <w:p>
      <w:pPr>
        <w:pStyle w:val="ndice1"/>
        <w:tabs>
          <w:tab w:val="right" w:leader="dot" w:pos="8204"/>
        </w:tabs>
      </w:pPr>
      <w:r>
        <w:t>Tabela 5.1 — Fluxo de dados e responsabilidades da plataforma</w:t>
        <w:tab/>
      </w:r>
      <w:r>
        <w:t>65</w:t>
      </w:r>
    </w:p>
    <w:p>
      <w:pPr>
        <w:pStyle w:val="ndice1"/>
        <w:tabs>
          <w:tab w:val="right" w:leader="dot" w:pos="8204"/>
        </w:tabs>
      </w:pPr>
      <w:r>
        <w:t>Tabela 5.2 — Inventário consolidado dos modelos no fecho do estudo</w:t>
        <w:tab/>
      </w:r>
      <w:r>
        <w:t>74</w:t>
      </w:r>
    </w:p>
    <w:p>
      <w:pPr>
        <w:pStyle w:val="ndice1"/>
        <w:tabs>
          <w:tab w:val="right" w:leader="dot" w:pos="8204"/>
        </w:tabs>
      </w:pPr>
      <w:r>
        <w:t>Tabela 6.1 — Especificação técnica dos modelos de IA e do contrato de sugestão paramétrica</w:t>
        <w:tab/>
      </w:r>
      <w:r>
        <w:t>79</w:t>
      </w:r>
    </w:p>
    <w:p>
      <w:pPr>
        <w:pStyle w:val="ndice1"/>
        <w:tabs>
          <w:tab w:val="right" w:leader="dot" w:pos="8204"/>
        </w:tabs>
      </w:pPr>
      <w:r>
        <w:t>Tabela 6.2 — Distribuição de tarefas entre regras, IA e supervisão humana</w:t>
        <w:tab/>
      </w:r>
      <w:r>
        <w:t>81</w:t>
      </w:r>
    </w:p>
    <w:p>
      <w:pPr>
        <w:pStyle w:val="ndice1"/>
        <w:tabs>
          <w:tab w:val="right" w:leader="dot" w:pos="8204"/>
        </w:tabs>
      </w:pPr>
      <w:r>
        <w:t>Tabela 8.1 — Evidência técnica do funcionamento da plataforma</w:t>
        <w:tab/>
      </w:r>
      <w:r>
        <w:t>87</w:t>
      </w:r>
    </w:p>
    <w:p>
      <w:pPr>
        <w:pStyle w:val="ndice1"/>
        <w:tabs>
          <w:tab w:val="right" w:leader="dot" w:pos="8204"/>
        </w:tabs>
      </w:pPr>
      <w:r>
        <w:t>Tabela 8.2 — Projectos de preparação para impressão arquivados</w:t>
        <w:tab/>
      </w:r>
      <w:r>
        <w:t>89</w:t>
      </w:r>
    </w:p>
    <w:p>
      <w:pPr>
        <w:pStyle w:val="ndice1"/>
        <w:tabs>
          <w:tab w:val="right" w:leader="dot" w:pos="8204"/>
        </w:tabs>
      </w:pPr>
      <w:r>
        <w:t>Tabela 8.3 — Inspecção computacional de malhas na configuração infantil</w:t>
        <w:tab/>
      </w:r>
      <w:r>
        <w:t>91</w:t>
      </w:r>
    </w:p>
    <w:p>
      <w:pPr>
        <w:pStyle w:val="ndice1"/>
        <w:tabs>
          <w:tab w:val="right" w:leader="dot" w:pos="8204"/>
        </w:tabs>
      </w:pPr>
      <w:r>
        <w:t>Tabela 8.4 — Entradas utilizadas nos cenários de avaliação da IA</w:t>
        <w:tab/>
      </w:r>
      <w:r>
        <w:t>94</w:t>
      </w:r>
    </w:p>
    <w:p>
      <w:pPr>
        <w:pStyle w:val="ndice1"/>
        <w:tabs>
          <w:tab w:val="right" w:leader="dot" w:pos="8204"/>
        </w:tabs>
      </w:pPr>
      <w:r>
        <w:t>Tabela 8.5 — Síntese da avaliação das sugestões de IA</w:t>
        <w:tab/>
      </w:r>
      <w:r>
        <w:t>96</w:t>
      </w:r>
    </w:p>
    <w:p>
      <w:pPr>
        <w:pStyle w:val="ndice1"/>
        <w:tabs>
          <w:tab w:val="right" w:leader="dot" w:pos="8204"/>
        </w:tabs>
      </w:pPr>
      <w:r>
        <w:t>Tabela 8.6 — Modelos e mecanismos de escala avaliados</w:t>
        <w:tab/>
      </w:r>
      <w:r>
        <w:t>97</w:t>
      </w:r>
    </w:p>
    <w:p>
      <w:pPr>
        <w:pStyle w:val="ndice1"/>
        <w:tabs>
          <w:tab w:val="right" w:leader="dot" w:pos="8204"/>
        </w:tabs>
      </w:pPr>
      <w:r>
        <w:t>Tabela 8.7 — Rácio adimensional da maior dimensão da palma exportada face ao valor de referência</w:t>
        <w:tab/>
      </w:r>
      <w:r>
        <w:t>98</w:t>
      </w:r>
    </w:p>
    <w:p>
      <w:pPr>
        <w:pStyle w:val="TtulosPrembulo-IPCA"/>
        <w:pageBreakBefore/>
      </w:pPr>
      <w:r>
        <w:t>Lista de Figuras</w:t>
      </w:r>
    </w:p>
    <w:p>
      <w:pPr>
        <w:pStyle w:val="ndice1"/>
        <w:tabs>
          <w:tab w:val="right" w:leader="dot" w:pos="8204"/>
        </w:tabs>
      </w:pPr>
      <w:r>
        <w:t>Figura 1.1 — Exemplos de próteses e dispositivos associados ao fabrico aditivo em contexto protésico.</w:t>
        <w:tab/>
      </w:r>
      <w:r>
        <w:t>1</w:t>
      </w:r>
    </w:p>
    <w:p>
      <w:pPr>
        <w:pStyle w:val="ndice1"/>
        <w:tabs>
          <w:tab w:val="right" w:leader="dot" w:pos="8204"/>
        </w:tabs>
      </w:pPr>
      <w:r>
        <w:t>Figura 2.1 — Exemplos de próteses de membro superior impressas em 3D, ilustrando diversidade tipológica e construtiva.</w:t>
        <w:tab/>
      </w:r>
      <w:r>
        <w:t>6</w:t>
      </w:r>
    </w:p>
    <w:p>
      <w:pPr>
        <w:pStyle w:val="ndice1"/>
        <w:tabs>
          <w:tab w:val="right" w:leader="dot" w:pos="8204"/>
        </w:tabs>
      </w:pPr>
      <w:r>
        <w:t>Figura 2.2 — Utilização, rejeição primária e rejeição secundária de próteses do membro superior adquiridas.</w:t>
        <w:tab/>
      </w:r>
      <w:r>
        <w:t>8</w:t>
      </w:r>
    </w:p>
    <w:p>
      <w:pPr>
        <w:pStyle w:val="ndice1"/>
        <w:tabs>
          <w:tab w:val="right" w:leader="dot" w:pos="8204"/>
        </w:tabs>
      </w:pPr>
      <w:r>
        <w:t>Figura 2.3 — Fluxo digital entre aquisição, CAD/CAM e fabrico aditivo em próteses e ortóteses.</w:t>
        <w:tab/>
      </w:r>
      <w:r>
        <w:t>13</w:t>
      </w:r>
    </w:p>
    <w:p>
      <w:pPr>
        <w:pStyle w:val="ndice1"/>
        <w:tabs>
          <w:tab w:val="right" w:leader="dot" w:pos="8204"/>
        </w:tabs>
      </w:pPr>
      <w:r>
        <w:t>Figura 2.4 — Exemplo de configurador digital para personalização de uma prótese impressa em 3D.</w:t>
        <w:tab/>
      </w:r>
      <w:r>
        <w:t>15</w:t>
      </w:r>
    </w:p>
    <w:p>
      <w:pPr>
        <w:pStyle w:val="ndice1"/>
        <w:tabs>
          <w:tab w:val="right" w:leader="dot" w:pos="8204"/>
        </w:tabs>
      </w:pPr>
      <w:r>
        <w:t>Figura 2.5 — Marcos anatómicos e medidas de referência da mão para fins de personalização.</w:t>
        <w:tab/>
      </w:r>
      <w:r>
        <w:t>19</w:t>
      </w:r>
    </w:p>
    <w:p>
      <w:pPr>
        <w:pStyle w:val="ndice1"/>
        <w:tabs>
          <w:tab w:val="right" w:leader="dot" w:pos="8204"/>
        </w:tabs>
      </w:pPr>
      <w:r>
        <w:t>Figura 2.6 — Enquadramento de um fluxo de CAD apoiado por IA para desenvolvimento de produto.</w:t>
        <w:tab/>
      </w:r>
      <w:r>
        <w:t>22</w:t>
      </w:r>
    </w:p>
    <w:p>
      <w:pPr>
        <w:pStyle w:val="ndice1"/>
        <w:tabs>
          <w:tab w:val="right" w:leader="dot" w:pos="8204"/>
        </w:tabs>
      </w:pPr>
      <w:r>
        <w:t>Figura 2.7 — Modelo de processo para configurar participação em ecossistemas de inovação e cocriação.</w:t>
        <w:tab/>
      </w:r>
      <w:r>
        <w:t>26</w:t>
      </w:r>
    </w:p>
    <w:p>
      <w:pPr>
        <w:pStyle w:val="ndice1"/>
        <w:tabs>
          <w:tab w:val="right" w:leader="dot" w:pos="8204"/>
        </w:tabs>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r>
      <w:r>
        <w:t>30</w:t>
      </w:r>
    </w:p>
    <w:p>
      <w:pPr>
        <w:pStyle w:val="ndice1"/>
        <w:tabs>
          <w:tab w:val="right" w:leader="dot" w:pos="8204"/>
        </w:tabs>
      </w:pPr>
      <w:r>
        <w:t>Figura 3.1 — Processo interdisciplinar de desenvolvimento de uma prótese de membro superior impressa em 3D.</w:t>
        <w:tab/>
      </w:r>
      <w:r>
        <w:t>35</w:t>
      </w:r>
    </w:p>
    <w:p>
      <w:pPr>
        <w:pStyle w:val="ndice1"/>
        <w:tabs>
          <w:tab w:val="right" w:leader="dot" w:pos="8204"/>
        </w:tabs>
      </w:pPr>
      <w:r>
        <w:t>Figura 3.2 — Exemplo de recolha dimensional para ajuste de prótese impressa em 3D.</w:t>
        <w:tab/>
      </w:r>
      <w:r>
        <w:t>38</w:t>
      </w:r>
    </w:p>
    <w:p>
      <w:pPr>
        <w:pStyle w:val="ndice1"/>
        <w:tabs>
          <w:tab w:val="right" w:leader="dot" w:pos="8204"/>
        </w:tabs>
      </w:pPr>
      <w:r>
        <w:t>Figura 4.1 — Parâmetros antropométricos utilizados na modelação paramétrica de dedos protésicos.</w:t>
        <w:tab/>
      </w:r>
      <w:r>
        <w:t>42</w:t>
      </w:r>
    </w:p>
    <w:p>
      <w:pPr>
        <w:pStyle w:val="ndice1"/>
        <w:tabs>
          <w:tab w:val="right" w:leader="dot" w:pos="8204"/>
        </w:tabs>
      </w:pPr>
      <w:r>
        <w:t>Figura 4.2 — Comparação entre o escalonamento uniforme e a modelação paramétrica de dedo protésico.</w:t>
        <w:tab/>
      </w:r>
      <w:r>
        <w:t>44</w:t>
      </w:r>
    </w:p>
    <w:p>
      <w:pPr>
        <w:pStyle w:val="ndice1"/>
        <w:tabs>
          <w:tab w:val="right" w:leader="dot" w:pos="8204"/>
        </w:tabs>
      </w:pPr>
      <w:r>
        <w:t>Figura 4.3 — Relação entre modelo paramétrico digital, prototipagem e verificação de um dedo protésico.</w:t>
        <w:tab/>
      </w:r>
      <w:r>
        <w:t>54</w:t>
      </w:r>
    </w:p>
    <w:p>
      <w:pPr>
        <w:pStyle w:val="ndice1"/>
        <w:tabs>
          <w:tab w:val="right" w:leader="dot" w:pos="8204"/>
        </w:tabs>
      </w:pPr>
      <w:r>
        <w:t>Figura 5.1 — Fluxo geral de produção personalizada de próteses a partir de plataforma web – Hand Fab</w:t>
        <w:tab/>
      </w:r>
      <w:r>
        <w:t>63</w:t>
      </w:r>
    </w:p>
    <w:p>
      <w:pPr>
        <w:pStyle w:val="ndice1"/>
        <w:tabs>
          <w:tab w:val="right" w:leader="dot" w:pos="8204"/>
        </w:tabs>
      </w:pPr>
      <w:r>
        <w:t>Figura 5.2 — Arquitectura da plataforma e fronteiras entre navegador, servidor, serviço externo de IA e preparação do fabrico.</w:t>
        <w:tab/>
      </w:r>
      <w:r>
        <w:t>66</w:t>
      </w:r>
    </w:p>
    <w:p>
      <w:pPr>
        <w:pStyle w:val="ndice1"/>
        <w:tabs>
          <w:tab w:val="right" w:leader="dot" w:pos="8204"/>
        </w:tabs>
      </w:pPr>
      <w:r>
        <w:t>Figura 5.3 — Sequência de dados e decisões desde o perfil ou descrição até à sugestão, confirmação, geração determinística e exportação.</w:t>
        <w:tab/>
      </w:r>
      <w:r>
        <w:t>67</w:t>
      </w:r>
    </w:p>
    <w:p>
      <w:pPr>
        <w:pStyle w:val="ndice1"/>
        <w:tabs>
          <w:tab w:val="right" w:leader="dot" w:pos="8204"/>
        </w:tabs>
      </w:pPr>
      <w:r>
        <w:t>Figura 5.4 — Fluxo geral de produção personalizada de próteses a partir de digitalização, CAD adaptativo e fabrico aditivo.</w:t>
        <w:tab/>
      </w:r>
      <w:r>
        <w:t>68</w:t>
      </w:r>
    </w:p>
    <w:p>
      <w:pPr>
        <w:pStyle w:val="ndice1"/>
        <w:tabs>
          <w:tab w:val="right" w:leader="dot" w:pos="8204"/>
        </w:tabs>
      </w:pPr>
      <w:r>
        <w:t>Figura 5.5 — Ferramenta paramétrica para configuração de ajudas técnicas com variação de dimensões, materiais e peso.</w:t>
        <w:tab/>
      </w:r>
      <w:r>
        <w:t>72</w:t>
      </w:r>
    </w:p>
    <w:p>
      <w:pPr>
        <w:pStyle w:val="ndice1"/>
        <w:tabs>
          <w:tab w:val="right" w:leader="dot" w:pos="8204"/>
        </w:tabs>
      </w:pPr>
      <w:r>
        <w:t>Figura 6.1 — Relação entre desafios de explicabilidade e princípios de IA responsável.</w:t>
        <w:tab/>
      </w:r>
      <w:r>
        <w:t>83</w:t>
      </w:r>
    </w:p>
    <w:p>
      <w:pPr>
        <w:pStyle w:val="ndice1"/>
        <w:tabs>
          <w:tab w:val="right" w:leader="dot" w:pos="8204"/>
        </w:tabs>
      </w:pPr>
      <w:r>
        <w:t>Figura 7.1 — Exemplo publicado de teste de uma prótese impressa em 3D com um utilizador; esta actividade não integrou a avaliação da presente dissertação.</w:t>
        <w:tab/>
      </w:r>
      <w:r>
        <w:t>85</w:t>
      </w:r>
    </w:p>
    <w:p>
      <w:pPr>
        <w:pStyle w:val="ndice1"/>
        <w:tabs>
          <w:tab w:val="right" w:leader="dot" w:pos="8204"/>
        </w:tabs>
      </w:pPr>
      <w:r>
        <w:t>Figura 8.1 — Segmentos do Flexy Beast produzidos e assentes na plataforma da Bambu Lab A1.</w:t>
        <w:tab/>
      </w:r>
      <w:r>
        <w:t>93</w:t>
      </w:r>
    </w:p>
    <w:p>
      <w:pPr>
        <w:pStyle w:val="ndice1"/>
        <w:tabs>
          <w:tab w:val="right" w:leader="dot" w:pos="8204"/>
        </w:tabs>
      </w:pPr>
      <w:r>
        <w:t>Figura 8.2 — Série física de segmentos Flexy Beast identificados pelas idades simuladas de 8, 15, 28 e 70 anos. A imagem permite comparar escala e conclusão das peças, sem constituir medição dimensional ou ensaio mecânico.</w:t>
        <w:tab/>
      </w:r>
      <w:r>
        <w:t>93</w:t>
      </w:r>
    </w:p>
    <w:p>
      <w:pPr>
        <w:pStyle w:val="ndice1"/>
        <w:tabs>
          <w:tab w:val="right" w:leader="dot" w:pos="8204"/>
        </w:tabs>
      </w:pPr>
      <w:r>
        <w:t>Figura 8.3 — Série física de segmentos Paraglider Hand identificados pelas idades simuladas de 8, 15, 28 e 70 anos. A imagem documenta a transição para peças físicas e não demonstra ajuste anatómico.</w:t>
        <w:tab/>
      </w:r>
      <w:r>
        <w:t>93</w:t>
      </w:r>
    </w:p>
    <w:p>
      <w:pPr>
        <w:pStyle w:val="ndice1"/>
        <w:tabs>
          <w:tab w:val="right" w:leader="dot" w:pos="8204"/>
        </w:tabs>
      </w:pPr>
      <w:r>
        <w:t>Figura 8.4 — Tarefas funcionais usadas em avaliação de prótese personalizada de membro superior.</w:t>
        <w:tab/>
      </w:r>
      <w:r>
        <w:t>94</w:t>
      </w:r>
    </w:p>
    <w:p>
      <w:pPr>
        <w:pStyle w:val="TtulosPrembulo-IPCA"/>
        <w:pageBreakBefore/>
      </w:pPr>
      <w:r>
        <w:t>ÍNDICE</w:t>
      </w:r>
    </w:p>
    <w:p>
      <w:pPr>
        <w:pStyle w:val="ndice1"/>
        <w:tabs>
          <w:tab w:val="right" w:leader="dot" w:pos="8204"/>
        </w:tabs>
      </w:pPr>
      <w:r>
        <w:t>Capítulo 1 — Introdução</w:t>
        <w:tab/>
      </w:r>
      <w:r>
        <w:t>1</w:t>
      </w:r>
    </w:p>
    <w:p>
      <w:pPr>
        <w:pStyle w:val="ndice2"/>
        <w:tabs>
          <w:tab w:val="right" w:leader="dot" w:pos="8204"/>
        </w:tabs>
      </w:pPr>
      <w:r>
        <w:t>1.1 Enquadramento geral, contexto e motivação</w:t>
        <w:tab/>
      </w:r>
      <w:r>
        <w:t>1</w:t>
      </w:r>
    </w:p>
    <w:p>
      <w:pPr>
        <w:pStyle w:val="ndice2"/>
        <w:tabs>
          <w:tab w:val="right" w:leader="dot" w:pos="8204"/>
        </w:tabs>
      </w:pPr>
      <w:r>
        <w:t>1.2 Problema de investigação</w:t>
        <w:tab/>
      </w:r>
      <w:r>
        <w:t>2</w:t>
      </w:r>
    </w:p>
    <w:p>
      <w:pPr>
        <w:pStyle w:val="ndice2"/>
        <w:tabs>
          <w:tab w:val="right" w:leader="dot" w:pos="8204"/>
        </w:tabs>
      </w:pPr>
      <w:r>
        <w:t>1.3 Objectivos da investigação</w:t>
        <w:tab/>
      </w:r>
      <w:r>
        <w:t>2</w:t>
      </w:r>
    </w:p>
    <w:p>
      <w:pPr>
        <w:pStyle w:val="ndice3"/>
        <w:tabs>
          <w:tab w:val="right" w:leader="dot" w:pos="8204"/>
        </w:tabs>
      </w:pPr>
      <w:r>
        <w:t>1.3.1 Objectivo geral</w:t>
        <w:tab/>
      </w:r>
      <w:r>
        <w:t>2</w:t>
      </w:r>
    </w:p>
    <w:p>
      <w:pPr>
        <w:pStyle w:val="ndice3"/>
        <w:tabs>
          <w:tab w:val="right" w:leader="dot" w:pos="8204"/>
        </w:tabs>
      </w:pPr>
      <w:r>
        <w:t>1.3.2 Objectivos específicos</w:t>
        <w:tab/>
      </w:r>
      <w:r>
        <w:t>2</w:t>
      </w:r>
    </w:p>
    <w:p>
      <w:pPr>
        <w:pStyle w:val="ndice2"/>
        <w:tabs>
          <w:tab w:val="right" w:leader="dot" w:pos="8204"/>
        </w:tabs>
      </w:pPr>
      <w:r>
        <w:t>1.4 Abordagem metodológica geral</w:t>
        <w:tab/>
      </w:r>
      <w:r>
        <w:t>3</w:t>
      </w:r>
    </w:p>
    <w:p>
      <w:pPr>
        <w:pStyle w:val="ndice2"/>
        <w:tabs>
          <w:tab w:val="right" w:leader="dot" w:pos="8204"/>
        </w:tabs>
      </w:pPr>
      <w:r>
        <w:t>1.5 Estrutura da dissertação</w:t>
        <w:tab/>
      </w:r>
      <w:r>
        <w:t>3</w:t>
      </w:r>
    </w:p>
    <w:p>
      <w:pPr>
        <w:pStyle w:val="ndice1"/>
        <w:tabs>
          <w:tab w:val="right" w:leader="dot" w:pos="8204"/>
        </w:tabs>
      </w:pPr>
      <w:r>
        <w:t>Capítulo 2 — Enquadramento Teórico e Estado da Arte</w:t>
        <w:tab/>
      </w:r>
      <w:r>
        <w:t>4</w:t>
      </w:r>
    </w:p>
    <w:p>
      <w:pPr>
        <w:pStyle w:val="ndice2"/>
        <w:tabs>
          <w:tab w:val="right" w:leader="dot" w:pos="8204"/>
        </w:tabs>
      </w:pPr>
      <w:r>
        <w:t>2.1 Prótese de membro superior e dispositivos médicos</w:t>
        <w:tab/>
      </w:r>
      <w:r>
        <w:t>4</w:t>
      </w:r>
    </w:p>
    <w:p>
      <w:pPr>
        <w:pStyle w:val="ndice2"/>
        <w:tabs>
          <w:tab w:val="right" w:leader="dot" w:pos="8204"/>
        </w:tabs>
      </w:pPr>
      <w:r>
        <w:t>Tipologias de próteses de membro superior</w:t>
        <w:tab/>
      </w:r>
      <w:r>
        <w:t>4</w:t>
      </w:r>
    </w:p>
    <w:p>
      <w:pPr>
        <w:pStyle w:val="ndice2"/>
        <w:tabs>
          <w:tab w:val="right" w:leader="dot" w:pos="8204"/>
        </w:tabs>
      </w:pPr>
      <w:r>
        <w:t>Próteses mecânicas accionadas pelo corpo (body-powered)</w:t>
        <w:tab/>
      </w:r>
      <w:r>
        <w:t>4</w:t>
      </w:r>
    </w:p>
    <w:p>
      <w:pPr>
        <w:pStyle w:val="ndice2"/>
        <w:tabs>
          <w:tab w:val="right" w:leader="dot" w:pos="8204"/>
        </w:tabs>
      </w:pPr>
      <w:r>
        <w:t>Próteses mioeléctricas</w:t>
        <w:tab/>
      </w:r>
      <w:r>
        <w:t>5</w:t>
      </w:r>
    </w:p>
    <w:p>
      <w:pPr>
        <w:pStyle w:val="ndice2"/>
        <w:tabs>
          <w:tab w:val="right" w:leader="dot" w:pos="8204"/>
        </w:tabs>
      </w:pPr>
      <w:r>
        <w:t>Sistemas híbridos</w:t>
        <w:tab/>
      </w:r>
      <w:r>
        <w:t>5</w:t>
      </w:r>
    </w:p>
    <w:p>
      <w:pPr>
        <w:pStyle w:val="ndice2"/>
        <w:tabs>
          <w:tab w:val="right" w:leader="dot" w:pos="8204"/>
        </w:tabs>
      </w:pPr>
      <w:r>
        <w:t>Considerações clínicas e funcionais</w:t>
        <w:tab/>
      </w:r>
      <w:r>
        <w:t>6</w:t>
      </w:r>
    </w:p>
    <w:p>
      <w:pPr>
        <w:pStyle w:val="ndice2"/>
        <w:tabs>
          <w:tab w:val="right" w:leader="dot" w:pos="8204"/>
        </w:tabs>
      </w:pPr>
      <w:r>
        <w:t>Medição de resultados e abandono protésico</w:t>
        <w:tab/>
      </w:r>
      <w:r>
        <w:t>7</w:t>
      </w:r>
    </w:p>
    <w:p>
      <w:pPr>
        <w:pStyle w:val="ndice2"/>
        <w:tabs>
          <w:tab w:val="right" w:leader="dot" w:pos="8204"/>
        </w:tabs>
      </w:pPr>
      <w:r>
        <w:t>Enquadramento regulatório enquanto dispositivo médico</w:t>
        <w:tab/>
      </w:r>
      <w:r>
        <w:t>8</w:t>
      </w:r>
    </w:p>
    <w:p>
      <w:pPr>
        <w:pStyle w:val="ndice2"/>
        <w:tabs>
          <w:tab w:val="right" w:leader="dot" w:pos="8204"/>
        </w:tabs>
      </w:pPr>
      <w:r>
        <w:t>2.2 design industrial, design inclusivo e design centrado no utilizador</w:t>
        <w:tab/>
      </w:r>
      <w:r>
        <w:t>9</w:t>
      </w:r>
    </w:p>
    <w:p>
      <w:pPr>
        <w:pStyle w:val="ndice2"/>
        <w:tabs>
          <w:tab w:val="right" w:leader="dot" w:pos="8204"/>
        </w:tabs>
      </w:pPr>
      <w:r>
        <w:t>Design industrial em dispositivos médicos</w:t>
        <w:tab/>
      </w:r>
      <w:r>
        <w:t>9</w:t>
      </w:r>
    </w:p>
    <w:p>
      <w:pPr>
        <w:pStyle w:val="ndice2"/>
        <w:tabs>
          <w:tab w:val="right" w:leader="dot" w:pos="8204"/>
        </w:tabs>
      </w:pPr>
      <w:r>
        <w:t>design inclusivo e design universal</w:t>
        <w:tab/>
      </w:r>
      <w:r>
        <w:t>10</w:t>
      </w:r>
    </w:p>
    <w:p>
      <w:pPr>
        <w:pStyle w:val="ndice2"/>
        <w:tabs>
          <w:tab w:val="right" w:leader="dot" w:pos="8204"/>
        </w:tabs>
      </w:pPr>
      <w:r>
        <w:t>design centrado no utilizador e design centrado no humano</w:t>
        <w:tab/>
      </w:r>
      <w:r>
        <w:t>10</w:t>
      </w:r>
    </w:p>
    <w:p>
      <w:pPr>
        <w:pStyle w:val="ndice2"/>
        <w:tabs>
          <w:tab w:val="right" w:leader="dot" w:pos="8204"/>
        </w:tabs>
      </w:pPr>
      <w:r>
        <w:t>Design Participativo e Co-design</w:t>
        <w:tab/>
      </w:r>
      <w:r>
        <w:t>11</w:t>
      </w:r>
    </w:p>
    <w:p>
      <w:pPr>
        <w:pStyle w:val="ndice2"/>
        <w:tabs>
          <w:tab w:val="right" w:leader="dot" w:pos="8204"/>
        </w:tabs>
      </w:pPr>
      <w:r>
        <w:t>Metodologias, instrumentos e avaliação</w:t>
        <w:tab/>
      </w:r>
      <w:r>
        <w:t>11</w:t>
      </w:r>
    </w:p>
    <w:p>
      <w:pPr>
        <w:pStyle w:val="ndice2"/>
        <w:tabs>
          <w:tab w:val="right" w:leader="dot" w:pos="8204"/>
        </w:tabs>
      </w:pPr>
      <w:r>
        <w:t>Desafios e lacunas</w:t>
        <w:tab/>
      </w:r>
      <w:r>
        <w:t>12</w:t>
      </w:r>
    </w:p>
    <w:p>
      <w:pPr>
        <w:pStyle w:val="ndice2"/>
        <w:tabs>
          <w:tab w:val="right" w:leader="dot" w:pos="8204"/>
        </w:tabs>
      </w:pPr>
      <w:r>
        <w:t>2.3 Fabrico Aditivo e parametrização no design de produto</w:t>
        <w:tab/>
      </w:r>
      <w:r>
        <w:t>12</w:t>
      </w:r>
    </w:p>
    <w:p>
      <w:pPr>
        <w:pStyle w:val="ndice2"/>
        <w:tabs>
          <w:tab w:val="right" w:leader="dot" w:pos="8204"/>
        </w:tabs>
      </w:pPr>
      <w:r>
        <w:t>Modelação Paramétrica e Espaços de Variação</w:t>
        <w:tab/>
      </w:r>
      <w:r>
        <w:t>13</w:t>
      </w:r>
    </w:p>
    <w:p>
      <w:pPr>
        <w:pStyle w:val="ndice2"/>
        <w:tabs>
          <w:tab w:val="right" w:leader="dot" w:pos="8204"/>
        </w:tabs>
      </w:pPr>
      <w:r>
        <w:t>Integração com Fabrico Aditivo e Design for Additive Manufacturing</w:t>
        <w:tab/>
      </w:r>
      <w:r>
        <w:t>14</w:t>
      </w:r>
    </w:p>
    <w:p>
      <w:pPr>
        <w:pStyle w:val="ndice2"/>
        <w:tabs>
          <w:tab w:val="right" w:leader="dot" w:pos="8204"/>
        </w:tabs>
      </w:pPr>
      <w:r>
        <w:t>Configuradores e Cocriação Digital</w:t>
        <w:tab/>
      </w:r>
      <w:r>
        <w:t>14</w:t>
      </w:r>
    </w:p>
    <w:p>
      <w:pPr>
        <w:pStyle w:val="ndice2"/>
        <w:tabs>
          <w:tab w:val="right" w:leader="dot" w:pos="8204"/>
        </w:tabs>
      </w:pPr>
      <w:r>
        <w:t>Optimização, Geração e Avaliação de Desempenho</w:t>
        <w:tab/>
      </w:r>
      <w:r>
        <w:t>15</w:t>
      </w:r>
    </w:p>
    <w:p>
      <w:pPr>
        <w:pStyle w:val="ndice2"/>
        <w:tabs>
          <w:tab w:val="right" w:leader="dot" w:pos="8204"/>
        </w:tabs>
      </w:pPr>
      <w:r>
        <w:t>Implicações para o design industrial</w:t>
        <w:tab/>
      </w:r>
      <w:r>
        <w:t>16</w:t>
      </w:r>
    </w:p>
    <w:p>
      <w:pPr>
        <w:pStyle w:val="ndice2"/>
        <w:tabs>
          <w:tab w:val="right" w:leader="dot" w:pos="8204"/>
        </w:tabs>
      </w:pPr>
      <w:r>
        <w:t>2.4 Próteses open source de membro superior passíveis de impressão 3D</w:t>
        <w:tab/>
      </w:r>
      <w:r>
        <w:t>16</w:t>
      </w:r>
    </w:p>
    <w:p>
      <w:pPr>
        <w:pStyle w:val="ndice2"/>
        <w:tabs>
          <w:tab w:val="right" w:leader="dot" w:pos="8204"/>
        </w:tabs>
      </w:pPr>
      <w:r>
        <w:t>2.5 Antropometria aplicada ao design protésico</w:t>
        <w:tab/>
      </w:r>
      <w:r>
        <w:t>18</w:t>
      </w:r>
    </w:p>
    <w:p>
      <w:pPr>
        <w:pStyle w:val="ndice2"/>
        <w:tabs>
          <w:tab w:val="right" w:leader="dot" w:pos="8204"/>
        </w:tabs>
      </w:pPr>
      <w:r>
        <w:t>Da dimensão linear à “forma” como dado de projecto</w:t>
        <w:tab/>
      </w:r>
      <w:r>
        <w:t>18</w:t>
      </w:r>
    </w:p>
    <w:p>
      <w:pPr>
        <w:pStyle w:val="ndice2"/>
        <w:tabs>
          <w:tab w:val="right" w:leader="dot" w:pos="8204"/>
        </w:tabs>
      </w:pPr>
      <w:r>
        <w:t>Métodos de recolha antropométrica em próteses e tecnologias de apoio</w:t>
        <w:tab/>
      </w:r>
      <w:r>
        <w:t>19</w:t>
      </w:r>
    </w:p>
    <w:p>
      <w:pPr>
        <w:pStyle w:val="ndice2"/>
        <w:tabs>
          <w:tab w:val="right" w:leader="dot" w:pos="8204"/>
        </w:tabs>
      </w:pPr>
      <w:r>
        <w:t>Interpretação e aplicação de dados antropométricos no projecto</w:t>
        <w:tab/>
      </w:r>
      <w:r>
        <w:t>20</w:t>
      </w:r>
    </w:p>
    <w:p>
      <w:pPr>
        <w:pStyle w:val="ndice2"/>
        <w:tabs>
          <w:tab w:val="right" w:leader="dot" w:pos="8204"/>
        </w:tabs>
      </w:pPr>
      <w:r>
        <w:t>Evidência por tipo de dispositivo</w:t>
        <w:tab/>
      </w:r>
      <w:r>
        <w:t>20</w:t>
      </w:r>
    </w:p>
    <w:p>
      <w:pPr>
        <w:pStyle w:val="ndice2"/>
        <w:tabs>
          <w:tab w:val="right" w:leader="dot" w:pos="8204"/>
        </w:tabs>
      </w:pPr>
      <w:r>
        <w:t>Limitações, lacunas e recomendações</w:t>
        <w:tab/>
      </w:r>
      <w:r>
        <w:t>21</w:t>
      </w:r>
    </w:p>
    <w:p>
      <w:pPr>
        <w:pStyle w:val="ndice2"/>
        <w:tabs>
          <w:tab w:val="right" w:leader="dot" w:pos="8204"/>
        </w:tabs>
      </w:pPr>
      <w:r>
        <w:t>Estruturação de dados</w:t>
        <w:tab/>
      </w:r>
      <w:r>
        <w:t>21</w:t>
      </w:r>
    </w:p>
    <w:p>
      <w:pPr>
        <w:pStyle w:val="ndice2"/>
        <w:tabs>
          <w:tab w:val="right" w:leader="dot" w:pos="8204"/>
        </w:tabs>
      </w:pPr>
      <w:r>
        <w:t>2.6 Inteligência Artificial no processo de design</w:t>
        <w:tab/>
      </w:r>
      <w:r>
        <w:t>22</w:t>
      </w:r>
    </w:p>
    <w:p>
      <w:pPr>
        <w:pStyle w:val="ndice2"/>
        <w:tabs>
          <w:tab w:val="right" w:leader="dot" w:pos="8204"/>
        </w:tabs>
      </w:pPr>
      <w:r>
        <w:t>O que é a Inteligência Artificial</w:t>
        <w:tab/>
      </w:r>
      <w:r>
        <w:t>22</w:t>
      </w:r>
    </w:p>
    <w:p>
      <w:pPr>
        <w:pStyle w:val="ndice2"/>
        <w:tabs>
          <w:tab w:val="right" w:leader="dot" w:pos="8204"/>
        </w:tabs>
      </w:pPr>
      <w:r>
        <w:t>Como funciona: dados, treino, inferência e geração</w:t>
        <w:tab/>
      </w:r>
      <w:r>
        <w:t>23</w:t>
      </w:r>
    </w:p>
    <w:p>
      <w:pPr>
        <w:pStyle w:val="ndice2"/>
        <w:tabs>
          <w:tab w:val="right" w:leader="dot" w:pos="8204"/>
        </w:tabs>
      </w:pPr>
      <w:r>
        <w:t>Formas de IA mais relevantes para o design</w:t>
        <w:tab/>
      </w:r>
      <w:r>
        <w:t>24</w:t>
      </w:r>
    </w:p>
    <w:p>
      <w:pPr>
        <w:pStyle w:val="ndice2"/>
        <w:tabs>
          <w:tab w:val="right" w:leader="dot" w:pos="8204"/>
        </w:tabs>
      </w:pPr>
      <w:r>
        <w:t>IA ao longo do processo de design</w:t>
        <w:tab/>
      </w:r>
      <w:r>
        <w:t>24</w:t>
      </w:r>
    </w:p>
    <w:p>
      <w:pPr>
        <w:pStyle w:val="ndice2"/>
        <w:tabs>
          <w:tab w:val="right" w:leader="dot" w:pos="8204"/>
        </w:tabs>
      </w:pPr>
      <w:r>
        <w:t>Papel do designer, riscos e necessidade de supervisão humana</w:t>
        <w:tab/>
      </w:r>
      <w:r>
        <w:t>25</w:t>
      </w:r>
    </w:p>
    <w:p>
      <w:pPr>
        <w:pStyle w:val="ndice2"/>
        <w:tabs>
          <w:tab w:val="right" w:leader="dot" w:pos="8204"/>
        </w:tabs>
      </w:pPr>
      <w:r>
        <w:t>2.7 Plataformas digitais e sistemas configuráveis</w:t>
        <w:tab/>
      </w:r>
      <w:r>
        <w:t>25</w:t>
      </w:r>
    </w:p>
    <w:p>
      <w:pPr>
        <w:pStyle w:val="ndice2"/>
        <w:tabs>
          <w:tab w:val="right" w:leader="dot" w:pos="8204"/>
        </w:tabs>
      </w:pPr>
      <w:r>
        <w:t>Fundamentos conceptuais: toolkits, meta-design e end-user development.</w:t>
        <w:tab/>
      </w:r>
      <w:r>
        <w:t>26</w:t>
      </w:r>
    </w:p>
    <w:p>
      <w:pPr>
        <w:pStyle w:val="ndice2"/>
        <w:tabs>
          <w:tab w:val="right" w:leader="dot" w:pos="8204"/>
        </w:tabs>
      </w:pPr>
      <w:r>
        <w:t>Mecanismos de personalização: modularidade, parametrização e adaptação individualizada</w:t>
        <w:tab/>
      </w:r>
      <w:r>
        <w:t>27</w:t>
      </w:r>
    </w:p>
    <w:p>
      <w:pPr>
        <w:pStyle w:val="ndice2"/>
        <w:tabs>
          <w:tab w:val="right" w:leader="dot" w:pos="8204"/>
        </w:tabs>
      </w:pPr>
      <w:r>
        <w:t>Fluxos participativos e infra-estruturas remotas</w:t>
        <w:tab/>
      </w:r>
      <w:r>
        <w:t>28</w:t>
      </w:r>
    </w:p>
    <w:p>
      <w:pPr>
        <w:pStyle w:val="ndice2"/>
        <w:tabs>
          <w:tab w:val="right" w:leader="dot" w:pos="8204"/>
        </w:tabs>
      </w:pPr>
      <w:r>
        <w:t>Aplicações em saúde, reabilitação e próteses</w:t>
        <w:tab/>
      </w:r>
      <w:r>
        <w:t>28</w:t>
      </w:r>
    </w:p>
    <w:p>
      <w:pPr>
        <w:pStyle w:val="ndice2"/>
        <w:tabs>
          <w:tab w:val="right" w:leader="dot" w:pos="8204"/>
        </w:tabs>
      </w:pPr>
      <w:r>
        <w:t>Limitações e lacunas: sustentabilidade, adopção e equilíbrio entre normalização e improviso</w:t>
        <w:tab/>
      </w:r>
      <w:r>
        <w:t>29</w:t>
      </w:r>
    </w:p>
    <w:p>
      <w:pPr>
        <w:pStyle w:val="ndice2"/>
        <w:tabs>
          <w:tab w:val="right" w:leader="dot" w:pos="8204"/>
        </w:tabs>
      </w:pPr>
      <w:r>
        <w:t>2.8 Análise crítica do estado da arte e lacunas identificadas</w:t>
        <w:tab/>
      </w:r>
      <w:r>
        <w:t>30</w:t>
      </w:r>
    </w:p>
    <w:p>
      <w:pPr>
        <w:pStyle w:val="ndice2"/>
        <w:tabs>
          <w:tab w:val="right" w:leader="dot" w:pos="8204"/>
        </w:tabs>
      </w:pPr>
      <w:r>
        <w:t>Lacuna 1 — Validação empírica limitada e fraca transposição para contextos reais de utilização</w:t>
        <w:tab/>
      </w:r>
      <w:r>
        <w:t>31</w:t>
      </w:r>
    </w:p>
    <w:p>
      <w:pPr>
        <w:pStyle w:val="ndice2"/>
        <w:tabs>
          <w:tab w:val="right" w:leader="dot" w:pos="8204"/>
        </w:tabs>
      </w:pPr>
      <w:r>
        <w:t>Lacuna 2 — Desalinhamento entre necessidades identificadas, métricas objetivas, e qualidade de vida</w:t>
        <w:tab/>
      </w:r>
      <w:r>
        <w:t>31</w:t>
      </w:r>
    </w:p>
    <w:p>
      <w:pPr>
        <w:pStyle w:val="ndice2"/>
        <w:tabs>
          <w:tab w:val="right" w:leader="dot" w:pos="8204"/>
        </w:tabs>
      </w:pPr>
      <w:r>
        <w:t>Lacuna 3 — Persistência de problemas na interface corpo–prótese e no ajuste individualizado</w:t>
        <w:tab/>
      </w:r>
      <w:r>
        <w:t>31</w:t>
      </w:r>
    </w:p>
    <w:p>
      <w:pPr>
        <w:pStyle w:val="ndice2"/>
        <w:tabs>
          <w:tab w:val="right" w:leader="dot" w:pos="8204"/>
        </w:tabs>
      </w:pPr>
      <w:r>
        <w:t>Lacuna 4 — Evolução limitada das estratégias de controlo e da interacção utilizador–prótese</w:t>
        <w:tab/>
      </w:r>
      <w:r>
        <w:t>32</w:t>
      </w:r>
    </w:p>
    <w:p>
      <w:pPr>
        <w:pStyle w:val="ndice2"/>
        <w:tabs>
          <w:tab w:val="right" w:leader="dot" w:pos="8204"/>
        </w:tabs>
      </w:pPr>
      <w:r>
        <w:t>Lacuna 5 — Acesso, custo, manutenção e inequidades sistémicas</w:t>
        <w:tab/>
      </w:r>
      <w:r>
        <w:t>32</w:t>
      </w:r>
    </w:p>
    <w:p>
      <w:pPr>
        <w:pStyle w:val="ndice2"/>
        <w:tabs>
          <w:tab w:val="right" w:leader="dot" w:pos="8204"/>
        </w:tabs>
      </w:pPr>
      <w:r>
        <w:t>Lacuna 6 — Envolvimento do utilizador e registo metodológico insuficiente</w:t>
        <w:tab/>
      </w:r>
      <w:r>
        <w:t>32</w:t>
      </w:r>
    </w:p>
    <w:p>
      <w:pPr>
        <w:pStyle w:val="ndice2"/>
        <w:tabs>
          <w:tab w:val="right" w:leader="dot" w:pos="8204"/>
        </w:tabs>
      </w:pPr>
      <w:r>
        <w:t>Implicações para esta investigação</w:t>
        <w:tab/>
      </w:r>
      <w:r>
        <w:t>33</w:t>
      </w:r>
    </w:p>
    <w:p>
      <w:pPr>
        <w:pStyle w:val="ndice1"/>
        <w:tabs>
          <w:tab w:val="right" w:leader="dot" w:pos="8204"/>
        </w:tabs>
      </w:pPr>
      <w:r>
        <w:t>Capítulo 3 — Metodologia de Investigação</w:t>
        <w:tab/>
      </w:r>
      <w:r>
        <w:t>34</w:t>
      </w:r>
    </w:p>
    <w:p>
      <w:pPr>
        <w:pStyle w:val="ndice2"/>
        <w:tabs>
          <w:tab w:val="right" w:leader="dot" w:pos="8204"/>
        </w:tabs>
      </w:pPr>
      <w:r>
        <w:t>3.1 Enquadramento metodológico e abordagem Research Through Design</w:t>
        <w:tab/>
      </w:r>
      <w:r>
        <w:t>34</w:t>
      </w:r>
    </w:p>
    <w:p>
      <w:pPr>
        <w:pStyle w:val="ndice2"/>
        <w:tabs>
          <w:tab w:val="right" w:leader="dot" w:pos="8204"/>
        </w:tabs>
      </w:pPr>
      <w:r>
        <w:t>3.2 O design industrial como prática investigativa</w:t>
        <w:tab/>
      </w:r>
      <w:r>
        <w:t>35</w:t>
      </w:r>
    </w:p>
    <w:p>
      <w:pPr>
        <w:pStyle w:val="ndice2"/>
        <w:tabs>
          <w:tab w:val="right" w:leader="dot" w:pos="8204"/>
        </w:tabs>
      </w:pPr>
      <w:r>
        <w:t>3.3 Estrutura metodológica do projecto</w:t>
        <w:tab/>
      </w:r>
      <w:r>
        <w:t>36</w:t>
      </w:r>
    </w:p>
    <w:p>
      <w:pPr>
        <w:pStyle w:val="ndice2"/>
        <w:tabs>
          <w:tab w:val="right" w:leader="dot" w:pos="8204"/>
        </w:tabs>
      </w:pPr>
      <w:r>
        <w:t>3.4 Métodos de recolha e análise de dados</w:t>
        <w:tab/>
      </w:r>
      <w:r>
        <w:t>37</w:t>
      </w:r>
    </w:p>
    <w:p>
      <w:pPr>
        <w:pStyle w:val="ndice2"/>
        <w:tabs>
          <w:tab w:val="right" w:leader="dot" w:pos="8204"/>
        </w:tabs>
      </w:pPr>
      <w:r>
        <w:t>3.5 Critérios de avaliação e limitações metodológicas</w:t>
        <w:tab/>
      </w:r>
      <w:r>
        <w:t>38</w:t>
      </w:r>
    </w:p>
    <w:p>
      <w:pPr>
        <w:pStyle w:val="ndice1"/>
        <w:tabs>
          <w:tab w:val="right" w:leader="dot" w:pos="8204"/>
        </w:tabs>
      </w:pPr>
      <w:r>
        <w:t>Capítulo 4 — Desenvolvimento do Modelo Paramétrico</w:t>
        <w:tab/>
      </w:r>
      <w:r>
        <w:t>40</w:t>
      </w:r>
    </w:p>
    <w:p>
      <w:pPr>
        <w:pStyle w:val="ndice2"/>
        <w:tabs>
          <w:tab w:val="right" w:leader="dot" w:pos="8204"/>
        </w:tabs>
      </w:pPr>
      <w:r>
        <w:t>4.1 Definição do problema de design e requisitos</w:t>
        <w:tab/>
      </w:r>
      <w:r>
        <w:t>40</w:t>
      </w:r>
    </w:p>
    <w:p>
      <w:pPr>
        <w:pStyle w:val="ndice2"/>
        <w:tabs>
          <w:tab w:val="right" w:leader="dot" w:pos="8204"/>
        </w:tabs>
      </w:pPr>
      <w:r>
        <w:t>4.2 Parâmetros antropométricos e estrutura do modelo</w:t>
        <w:tab/>
      </w:r>
      <w:r>
        <w:t>41</w:t>
      </w:r>
    </w:p>
    <w:p>
      <w:pPr>
        <w:pStyle w:val="ndice2"/>
        <w:tabs>
          <w:tab w:val="right" w:leader="dot" w:pos="8204"/>
        </w:tabs>
      </w:pPr>
      <w:r>
        <w:t>Conjuntos mínimos de parâmetros por nível de amputação</w:t>
        <w:tab/>
      </w:r>
      <w:r>
        <w:t>43</w:t>
      </w:r>
    </w:p>
    <w:p>
      <w:pPr>
        <w:pStyle w:val="ndice2"/>
        <w:tabs>
          <w:tab w:val="right" w:leader="dot" w:pos="8204"/>
        </w:tabs>
      </w:pPr>
      <w:r>
        <w:t>Limitações do redimensionamento proporcional</w:t>
        <w:tab/>
      </w:r>
      <w:r>
        <w:t>44</w:t>
      </w:r>
    </w:p>
    <w:p>
      <w:pPr>
        <w:pStyle w:val="ndice2"/>
        <w:tabs>
          <w:tab w:val="right" w:leader="dot" w:pos="8204"/>
        </w:tabs>
      </w:pPr>
      <w:r>
        <w:t>Métodos de recolha de dados antropométricos</w:t>
        <w:tab/>
      </w:r>
      <w:r>
        <w:t>44</w:t>
      </w:r>
    </w:p>
    <w:p>
      <w:pPr>
        <w:pStyle w:val="ndice2"/>
        <w:tabs>
          <w:tab w:val="right" w:leader="dot" w:pos="8204"/>
        </w:tabs>
      </w:pPr>
      <w:r>
        <w:t>Bases de dados antropométricas, extracção e normalização</w:t>
        <w:tab/>
      </w:r>
      <w:r>
        <w:t>45</w:t>
      </w:r>
    </w:p>
    <w:p>
      <w:pPr>
        <w:pStyle w:val="ndice2"/>
        <w:tabs>
          <w:tab w:val="right" w:leader="dot" w:pos="8204"/>
        </w:tabs>
      </w:pPr>
      <w:r>
        <w:t>Correspondência entre perfil populacional e parâmetros do modelo</w:t>
        <w:tab/>
      </w:r>
      <w:r>
        <w:t>49</w:t>
      </w:r>
    </w:p>
    <w:p>
      <w:pPr>
        <w:pStyle w:val="ndice2"/>
        <w:tabs>
          <w:tab w:val="right" w:leader="dot" w:pos="8204"/>
        </w:tabs>
      </w:pPr>
      <w:r>
        <w:t>Estrutura paramétrica e mapeamento de parâmetros</w:t>
        <w:tab/>
      </w:r>
      <w:r>
        <w:t>50</w:t>
      </w:r>
    </w:p>
    <w:p>
      <w:pPr>
        <w:pStyle w:val="ndice2"/>
        <w:tabs>
          <w:tab w:val="right" w:leader="dot" w:pos="8204"/>
        </w:tabs>
      </w:pPr>
      <w:r>
        <w:t>OpenSCAD: enquadramento e justificação da escolha</w:t>
        <w:tab/>
      </w:r>
      <w:r>
        <w:t>51</w:t>
      </w:r>
    </w:p>
    <w:p>
      <w:pPr>
        <w:pStyle w:val="ndice2"/>
        <w:tabs>
          <w:tab w:val="right" w:leader="dot" w:pos="8204"/>
        </w:tabs>
      </w:pPr>
      <w:r>
        <w:t>4.3 Modelação paramétrica em OpenSCAD</w:t>
        <w:tab/>
      </w:r>
      <w:r>
        <w:t>53</w:t>
      </w:r>
    </w:p>
    <w:p>
      <w:pPr>
        <w:pStyle w:val="ndice3"/>
        <w:tabs>
          <w:tab w:val="right" w:leader="dot" w:pos="8204"/>
        </w:tabs>
      </w:pPr>
      <w:r>
        <w:t>4.3.1 Estrutura técnica, parâmetros e restrições</w:t>
        <w:tab/>
      </w:r>
      <w:r>
        <w:t>54</w:t>
      </w:r>
    </w:p>
    <w:p>
      <w:pPr>
        <w:pStyle w:val="ndice3"/>
        <w:tabs>
          <w:tab w:val="right" w:leader="dot" w:pos="8204"/>
        </w:tabs>
      </w:pPr>
      <w:r>
        <w:t>4.3.2 Análise crítica da abordagem</w:t>
        <w:tab/>
      </w:r>
      <w:r>
        <w:t>55</w:t>
      </w:r>
    </w:p>
    <w:p>
      <w:pPr>
        <w:pStyle w:val="ndice3"/>
        <w:tabs>
          <w:tab w:val="right" w:leader="dot" w:pos="8204"/>
        </w:tabs>
      </w:pPr>
      <w:r>
        <w:t>4.3.3 Relações implementadas nos modelos avaliados</w:t>
        <w:tab/>
      </w:r>
      <w:r>
        <w:t>56</w:t>
      </w:r>
    </w:p>
    <w:p>
      <w:pPr>
        <w:pStyle w:val="ndice3"/>
        <w:tabs>
          <w:tab w:val="right" w:leader="dot" w:pos="8204"/>
        </w:tabs>
      </w:pPr>
      <w:r>
        <w:t>4.3.4 Dicionário operacional de parâmetros</w:t>
        <w:tab/>
      </w:r>
      <w:r>
        <w:t>58</w:t>
      </w:r>
    </w:p>
    <w:p>
      <w:pPr>
        <w:pStyle w:val="ndice3"/>
        <w:tabs>
          <w:tab w:val="right" w:leader="dot" w:pos="8204"/>
        </w:tabs>
      </w:pPr>
      <w:r>
        <w:t>4.3.5 Exemplo numérico completo: perfil infantil no Flexy Beast</w:t>
        <w:tab/>
      </w:r>
      <w:r>
        <w:t>59</w:t>
      </w:r>
    </w:p>
    <w:p>
      <w:pPr>
        <w:pStyle w:val="ndice2"/>
        <w:tabs>
          <w:tab w:val="right" w:leader="dot" w:pos="8204"/>
        </w:tabs>
      </w:pPr>
      <w:r>
        <w:t>4.4 Iterações, refinamento e discussão intermédia</w:t>
        <w:tab/>
      </w:r>
      <w:r>
        <w:t>60</w:t>
      </w:r>
    </w:p>
    <w:p>
      <w:pPr>
        <w:pStyle w:val="ndice1"/>
        <w:tabs>
          <w:tab w:val="right" w:leader="dot" w:pos="8204"/>
        </w:tabs>
      </w:pPr>
      <w:r>
        <w:t>Capítulo 5 — Plataforma Web e Integração Digital</w:t>
        <w:tab/>
      </w:r>
      <w:r>
        <w:t>63</w:t>
      </w:r>
    </w:p>
    <w:p>
      <w:pPr>
        <w:pStyle w:val="ndice2"/>
        <w:tabs>
          <w:tab w:val="right" w:leader="dot" w:pos="8204"/>
        </w:tabs>
      </w:pPr>
      <w:r>
        <w:t>5.1 Enquadramento conceptual e perfis de utilizador</w:t>
        <w:tab/>
      </w:r>
      <w:r>
        <w:t>63</w:t>
      </w:r>
    </w:p>
    <w:p>
      <w:pPr>
        <w:pStyle w:val="ndice2"/>
        <w:tabs>
          <w:tab w:val="right" w:leader="dot" w:pos="8204"/>
        </w:tabs>
      </w:pPr>
      <w:r>
        <w:t>5.2 Arquitectura geral do sistema</w:t>
        <w:tab/>
      </w:r>
      <w:r>
        <w:t>64</w:t>
      </w:r>
    </w:p>
    <w:p>
      <w:pPr>
        <w:pStyle w:val="ndice2"/>
        <w:tabs>
          <w:tab w:val="right" w:leader="dot" w:pos="8204"/>
        </w:tabs>
      </w:pPr>
      <w:r>
        <w:t>5.3 Integração OpenSCAD via WebAssembly (WASM)</w:t>
        <w:tab/>
      </w:r>
      <w:r>
        <w:t>69</w:t>
      </w:r>
    </w:p>
    <w:p>
      <w:pPr>
        <w:pStyle w:val="ndice2"/>
        <w:tabs>
          <w:tab w:val="right" w:leader="dot" w:pos="8204"/>
        </w:tabs>
      </w:pPr>
      <w:r>
        <w:t>5.4 Estrutura funcional da plataforma</w:t>
        <w:tab/>
      </w:r>
      <w:r>
        <w:t>71</w:t>
      </w:r>
    </w:p>
    <w:p>
      <w:pPr>
        <w:pStyle w:val="ndice2"/>
        <w:tabs>
          <w:tab w:val="right" w:leader="dot" w:pos="8204"/>
        </w:tabs>
      </w:pPr>
      <w:r>
        <w:t>5.5 Gestão de parâmetros, versões e expansão</w:t>
        <w:tab/>
      </w:r>
      <w:r>
        <w:t>76</w:t>
      </w:r>
    </w:p>
    <w:p>
      <w:pPr>
        <w:pStyle w:val="ndice1"/>
        <w:tabs>
          <w:tab w:val="right" w:leader="dot" w:pos="8204"/>
        </w:tabs>
      </w:pPr>
      <w:r>
        <w:t>Capítulo 6 — Integração da Inteligência Artificial</w:t>
        <w:tab/>
      </w:r>
      <w:r>
        <w:t>78</w:t>
      </w:r>
    </w:p>
    <w:p>
      <w:pPr>
        <w:pStyle w:val="ndice2"/>
        <w:tabs>
          <w:tab w:val="right" w:leader="dot" w:pos="8204"/>
        </w:tabs>
      </w:pPr>
      <w:r>
        <w:t>6.1 Papel da IA no sistema proposto</w:t>
        <w:tab/>
      </w:r>
      <w:r>
        <w:t>78</w:t>
      </w:r>
    </w:p>
    <w:p>
      <w:pPr>
        <w:pStyle w:val="ndice2"/>
        <w:tabs>
          <w:tab w:val="right" w:leader="dot" w:pos="8204"/>
        </w:tabs>
      </w:pPr>
      <w:r>
        <w:t>6.2 IA na parametrização, personalização e apoio à decisão</w:t>
        <w:tab/>
      </w:r>
      <w:r>
        <w:t>78</w:t>
      </w:r>
    </w:p>
    <w:p>
      <w:pPr>
        <w:pStyle w:val="ndice2"/>
        <w:tabs>
          <w:tab w:val="right" w:leader="dot" w:pos="8204"/>
        </w:tabs>
      </w:pPr>
      <w:r>
        <w:t>6.3 Avaliação das sugestões paramétricas apoiadas por IA</w:t>
        <w:tab/>
      </w:r>
      <w:r>
        <w:t>81</w:t>
      </w:r>
    </w:p>
    <w:p>
      <w:pPr>
        <w:pStyle w:val="ndice2"/>
        <w:tabs>
          <w:tab w:val="right" w:leader="dot" w:pos="8204"/>
        </w:tabs>
      </w:pPr>
      <w:r>
        <w:t>6.4 Ajuste, verificação e limitações éticas e técnicas</w:t>
        <w:tab/>
      </w:r>
      <w:r>
        <w:t>82</w:t>
      </w:r>
    </w:p>
    <w:p>
      <w:pPr>
        <w:pStyle w:val="ndice1"/>
        <w:tabs>
          <w:tab w:val="right" w:leader="dot" w:pos="8204"/>
        </w:tabs>
      </w:pPr>
      <w:r>
        <w:t>Capítulo 7 — Princípios de Interface e Decisões de Interacção</w:t>
        <w:tab/>
      </w:r>
      <w:r>
        <w:t>84</w:t>
      </w:r>
    </w:p>
    <w:p>
      <w:pPr>
        <w:pStyle w:val="ndice2"/>
        <w:tabs>
          <w:tab w:val="right" w:leader="dot" w:pos="8204"/>
        </w:tabs>
      </w:pPr>
      <w:r>
        <w:t>7.1 Estratégia de interacção e decisões de UI/UX</w:t>
        <w:tab/>
      </w:r>
      <w:r>
        <w:t>84</w:t>
      </w:r>
    </w:p>
    <w:p>
      <w:pPr>
        <w:pStyle w:val="ndice2"/>
        <w:tabs>
          <w:tab w:val="right" w:leader="dot" w:pos="8204"/>
        </w:tabs>
      </w:pPr>
      <w:r>
        <w:t>7.2 Papéis previstos e distribuição de decisões</w:t>
        <w:tab/>
      </w:r>
      <w:r>
        <w:t>84</w:t>
      </w:r>
    </w:p>
    <w:p>
      <w:pPr>
        <w:pStyle w:val="ndice2"/>
        <w:tabs>
          <w:tab w:val="right" w:leader="dot" w:pos="8204"/>
        </w:tabs>
      </w:pPr>
      <w:r>
        <w:t>7.3 Mediação do processo de design e reflexão crítica</w:t>
        <w:tab/>
      </w:r>
      <w:r>
        <w:t>85</w:t>
      </w:r>
    </w:p>
    <w:p>
      <w:pPr>
        <w:pStyle w:val="ndice1"/>
        <w:tabs>
          <w:tab w:val="right" w:leader="dot" w:pos="8204"/>
        </w:tabs>
      </w:pPr>
      <w:r>
        <w:t>Capítulo 8 — Avaliação e Discussão</w:t>
        <w:tab/>
      </w:r>
      <w:r>
        <w:t>87</w:t>
      </w:r>
    </w:p>
    <w:p>
      <w:pPr>
        <w:pStyle w:val="ndice2"/>
        <w:tabs>
          <w:tab w:val="right" w:leader="dot" w:pos="8204"/>
        </w:tabs>
      </w:pPr>
      <w:r>
        <w:t>8.1 Estratégia e critérios de avaliação</w:t>
        <w:tab/>
      </w:r>
      <w:r>
        <w:t>87</w:t>
      </w:r>
    </w:p>
    <w:p>
      <w:pPr>
        <w:pStyle w:val="ndice3"/>
        <w:tabs>
          <w:tab w:val="right" w:leader="dot" w:pos="8204"/>
        </w:tabs>
      </w:pPr>
      <w:r>
        <w:t>8.1.1 Verificação técnica da plataforma</w:t>
        <w:tab/>
      </w:r>
      <w:r>
        <w:t>87</w:t>
      </w:r>
    </w:p>
    <w:p>
      <w:pPr>
        <w:pStyle w:val="ndice3"/>
        <w:tabs>
          <w:tab w:val="right" w:leader="dot" w:pos="8204"/>
        </w:tabs>
      </w:pPr>
      <w:r>
        <w:t>8.1.2 Avaliação complementar da previsibilidade, recuperação e acessibilidade</w:t>
        <w:tab/>
      </w:r>
      <w:r>
        <w:t>88</w:t>
      </w:r>
    </w:p>
    <w:p>
      <w:pPr>
        <w:pStyle w:val="ndice3"/>
        <w:tabs>
          <w:tab w:val="right" w:leader="dot" w:pos="8204"/>
        </w:tabs>
      </w:pPr>
      <w:r>
        <w:t>8.1.3 Preparação para impressão e protótipos físicos</w:t>
        <w:tab/>
      </w:r>
      <w:r>
        <w:t>89</w:t>
      </w:r>
    </w:p>
    <w:p>
      <w:pPr>
        <w:pStyle w:val="ndice2"/>
        <w:tabs>
          <w:tab w:val="right" w:leader="dot" w:pos="8204"/>
        </w:tabs>
      </w:pPr>
      <w:r>
        <w:t>8.2 Avaliação da coerência das sugestões de IA</w:t>
        <w:tab/>
      </w:r>
      <w:r>
        <w:t>94</w:t>
      </w:r>
    </w:p>
    <w:p>
      <w:pPr>
        <w:pStyle w:val="ndice2"/>
        <w:tabs>
          <w:tab w:val="right" w:leader="dot" w:pos="8204"/>
        </w:tabs>
      </w:pPr>
      <w:r>
        <w:t>8.3 Verificação geométrica entre modelos</w:t>
        <w:tab/>
      </w:r>
      <w:r>
        <w:t>97</w:t>
      </w:r>
    </w:p>
    <w:p>
      <w:pPr>
        <w:pStyle w:val="ndice2"/>
        <w:tabs>
          <w:tab w:val="right" w:leader="dot" w:pos="8204"/>
        </w:tabs>
      </w:pPr>
      <w:r>
        <w:t>8.4 Discussão dos resultados face aos objectivos</w:t>
        <w:tab/>
      </w:r>
      <w:r>
        <w:t>99</w:t>
      </w:r>
    </w:p>
    <w:p>
      <w:pPr>
        <w:pStyle w:val="ndice1"/>
        <w:tabs>
          <w:tab w:val="right" w:leader="dot" w:pos="8204"/>
        </w:tabs>
      </w:pPr>
      <w:r>
        <w:t>Capítulo 9 — Conclusões e Trabalhos Futuros</w:t>
        <w:tab/>
      </w:r>
      <w:r>
        <w:t>100</w:t>
      </w:r>
    </w:p>
    <w:p>
      <w:pPr>
        <w:pStyle w:val="ndice2"/>
        <w:tabs>
          <w:tab w:val="right" w:leader="dot" w:pos="8204"/>
        </w:tabs>
      </w:pPr>
      <w:r>
        <w:t>9.1 Resposta ao problema e às perguntas de investigação</w:t>
        <w:tab/>
      </w:r>
      <w:r>
        <w:t>100</w:t>
      </w:r>
    </w:p>
    <w:p>
      <w:pPr>
        <w:pStyle w:val="ndice2"/>
        <w:tabs>
          <w:tab w:val="right" w:leader="dot" w:pos="8204"/>
        </w:tabs>
      </w:pPr>
      <w:r>
        <w:t>9.2 Contributos da investigação</w:t>
        <w:tab/>
      </w:r>
      <w:r>
        <w:t>100</w:t>
      </w:r>
    </w:p>
    <w:p>
      <w:pPr>
        <w:pStyle w:val="ndice2"/>
        <w:tabs>
          <w:tab w:val="right" w:leader="dot" w:pos="8204"/>
        </w:tabs>
      </w:pPr>
      <w:r>
        <w:t>9.3 Limitações</w:t>
        <w:tab/>
      </w:r>
      <w:r>
        <w:t>101</w:t>
      </w:r>
    </w:p>
    <w:p>
      <w:pPr>
        <w:pStyle w:val="ndice2"/>
        <w:tabs>
          <w:tab w:val="right" w:leader="dot" w:pos="8204"/>
        </w:tabs>
      </w:pPr>
      <w:r>
        <w:t>9.4 Trabalho futuro</w:t>
        <w:tab/>
      </w:r>
      <w:r>
        <w:t>101</w:t>
      </w:r>
    </w:p>
    <w:p>
      <w:pPr>
        <w:pStyle w:val="ndice1"/>
        <w:tabs>
          <w:tab w:val="right" w:leader="dot" w:pos="8204"/>
        </w:tabs>
      </w:pPr>
      <w:r>
        <w:t>Referências Bibliográficas</w:t>
        <w:tab/>
      </w:r>
      <w:r>
        <w:t>103</w:t>
      </w:r>
    </w:p>
    <w:p>
      <w:pPr>
        <w:pStyle w:val="ndice1"/>
        <w:tabs>
          <w:tab w:val="right" w:leader="dot" w:pos="8204"/>
        </w:tabs>
      </w:pPr>
      <w:r>
        <w:t>Anexo A — Metodologia de extracção e codificação de dados antropométricos da mão</w:t>
        <w:tab/>
      </w:r>
      <w:r>
        <w:t>115</w:t>
      </w:r>
    </w:p>
    <w:p>
      <w:pPr>
        <w:pStyle w:val="ndice2"/>
        <w:tabs>
          <w:tab w:val="right" w:leader="dot" w:pos="8204"/>
        </w:tabs>
      </w:pPr>
      <w:r>
        <w:t>A.1 Contexto e Objectivo</w:t>
        <w:tab/>
      </w:r>
      <w:r>
        <w:t>115</w:t>
      </w:r>
    </w:p>
    <w:p>
      <w:pPr>
        <w:pStyle w:val="ndice3"/>
        <w:tabs>
          <w:tab w:val="right" w:leader="dot" w:pos="8204"/>
        </w:tabs>
      </w:pPr>
      <w:r>
        <w:t>A.1.1 Localização, versão e integridade dos ficheiros</w:t>
        <w:tab/>
      </w:r>
      <w:r>
        <w:t>115</w:t>
      </w:r>
    </w:p>
    <w:p>
      <w:pPr>
        <w:pStyle w:val="ndice2"/>
        <w:tabs>
          <w:tab w:val="right" w:leader="dot" w:pos="8204"/>
        </w:tabs>
      </w:pPr>
      <w:r>
        <w:t>A.2 Estratégia de Pesquisa Bibliográfica</w:t>
        <w:tab/>
      </w:r>
      <w:r>
        <w:t>115</w:t>
      </w:r>
    </w:p>
    <w:p>
      <w:pPr>
        <w:pStyle w:val="ndice3"/>
        <w:tabs>
          <w:tab w:val="right" w:leader="dot" w:pos="8204"/>
        </w:tabs>
      </w:pPr>
      <w:r>
        <w:t>A.2.1 Pesquisa bibliográfica orientada</w:t>
        <w:tab/>
      </w:r>
      <w:r>
        <w:t>116</w:t>
      </w:r>
    </w:p>
    <w:p>
      <w:pPr>
        <w:pStyle w:val="ndice3"/>
        <w:tabs>
          <w:tab w:val="right" w:leader="dot" w:pos="8204"/>
        </w:tabs>
      </w:pPr>
      <w:r>
        <w:t>A.2.2 Base ANSUR 1988</w:t>
        <w:tab/>
      </w:r>
      <w:r>
        <w:t>116</w:t>
      </w:r>
    </w:p>
    <w:p>
      <w:pPr>
        <w:pStyle w:val="ndice2"/>
        <w:tabs>
          <w:tab w:val="right" w:leader="dot" w:pos="8204"/>
        </w:tabs>
      </w:pPr>
      <w:r>
        <w:t>A.3 Critérios de Inclusão e Exclusão de Estudos</w:t>
        <w:tab/>
      </w:r>
      <w:r>
        <w:t>116</w:t>
      </w:r>
    </w:p>
    <w:p>
      <w:pPr>
        <w:pStyle w:val="ndice3"/>
        <w:tabs>
          <w:tab w:val="right" w:leader="dot" w:pos="8204"/>
        </w:tabs>
      </w:pPr>
      <w:r>
        <w:t>A.3.1 Critérios de inclusão</w:t>
        <w:tab/>
      </w:r>
      <w:r>
        <w:t>116</w:t>
      </w:r>
    </w:p>
    <w:p>
      <w:pPr>
        <w:pStyle w:val="ndice3"/>
        <w:tabs>
          <w:tab w:val="right" w:leader="dot" w:pos="8204"/>
        </w:tabs>
      </w:pPr>
      <w:r>
        <w:t>A.3.2 Critérios de exclusão</w:t>
        <w:tab/>
      </w:r>
      <w:r>
        <w:t>116</w:t>
      </w:r>
    </w:p>
    <w:p>
      <w:pPr>
        <w:pStyle w:val="ndice2"/>
        <w:tabs>
          <w:tab w:val="right" w:leader="dot" w:pos="8204"/>
        </w:tabs>
      </w:pPr>
      <w:r>
        <w:t>A.4 Processo de Extracção de Dados</w:t>
        <w:tab/>
      </w:r>
      <w:r>
        <w:t>117</w:t>
      </w:r>
    </w:p>
    <w:p>
      <w:pPr>
        <w:pStyle w:val="ndice3"/>
        <w:tabs>
          <w:tab w:val="right" w:leader="dot" w:pos="8204"/>
        </w:tabs>
      </w:pPr>
      <w:r>
        <w:t>A.4.1 Leitura dos PDFs e localização das tabelas</w:t>
        <w:tab/>
      </w:r>
      <w:r>
        <w:t>117</w:t>
      </w:r>
    </w:p>
    <w:p>
      <w:pPr>
        <w:pStyle w:val="ndice3"/>
        <w:tabs>
          <w:tab w:val="right" w:leader="dot" w:pos="8204"/>
        </w:tabs>
      </w:pPr>
      <w:r>
        <w:t>A.4.2 Identificação das unidades e conversão</w:t>
        <w:tab/>
      </w:r>
      <w:r>
        <w:t>117</w:t>
      </w:r>
    </w:p>
    <w:p>
      <w:pPr>
        <w:pStyle w:val="ndice3"/>
        <w:tabs>
          <w:tab w:val="right" w:leader="dot" w:pos="8204"/>
        </w:tabs>
      </w:pPr>
      <w:r>
        <w:t>A.4.3 Decomposição em linhas atómicas</w:t>
        <w:tab/>
      </w:r>
      <w:r>
        <w:t>117</w:t>
      </w:r>
    </w:p>
    <w:p>
      <w:pPr>
        <w:pStyle w:val="ndice3"/>
        <w:tabs>
          <w:tab w:val="right" w:leader="dot" w:pos="8204"/>
        </w:tabs>
      </w:pPr>
      <w:r>
        <w:t>A.4.4 Registo fiel do contexto da medição</w:t>
        <w:tab/>
      </w:r>
      <w:r>
        <w:t>117</w:t>
      </w:r>
    </w:p>
    <w:p>
      <w:pPr>
        <w:pStyle w:val="ndice2"/>
        <w:tabs>
          <w:tab w:val="right" w:leader="dot" w:pos="8204"/>
        </w:tabs>
      </w:pPr>
      <w:r>
        <w:t>A.5 Decisões por Estudo</w:t>
        <w:tab/>
      </w:r>
      <w:r>
        <w:t>118</w:t>
      </w:r>
    </w:p>
    <w:p>
      <w:pPr>
        <w:pStyle w:val="ndice3"/>
        <w:tabs>
          <w:tab w:val="right" w:leader="dot" w:pos="8204"/>
        </w:tabs>
      </w:pPr>
      <w:r>
        <w:t>A.5.1 ANSUR 1988 — EUA, militares (Gordon et al., 1989)</w:t>
        <w:tab/>
      </w:r>
      <w:r>
        <w:t>118</w:t>
      </w:r>
    </w:p>
    <w:p>
      <w:pPr>
        <w:pStyle w:val="ndice3"/>
        <w:tabs>
          <w:tab w:val="right" w:leader="dot" w:pos="8204"/>
        </w:tabs>
      </w:pPr>
      <w:r>
        <w:t>A.5.2 Turquia — jovens adultos (Chatzioglou et al., 2024)</w:t>
        <w:tab/>
      </w:r>
      <w:r>
        <w:t>118</w:t>
      </w:r>
    </w:p>
    <w:p>
      <w:pPr>
        <w:pStyle w:val="ndice3"/>
        <w:tabs>
          <w:tab w:val="right" w:leader="dot" w:pos="8204"/>
        </w:tabs>
      </w:pPr>
      <w:r>
        <w:t>A.5.3 México — população geral (Rodríguez-Vega &amp; Rodríguez-Vega, 2024)</w:t>
        <w:tab/>
      </w:r>
      <w:r>
        <w:t>118</w:t>
      </w:r>
    </w:p>
    <w:p>
      <w:pPr>
        <w:pStyle w:val="ndice3"/>
        <w:tabs>
          <w:tab w:val="right" w:leader="dot" w:pos="8204"/>
        </w:tabs>
      </w:pPr>
      <w:r>
        <w:t>A.5.4 Índia — mulheres trabalhadoras (Nag et al., 2003)</w:t>
        <w:tab/>
      </w:r>
      <w:r>
        <w:t>119</w:t>
      </w:r>
    </w:p>
    <w:p>
      <w:pPr>
        <w:pStyle w:val="ndice3"/>
        <w:tabs>
          <w:tab w:val="right" w:leader="dot" w:pos="8204"/>
        </w:tabs>
      </w:pPr>
      <w:r>
        <w:t>A.5.5 Portugal — trabalhadores industriais (Anacleto Filho et al., 2023)</w:t>
        <w:tab/>
      </w:r>
      <w:r>
        <w:t>119</w:t>
      </w:r>
    </w:p>
    <w:p>
      <w:pPr>
        <w:pStyle w:val="ndice3"/>
        <w:tabs>
          <w:tab w:val="right" w:leader="dot" w:pos="8204"/>
        </w:tabs>
      </w:pPr>
      <w:r>
        <w:t>A.5.6 Nigéria — atletas universitários (Ibiwari et al., 2025)</w:t>
        <w:tab/>
      </w:r>
      <w:r>
        <w:t>119</w:t>
      </w:r>
    </w:p>
    <w:p>
      <w:pPr>
        <w:pStyle w:val="ndice3"/>
        <w:tabs>
          <w:tab w:val="right" w:leader="dot" w:pos="8204"/>
        </w:tabs>
      </w:pPr>
      <w:r>
        <w:t>A.5.7 Jordânia — trabalhadores com deficiência (Mistarihi, 2020)</w:t>
        <w:tab/>
      </w:r>
      <w:r>
        <w:t>119</w:t>
      </w:r>
    </w:p>
    <w:p>
      <w:pPr>
        <w:pStyle w:val="ndice3"/>
        <w:tabs>
          <w:tab w:val="right" w:leader="dot" w:pos="8204"/>
        </w:tabs>
      </w:pPr>
      <w:r>
        <w:t>A.5.8 EUA — dedo indicador (Lim et al., 2018)</w:t>
        <w:tab/>
      </w:r>
      <w:r>
        <w:t>120</w:t>
      </w:r>
    </w:p>
    <w:p>
      <w:pPr>
        <w:pStyle w:val="ndice3"/>
        <w:tabs>
          <w:tab w:val="right" w:leader="dot" w:pos="8204"/>
        </w:tabs>
      </w:pPr>
      <w:r>
        <w:t>A.5.9 Estudo excluído: Moreo (2016)</w:t>
        <w:tab/>
      </w:r>
      <w:r>
        <w:t>120</w:t>
      </w:r>
    </w:p>
    <w:p>
      <w:pPr>
        <w:pStyle w:val="ndice3"/>
        <w:tabs>
          <w:tab w:val="right" w:leader="dot" w:pos="8204"/>
        </w:tabs>
      </w:pPr>
      <w:r>
        <w:t>A.5.10 EUA — militares ANSUR II (Gordon et al., 2015)</w:t>
        <w:tab/>
      </w:r>
      <w:r>
        <w:t>120</w:t>
      </w:r>
    </w:p>
    <w:p>
      <w:pPr>
        <w:pStyle w:val="ndice3"/>
        <w:tabs>
          <w:tab w:val="right" w:leader="dot" w:pos="8204"/>
        </w:tabs>
      </w:pPr>
      <w:r>
        <w:t>A.5.11 Países Baixos — DINED (TU Delft, 1993–2004)</w:t>
        <w:tab/>
      </w:r>
      <w:r>
        <w:t>120</w:t>
      </w:r>
    </w:p>
    <w:p>
      <w:pPr>
        <w:pStyle w:val="ndice3"/>
        <w:tabs>
          <w:tab w:val="right" w:leader="dot" w:pos="8204"/>
        </w:tabs>
      </w:pPr>
      <w:r>
        <w:t>A.5.12 China — idosos de Pequim (Hu et al., 2007)</w:t>
        <w:tab/>
      </w:r>
      <w:r>
        <w:t>121</w:t>
      </w:r>
    </w:p>
    <w:p>
      <w:pPr>
        <w:pStyle w:val="ndice3"/>
        <w:tabs>
          <w:tab w:val="right" w:leader="dot" w:pos="8204"/>
        </w:tabs>
      </w:pPr>
      <w:r>
        <w:t>A.5.13 Estudo excluído: reconstrução corporal 3D a partir de fotografias ortogonais</w:t>
        <w:tab/>
      </w:r>
      <w:r>
        <w:t>121</w:t>
      </w:r>
    </w:p>
    <w:p>
      <w:pPr>
        <w:pStyle w:val="ndice2"/>
        <w:tabs>
          <w:tab w:val="right" w:leader="dot" w:pos="8204"/>
        </w:tabs>
      </w:pPr>
      <w:r>
        <w:t>A.6 Estrutura do CSV e esquema de dados</w:t>
        <w:tab/>
      </w:r>
      <w:r>
        <w:t>121</w:t>
      </w:r>
    </w:p>
    <w:p>
      <w:pPr>
        <w:pStyle w:val="ndice3"/>
        <w:tabs>
          <w:tab w:val="right" w:leader="dot" w:pos="8204"/>
        </w:tabs>
      </w:pPr>
      <w:r>
        <w:t>A.6.1 Campos</w:t>
        <w:tab/>
      </w:r>
      <w:r>
        <w:t>122</w:t>
      </w:r>
    </w:p>
    <w:p>
      <w:pPr>
        <w:pStyle w:val="ndice3"/>
        <w:tabs>
          <w:tab w:val="right" w:leader="dot" w:pos="8204"/>
        </w:tabs>
      </w:pPr>
      <w:r>
        <w:t>A.6.2 Formato longo (long format)</w:t>
        <w:tab/>
      </w:r>
      <w:r>
        <w:t>123</w:t>
      </w:r>
    </w:p>
    <w:p>
      <w:pPr>
        <w:pStyle w:val="ndice2"/>
        <w:tabs>
          <w:tab w:val="right" w:leader="dot" w:pos="8204"/>
        </w:tabs>
      </w:pPr>
      <w:r>
        <w:t>A.7 Controlo de Qualidade dos Dados</w:t>
        <w:tab/>
      </w:r>
      <w:r>
        <w:t>123</w:t>
      </w:r>
    </w:p>
    <w:p>
      <w:pPr>
        <w:pStyle w:val="ndice3"/>
        <w:tabs>
          <w:tab w:val="right" w:leader="dot" w:pos="8204"/>
        </w:tabs>
      </w:pPr>
      <w:r>
        <w:t>A.7.1 Marcação inline de limitações</w:t>
        <w:tab/>
      </w:r>
      <w:r>
        <w:t>123</w:t>
      </w:r>
    </w:p>
    <w:p>
      <w:pPr>
        <w:pStyle w:val="ndice3"/>
        <w:tabs>
          <w:tab w:val="right" w:leader="dot" w:pos="8204"/>
        </w:tabs>
      </w:pPr>
      <w:r>
        <w:t>A.7.2 Verificação de unidades</w:t>
        <w:tab/>
      </w:r>
      <w:r>
        <w:t>123</w:t>
      </w:r>
    </w:p>
    <w:p>
      <w:pPr>
        <w:pStyle w:val="ndice3"/>
        <w:tabs>
          <w:tab w:val="right" w:leader="dot" w:pos="8204"/>
        </w:tabs>
      </w:pPr>
      <w:r>
        <w:t>A.7.3 Ligação à fonte</w:t>
        <w:tab/>
      </w:r>
      <w:r>
        <w:t>123</w:t>
      </w:r>
    </w:p>
    <w:p>
      <w:pPr>
        <w:pStyle w:val="ndice2"/>
        <w:tabs>
          <w:tab w:val="right" w:leader="dot" w:pos="8204"/>
        </w:tabs>
      </w:pPr>
      <w:r>
        <w:t>A.8 Escrita do Código de Geração</w:t>
        <w:tab/>
      </w:r>
      <w:r>
        <w:t>123</w:t>
      </w:r>
    </w:p>
    <w:p>
      <w:pPr>
        <w:pStyle w:val="ndice3"/>
        <w:tabs>
          <w:tab w:val="right" w:leader="dot" w:pos="8204"/>
        </w:tabs>
      </w:pPr>
      <w:r>
        <w:t>A.8.1 Correspondência entre os CSV e os parâmetros da plataforma</w:t>
        <w:tab/>
      </w:r>
      <w:r>
        <w:t>124</w:t>
      </w:r>
    </w:p>
    <w:p>
      <w:pPr>
        <w:pStyle w:val="ndice2"/>
        <w:tabs>
          <w:tab w:val="right" w:leader="dot" w:pos="8204"/>
        </w:tabs>
      </w:pPr>
      <w:r>
        <w:t>A.9 Resultado Final</w:t>
        <w:tab/>
      </w:r>
      <w:r>
        <w:t>124</w:t>
      </w:r>
    </w:p>
    <w:p>
      <w:pPr>
        <w:pStyle w:val="ndice2"/>
        <w:tabs>
          <w:tab w:val="right" w:leader="dot" w:pos="8204"/>
        </w:tabs>
      </w:pPr>
      <w:r>
        <w:t>A.10 Cobertura Global da Base de Dados e Lacunas</w:t>
        <w:tab/>
      </w:r>
      <w:r>
        <w:t>125</w:t>
      </w:r>
    </w:p>
    <w:p>
      <w:pPr>
        <w:pStyle w:val="ndice3"/>
        <w:tabs>
          <w:tab w:val="right" w:leader="dot" w:pos="8204"/>
        </w:tabs>
      </w:pPr>
      <w:r>
        <w:t>A.10.1 O que está coberto</w:t>
        <w:tab/>
      </w:r>
      <w:r>
        <w:t>125</w:t>
      </w:r>
    </w:p>
    <w:p>
      <w:pPr>
        <w:pStyle w:val="ndice4"/>
        <w:tabs>
          <w:tab w:val="right" w:leader="dot" w:pos="8204"/>
        </w:tabs>
      </w:pPr>
      <w:r>
        <w:t>A.10.1.1 Cobertura geográfica</w:t>
        <w:tab/>
      </w:r>
      <w:r>
        <w:t>125</w:t>
      </w:r>
    </w:p>
    <w:p>
      <w:pPr>
        <w:pStyle w:val="ndice4"/>
        <w:tabs>
          <w:tab w:val="right" w:leader="dot" w:pos="8204"/>
        </w:tabs>
      </w:pPr>
      <w:r>
        <w:t>A.10.1.2 Cobertura etária</w:t>
        <w:tab/>
      </w:r>
      <w:r>
        <w:t>126</w:t>
      </w:r>
    </w:p>
    <w:p>
      <w:pPr>
        <w:pStyle w:val="ndice4"/>
        <w:tabs>
          <w:tab w:val="right" w:leader="dot" w:pos="8204"/>
        </w:tabs>
      </w:pPr>
      <w:r>
        <w:t>A.10.1.3 Cobertura estatística</w:t>
        <w:tab/>
      </w:r>
      <w:r>
        <w:t>126</w:t>
      </w:r>
    </w:p>
    <w:p>
      <w:pPr>
        <w:pStyle w:val="ndice3"/>
        <w:tabs>
          <w:tab w:val="right" w:leader="dot" w:pos="8204"/>
        </w:tabs>
      </w:pPr>
      <w:r>
        <w:t>A.10.2 Onde a cobertura falha</w:t>
        <w:tab/>
      </w:r>
      <w:r>
        <w:t>127</w:t>
      </w:r>
    </w:p>
    <w:p>
      <w:pPr>
        <w:pStyle w:val="ndice4"/>
        <w:tabs>
          <w:tab w:val="right" w:leader="dot" w:pos="8204"/>
        </w:tabs>
      </w:pPr>
      <w:r>
        <w:t>A.10.2.1 Lacunas geográficas</w:t>
        <w:tab/>
      </w:r>
      <w:r>
        <w:t>127</w:t>
      </w:r>
    </w:p>
    <w:p>
      <w:pPr>
        <w:pStyle w:val="ndice4"/>
        <w:tabs>
          <w:tab w:val="right" w:leader="dot" w:pos="8204"/>
        </w:tabs>
      </w:pPr>
      <w:r>
        <w:t>A.10.2.2 Lacunas demográficas</w:t>
        <w:tab/>
      </w:r>
      <w:r>
        <w:t>127</w:t>
      </w:r>
    </w:p>
    <w:p>
      <w:pPr>
        <w:pStyle w:val="ndice4"/>
        <w:tabs>
          <w:tab w:val="right" w:leader="dot" w:pos="8204"/>
        </w:tabs>
      </w:pPr>
      <w:r>
        <w:t>A.10.2.3 Limitações qualitativas dos dados existentes</w:t>
        <w:tab/>
      </w:r>
      <w:r>
        <w:t>127</w:t>
      </w:r>
    </w:p>
    <w:p>
      <w:pPr>
        <w:pStyle w:val="ndice3"/>
        <w:tabs>
          <w:tab w:val="right" w:leader="dot" w:pos="8204"/>
        </w:tabs>
      </w:pPr>
      <w:r>
        <w:t>A.10.3 Frentes identificadas para expansão futura</w:t>
        <w:tab/>
      </w:r>
      <w:r>
        <w:t>128</w:t>
      </w:r>
    </w:p>
    <w:p>
      <w:pPr>
        <w:pStyle w:val="ndice4"/>
        <w:tabs>
          <w:tab w:val="right" w:leader="dot" w:pos="8204"/>
        </w:tabs>
      </w:pPr>
      <w:r>
        <w:t>A.10.3.1 Prioridade alta</w:t>
        <w:tab/>
      </w:r>
      <w:r>
        <w:t>128</w:t>
      </w:r>
    </w:p>
    <w:p>
      <w:pPr>
        <w:pStyle w:val="ndice4"/>
        <w:tabs>
          <w:tab w:val="right" w:leader="dot" w:pos="8204"/>
        </w:tabs>
      </w:pPr>
      <w:r>
        <w:t>A.10.3.2 Prioridade média</w:t>
        <w:tab/>
      </w:r>
      <w:r>
        <w:t>128</w:t>
      </w:r>
    </w:p>
    <w:p>
      <w:pPr>
        <w:pStyle w:val="ndice4"/>
        <w:tabs>
          <w:tab w:val="right" w:leader="dot" w:pos="8204"/>
        </w:tabs>
      </w:pPr>
      <w:r>
        <w:t>A.10.3.3 Pertinência directa para o tema da tese</w:t>
        <w:tab/>
      </w:r>
      <w:r>
        <w:t>128</w:t>
      </w:r>
    </w:p>
    <w:p w14:paraId="160C1DFA" w14:textId="333A341F" w:rsidR="00A50D4A" w:rsidRDefault="00F75A2D" w:rsidP="00A50D4A">
      <w:pPr>
        <w:pStyle w:val="TextoNormal-IPCA"/>
        <w:rPr>
          <w:rFonts w:ascii="Arial" w:hAnsi="Arial"/>
          <w:caps/>
          <w:sz w:val="18"/>
        </w:rPr>
        <w:sectPr w:rsidR="00A50D4A" w:rsidSect="004170BC">
          <w:type w:val="oddPage"/>
          <w:pgSz w:w="11900" w:h="16840"/>
          <w:pgMar w:top="1985" w:right="2410" w:bottom="1985" w:left="2410" w:header="709" w:footer="709" w:gutter="0"/>
          <w:pgNumType w:fmt="upperRoman"/>
          <w:cols w:space="708"/>
          <w:docGrid w:linePitch="360"/>
        </w:sectPr>
      </w:pPr>
      <w:r>
        <w:rPr>
          <w:rFonts w:ascii="Arial" w:hAnsi="Arial"/>
          <w:caps/>
          <w:sz w:val="18"/>
        </w:rPr>
        <w:fldChar w:fldCharType="end"/>
      </w:r>
    </w:p>
    <w:p w14:paraId="7BFAC3BD" w14:textId="609E2440" w:rsidR="006D7C26" w:rsidRDefault="006D7C26" w:rsidP="006363D8">
      <w:pPr>
        <w:pStyle w:val="TextoNormal-IPCA"/>
        <w:ind w:firstLine="0"/>
        <w:sectPr w:rsidR="006D7C26" w:rsidSect="004170BC">
          <w:footerReference w:type="default" r:id="rId14"/>
          <w:pgSz w:w="11900" w:h="16840"/>
          <w:pgMar w:top="1985" w:right="2410" w:bottom="1985" w:left="2410" w:header="709" w:footer="709" w:gutter="0"/>
          <w:pgNumType w:fmt="upperRoman"/>
          <w:cols w:space="708"/>
          <w:docGrid w:linePitch="360"/>
        </w:sectPr>
      </w:pPr>
    </w:p>
    <w:p w14:paraId="73100070" w14:textId="3E74B697" w:rsidR="006363D8" w:rsidRDefault="006363D8" w:rsidP="006D7C26">
      <w:pPr>
        <w:pStyle w:val="TextoNormal-IPCA"/>
        <w:ind w:firstLine="0"/>
      </w:pPr>
    </w:p>
    <w:p>
      <w:pPr>
        <w:pStyle w:val="Cabealho1"/>
        <w:numPr>
          <w:ilvl w:val="0"/>
          <w:numId w:val="0"/>
        </w:numPr>
      </w:pPr>
      <w:r>
        <w:t>Capítulo 1 — Introdução</w:t>
      </w:r>
    </w:p>
    <w:p>
      <w:pPr>
        <w:pStyle w:val="Cabealho2"/>
        <w:numPr>
          <w:ilvl w:val="1"/>
          <w:numId w:val="0"/>
        </w:numPr>
      </w:pPr>
      <w:r>
        <w:t>1.1 Enquadramento geral, contexto e motivação</w:t>
      </w:r>
    </w:p>
    <w:p>
      <w:pPr>
        <w:pStyle w:val="TextoNormal-IPCA"/>
      </w:pPr>
      <w: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pPr>
      <w: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pPr>
      <w: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pPr>
      <w:r>
        <w:drawing>
          <wp:inline distT="0" distB="0" distL="0" distR="0">
            <wp:extent cx="5579745" cy="3831424"/>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pic:nvPicPr>
                  <pic:blipFill>
                    <a:blip r:embed="rId22"/>
                    <a:stretch>
                      <a:fillRect/>
                    </a:stretch>
                  </pic:blipFill>
                  <pic:spPr>
                    <a:xfrm>
                      <a:off x="0" y="0"/>
                      <a:ext cx="5579745" cy="3831424"/>
                    </a:xfrm>
                    <a:prstGeom prst="rect">
                      <a:avLst/>
                    </a:prstGeom>
                  </pic:spPr>
                </pic:pic>
              </a:graphicData>
            </a:graphic>
          </wp:inline>
        </w:drawing>
      </w:r>
    </w:p>
    <w:p>
      <w:pPr>
        <w:pStyle w:val="Legenda"/>
      </w:pPr>
      <w:r>
        <w:t>Figura 1.1 — Exemplos de próteses e dispositivos associados ao fabrico aditivo em contexto protésico.</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pPr>
      <w: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Cabealho2"/>
        <w:numPr>
          <w:ilvl w:val="1"/>
          <w:numId w:val="0"/>
        </w:numPr>
      </w:pPr>
      <w:r>
        <w:t>1.2 Problema de investigação</w:t>
      </w:r>
    </w:p>
    <w:p>
      <w:pPr>
        <w:pStyle w:val="TextoNormal-IPCA"/>
      </w:pPr>
      <w: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pPr>
      <w: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Cabealho2"/>
        <w:numPr>
          <w:ilvl w:val="1"/>
          <w:numId w:val="0"/>
        </w:numPr>
      </w:pPr>
      <w:r>
        <w:t>1.3 Objectivos da investigação</w:t>
      </w:r>
    </w:p>
    <w:p>
      <w:pPr>
        <w:pStyle w:val="Cabealho3"/>
        <w:numPr>
          <w:ilvl w:val="2"/>
          <w:numId w:val="0"/>
        </w:numPr>
      </w:pPr>
      <w:r>
        <w:t>1.3.1 Objectivo geral</w:t>
      </w:r>
    </w:p>
    <w:p>
      <w:pPr>
        <w:pStyle w:val="TextoNormal-IPCA"/>
      </w:pPr>
      <w: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Cabealho3"/>
        <w:numPr>
          <w:ilvl w:val="2"/>
          <w:numId w:val="0"/>
        </w:numPr>
      </w:pPr>
      <w:r>
        <w:t>1.3.2 Objectivos específicos</w:t>
      </w:r>
    </w:p>
    <w:p>
      <w:pPr>
        <w:pStyle w:val="TextoNormal-IPCA"/>
      </w:pPr>
      <w:r>
        <w:t>Para concretizar este objectivo, a investigação procura:</w:t>
      </w:r>
    </w:p>
    <w:p>
      <w:pPr>
        <w:pStyle w:val="TextoNormal-IPCA"/>
      </w:pPr>
      <w:r>
        <w:t>- analisar o papel do design industrial na articulação entre requisitos humanos, decisões técnicas e condições de fabrico;</w:t>
      </w:r>
    </w:p>
    <w:p>
      <w:pPr>
        <w:pStyle w:val="TextoNormal-IPCA"/>
      </w:pPr>
      <w:r>
        <w:t>- organizar dados antropométricos provenientes de diferentes fontes, preservando população, protocolo, unidade, estatística e limitações;</w:t>
      </w:r>
    </w:p>
    <w:p>
      <w:pPr>
        <w:pStyle w:val="TextoNormal-IPCA"/>
      </w:pPr>
      <w:r>
        <w:t>- adaptar modelos abertos de mão protésica a uma estrutura paramétrica explícita em OpenSCAD;</w:t>
      </w:r>
    </w:p>
    <w:p>
      <w:pPr>
        <w:pStyle w:val="TextoNormal-IPCA"/>
      </w:pPr>
      <w:r>
        <w:t>- desenvolver uma plataforma web que integre configuração, visualização, gestão de versões, exportação e preparação para impressão;</w:t>
      </w:r>
    </w:p>
    <w:p>
      <w:pPr>
        <w:pStyle w:val="TextoNormal-IPCA"/>
      </w:pPr>
      <w:r>
        <w:t>- delimitar o papel da inteligência artificial na sugestão inicial de parâmetros, distinguindo-o das regras geométricas e das decisões humanas;</w:t>
      </w:r>
    </w:p>
    <w:p>
      <w:pPr>
        <w:pStyle w:val="TextoNormal-IPCA"/>
      </w:pPr>
      <w:r>
        <w:t>- avaliar a coerência técnica do percurso entre dados, parâmetros, geometria digital e protótipos físicos;</w:t>
      </w:r>
    </w:p>
    <w:p>
      <w:pPr>
        <w:pStyle w:val="TextoNormal-IPCA"/>
      </w:pPr>
      <w:r>
        <w:t>- identificar os limites da solução e as condições necessárias para avaliações clínicas, funcionais e de utilização posteriores.</w:t>
      </w:r>
    </w:p>
    <w:p>
      <w:pPr>
        <w:pStyle w:val="TextoNormal-IPCA"/>
      </w:pPr>
      <w:r>
        <w:t>A investigação procura responder às seguintes perguntas:</w:t>
      </w:r>
    </w:p>
    <w:p>
      <w:pPr>
        <w:pStyle w:val="TextoNormal-IPCA"/>
      </w:pPr>
      <w:r>
        <w:t>1. De que modo o design paramétrico e a inteligência artificial podem apoiar a configuração preliminar de modelos de mão protésica, mantendo explícitos os limites do sistema e o controlo humano?</w:t>
      </w:r>
    </w:p>
    <w:p>
      <w:pPr>
        <w:pStyle w:val="TextoNormal-IPCA"/>
      </w:pPr>
      <w:r>
        <w:t>2. Que métodos permitem avaliar a coerência entre referências antropométricas, parâmetros, geometria gerada, exportação e prototipagem física?</w:t>
      </w:r>
    </w:p>
    <w:p>
      <w:pPr>
        <w:pStyle w:val="TextoNormal-IPCA"/>
      </w:pPr>
      <w:r>
        <w:t>3. Que decisões de design industrial permitem articular, numa plataforma experimental, interface, regras determinísticas, sugestões de inteligência artificial e fabrico aditivo?</w:t>
      </w:r>
    </w:p>
    <w:p>
      <w:pPr>
        <w:pStyle w:val="Cabealho2"/>
        <w:numPr>
          <w:ilvl w:val="1"/>
          <w:numId w:val="0"/>
        </w:numPr>
      </w:pPr>
      <w:r>
        <w:t>1.4 Abordagem metodológica geral</w:t>
      </w:r>
    </w:p>
    <w:p>
      <w:pPr>
        <w:pStyle w:val="TextoNormal-IPCA"/>
      </w:pPr>
      <w: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pPr>
      <w: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Cabealho2"/>
        <w:numPr>
          <w:ilvl w:val="1"/>
          <w:numId w:val="0"/>
        </w:numPr>
      </w:pPr>
      <w:r>
        <w:t>1.5 Estrutura da dissertação</w:t>
      </w:r>
    </w:p>
    <w:p>
      <w:pPr>
        <w:pStyle w:val="TextoNormal-IPCA"/>
      </w:pPr>
      <w: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interacção e a experiência de utilização. O Capítulo 8 reúne a avaliação e a discussão dos resultados. Por fim, o Capítulo 9 sintetiza as conclusões e os trabalhos futuros.</w:t>
      </w:r>
    </w:p>
    <w:p>
      <w:pPr>
        <w:pStyle w:val="Cabealho1"/>
        <w:pageBreakBefore/>
        <w:numPr>
          <w:ilvl w:val="0"/>
          <w:numId w:val="0"/>
        </w:numPr>
      </w:pPr>
      <w:r>
        <w:t>Capítulo 2 — Enquadramento Teórico e Estado da Arte</w:t>
      </w:r>
    </w:p>
    <w:p>
      <w:pPr>
        <w:pStyle w:val="Cabealho2"/>
        <w:numPr>
          <w:ilvl w:val="1"/>
          <w:numId w:val="0"/>
        </w:numPr>
      </w:pPr>
      <w:r>
        <w:t>2.1 Prótese de membro superior e dispositivos médicos</w:t>
      </w:r>
    </w:p>
    <w:p>
      <w:pPr>
        <w:pStyle w:val="TextoNormal-IPCA"/>
      </w:pPr>
      <w: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pPr>
      <w: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Cabealho3"/>
        <w:numPr>
          <w:ilvl w:val="2"/>
          <w:numId w:val="0"/>
        </w:numPr>
      </w:pPr>
      <w:r>
        <w:t>Tipologias de próteses de membro superior</w:t>
      </w:r>
    </w:p>
    <w:p>
      <w:pPr>
        <w:pStyle w:val="TextoNormal-IPCA"/>
      </w:pPr>
      <w: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pPr>
      <w:r>
        <w:t>.</w:t>
      </w:r>
    </w:p>
    <w:p>
      <w:pPr>
        <w:pStyle w:val="TextoNormal-IPCA"/>
      </w:pPr>
      <w: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Cabealho3"/>
        <w:numPr>
          <w:ilvl w:val="2"/>
          <w:numId w:val="0"/>
        </w:numPr>
      </w:pPr>
      <w:r>
        <w:t>Próteses mecânicas accionadas pelo corpo (body-powered)</w:t>
      </w:r>
    </w:p>
    <w:p>
      <w:pPr>
        <w:pStyle w:val="TextoNormal-IPCA"/>
      </w:pPr>
      <w:r>
        <w:t>As próteses mecânicas utilizam um sistema de arnês e cabos que converte movimentos do ombro, do tronco ou da cintura escapular em acção no dispositivo terminal, tipicamente um gancho ou uma mão mecânica. São soluções tradicionalmente valorizadas pela robustez, pela previsibilidade mecânica, pelo menor custo e pela relativa facilidade de manutenção.</w:t>
      </w:r>
    </w:p>
    <w:p>
      <w:pPr>
        <w:pStyle w:val="TextoNormal-IPCA"/>
      </w:pPr>
      <w: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Cabealho3"/>
        <w:numPr>
          <w:ilvl w:val="2"/>
          <w:numId w:val="0"/>
        </w:numPr>
      </w:pPr>
      <w:r>
        <w:t>Próteses mioeléctricas</w:t>
      </w:r>
    </w:p>
    <w:p>
      <w:pPr>
        <w:pStyle w:val="TextoNormal-IPCA"/>
      </w:pPr>
      <w: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Cabealho3"/>
        <w:numPr>
          <w:ilvl w:val="2"/>
          <w:numId w:val="0"/>
        </w:numPr>
      </w:pPr>
      <w:r>
        <w:t>Sistemas híbridos</w:t>
      </w:r>
    </w:p>
    <w:p>
      <w:pPr>
        <w:pStyle w:val="TextoNormal-IPCA"/>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pPr>
      <w:r>
        <w:drawing>
          <wp:inline distT="0" distB="0" distL="0" distR="0">
            <wp:extent cx="5579745" cy="5337956"/>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r:embed="rId23"/>
                    <a:stretch>
                      <a:fillRect/>
                    </a:stretch>
                  </pic:blipFill>
                  <pic:spPr>
                    <a:xfrm>
                      <a:off x="0" y="0"/>
                      <a:ext cx="5579745" cy="5337956"/>
                    </a:xfrm>
                    <a:prstGeom prst="rect">
                      <a:avLst/>
                    </a:prstGeom>
                  </pic:spPr>
                </pic:pic>
              </a:graphicData>
            </a:graphic>
          </wp:inline>
        </w:drawing>
      </w:r>
    </w:p>
    <w:p>
      <w:pPr>
        <w:pStyle w:val="Legenda"/>
      </w:pPr>
      <w:r>
        <w:t>Figura 2.1 — Exemplos de próteses de membro superior impressas em 3D, ilustrando diversidade tipológica e construtiva.</w:t>
      </w:r>
    </w:p>
    <w:p>
      <w:pPr>
        <w:pStyle w:val="Nota-IPCA"/>
      </w:pPr>
      <w:r>
        <w:t>Reproduzido de ten Kate, J., Smit, G., &amp; Breedveld, P. (2017). 3D-printed upper limb prostheses: A review. Disability and Rehabilitation: Assistive Technology, 12(3), 300-314. https://doi.org/10.1080/17483107.2016.1253117</w:t>
      </w:r>
    </w:p>
    <w:p>
      <w:pPr>
        <w:pStyle w:val="Cabealho3"/>
        <w:numPr>
          <w:ilvl w:val="2"/>
          <w:numId w:val="0"/>
        </w:numPr>
      </w:pPr>
      <w:r>
        <w:t>Considerações clínicas e funcionais</w:t>
      </w:r>
    </w:p>
    <w:p>
      <w:pPr>
        <w:pStyle w:val="TextoNormal-IPCA"/>
      </w:pPr>
      <w: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pPr>
      <w: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pPr>
      <w: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pPr>
      <w: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Cabealho3"/>
        <w:numPr>
          <w:ilvl w:val="2"/>
          <w:numId w:val="0"/>
        </w:numPr>
      </w:pPr>
      <w:r>
        <w:t>Medição de resultados e abandono protésico</w:t>
      </w:r>
    </w:p>
    <w:p>
      <w:pPr>
        <w:pStyle w:val="TextoNormal-IPCA"/>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pPr>
      <w: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pPr>
      <w:r>
        <w:drawing>
          <wp:inline distT="0" distB="0" distL="0" distR="0">
            <wp:extent cx="5579745" cy="3989517"/>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pic:nvPicPr>
                  <pic:blipFill>
                    <a:blip r:embed="rId24"/>
                    <a:stretch>
                      <a:fillRect/>
                    </a:stretch>
                  </pic:blipFill>
                  <pic:spPr>
                    <a:xfrm>
                      <a:off x="0" y="0"/>
                      <a:ext cx="5579745" cy="3989517"/>
                    </a:xfrm>
                    <a:prstGeom prst="rect">
                      <a:avLst/>
                    </a:prstGeom>
                  </pic:spPr>
                </pic:pic>
              </a:graphicData>
            </a:graphic>
          </wp:inline>
        </w:drawing>
      </w:r>
    </w:p>
    <w:p>
      <w:pPr>
        <w:pStyle w:val="Legenda"/>
      </w:pPr>
      <w:r>
        <w:t>Figura 2.2 — Utilização, rejeição primária e rejeição secundária de próteses do membro superior adquiridas.</w:t>
      </w:r>
    </w:p>
    <w:p>
      <w:pPr>
        <w:pStyle w:val="Nota-IPCA"/>
      </w:pPr>
      <w:r>
        <w:t>Reproduzido de Biddiss, E., Beaton, D., &amp; Chau, T. (2007). Consumer design priorities for upper limb prosthetics. Disability and Rehabilitation: Assistive Technology, 2(6), 346-357. https://doi.org/10.1080/17483100701714733 (https://doi.org/10.1080/17483100701714733)</w:t>
      </w:r>
    </w:p>
    <w:p>
      <w:pPr>
        <w:pStyle w:val="Cabealho3"/>
        <w:numPr>
          <w:ilvl w:val="2"/>
          <w:numId w:val="0"/>
        </w:numPr>
      </w:pPr>
      <w:r>
        <w:t>Enquadramento regulatório enquanto dispositivo médico</w:t>
      </w:r>
    </w:p>
    <w:p>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pPr>
      <w: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Cabealho2"/>
        <w:numPr>
          <w:ilvl w:val="1"/>
          <w:numId w:val="0"/>
        </w:numPr>
      </w:pPr>
      <w:r>
        <w:t>2.2 design industrial, design inclusivo e design centrado no utilizador</w:t>
      </w:r>
    </w:p>
    <w:p>
      <w:pPr>
        <w:pStyle w:val="TextoNormal-IPCA"/>
      </w:pPr>
      <w:r>
        <w:t>O design industrial, no contexto da saúde e das tecnologias de apoio, é reconhecido progressivamente como uma disciplina mediadora entre as necessidades humanas, os contextos de utilização e os sistemas técnicos regulados.</w:t>
      </w:r>
    </w:p>
    <w:p>
      <w:pPr>
        <w:pStyle w:val="TextoNormal-IPCA"/>
      </w:pPr>
      <w: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pPr>
      <w: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pPr>
      <w: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Cabealho3"/>
        <w:numPr>
          <w:ilvl w:val="2"/>
          <w:numId w:val="0"/>
        </w:numPr>
      </w:pPr>
      <w:r>
        <w:t>Design industrial em dispositivos médicos</w:t>
      </w:r>
    </w:p>
    <w:p>
      <w:pPr>
        <w:pStyle w:val="TextoNormal-IPCA"/>
      </w:pPr>
      <w: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pPr>
      <w: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Legenda"/>
      </w:pPr>
      <w:r>
        <w:t>Tabela 2.1 — Papéis dos profissionais de saúde no desenvolvimento de dispositivos médicos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Papel</w:t>
            </w:r>
          </w:p>
        </w:tc>
        <w:tc>
          <w:tcPr>
            <w:tcW w:w="0" w:type="auto"/>
          </w:tcPr>
          <w:p>
            <w:pPr>
              <w:pStyle w:val="TextoNormal-IPCA"/>
              <w:jc w:val="center"/>
            </w:pPr>
            <w:r>
              <w:rPr>
                <w:b/>
              </w:rPr>
              <w:t>Contributo no desenvolvimento</w:t>
            </w:r>
          </w:p>
        </w:tc>
        <w:tc>
          <w:tcPr>
            <w:tcW w:w="0" w:type="auto"/>
          </w:tcPr>
          <w:p>
            <w:pPr>
              <w:pStyle w:val="TextoNormal-IPCA"/>
              <w:jc w:val="center"/>
            </w:pPr>
            <w:r>
              <w:rPr>
                <w:b/>
              </w:rPr>
              <w:t>Domínio principal de decisão</w:t>
            </w:r>
          </w:p>
        </w:tc>
      </w:tr>
      <w:tr>
        <w:tc>
          <w:tcPr>
            <w:tcW w:w="0" w:type="auto"/>
          </w:tcPr>
          <w:p>
            <w:pPr>
              <w:pStyle w:val="TextoNormal-IPCA"/>
              <w:jc w:val="left"/>
            </w:pPr>
            <w:r>
              <w:t>Utilizadores peritos</w:t>
            </w:r>
          </w:p>
        </w:tc>
        <w:tc>
          <w:tcPr>
            <w:tcW w:w="0" w:type="auto"/>
          </w:tcPr>
          <w:p>
            <w:pPr>
              <w:pStyle w:val="TextoNormal-IPCA"/>
              <w:jc w:val="left"/>
            </w:pPr>
            <w:r>
              <w:t>Fornecem experiência clínica situada e problemas de uso</w:t>
            </w:r>
          </w:p>
        </w:tc>
        <w:tc>
          <w:tcPr>
            <w:tcW w:w="0" w:type="auto"/>
          </w:tcPr>
          <w:p>
            <w:pPr>
              <w:pStyle w:val="TextoNormal-IPCA"/>
              <w:jc w:val="left"/>
            </w:pPr>
            <w:r>
              <w:t>Experiência do utilizador e adequação funcional</w:t>
            </w:r>
          </w:p>
        </w:tc>
      </w:tr>
      <w:tr>
        <w:tc>
          <w:tcPr>
            <w:tcW w:w="0" w:type="auto"/>
          </w:tcPr>
          <w:p>
            <w:pPr>
              <w:pStyle w:val="TextoNormal-IPCA"/>
              <w:jc w:val="left"/>
            </w:pPr>
            <w:r>
              <w:t>Mediadores</w:t>
            </w:r>
          </w:p>
        </w:tc>
        <w:tc>
          <w:tcPr>
            <w:tcW w:w="0" w:type="auto"/>
          </w:tcPr>
          <w:p>
            <w:pPr>
              <w:pStyle w:val="TextoNormal-IPCA"/>
              <w:jc w:val="left"/>
            </w:pPr>
            <w:r>
              <w:t>Traduzem linguagem, necessidades e constrangimentos entre equipas</w:t>
            </w:r>
          </w:p>
        </w:tc>
        <w:tc>
          <w:tcPr>
            <w:tcW w:w="0" w:type="auto"/>
          </w:tcPr>
          <w:p>
            <w:pPr>
              <w:pStyle w:val="TextoNormal-IPCA"/>
              <w:jc w:val="left"/>
            </w:pPr>
            <w:r>
              <w:t>Problemas técnicos, terminologia e entendimento partilhado</w:t>
            </w:r>
          </w:p>
        </w:tc>
      </w:tr>
      <w:tr>
        <w:tc>
          <w:tcPr>
            <w:tcW w:w="0" w:type="auto"/>
          </w:tcPr>
          <w:p>
            <w:pPr>
              <w:pStyle w:val="TextoNormal-IPCA"/>
              <w:jc w:val="left"/>
            </w:pPr>
            <w:r>
              <w:t>Profissionais clínicos e investigadores</w:t>
            </w:r>
          </w:p>
        </w:tc>
        <w:tc>
          <w:tcPr>
            <w:tcW w:w="0" w:type="auto"/>
          </w:tcPr>
          <w:p>
            <w:pPr>
              <w:pStyle w:val="TextoNormal-IPCA"/>
              <w:jc w:val="left"/>
            </w:pPr>
            <w:r>
              <w:t>Enquadram cuidados, testes e validação empírica</w:t>
            </w:r>
          </w:p>
        </w:tc>
        <w:tc>
          <w:tcPr>
            <w:tcW w:w="0" w:type="auto"/>
          </w:tcPr>
          <w:p>
            <w:pPr>
              <w:pStyle w:val="TextoNormal-IPCA"/>
              <w:jc w:val="left"/>
            </w:pPr>
            <w:r>
              <w:t>Resultados clínicos, ensaios e usabilidade</w:t>
            </w:r>
          </w:p>
        </w:tc>
      </w:tr>
    </w:tbl>
    <w:p>
      <w:pPr>
        <w:pStyle w:val="Nota-IPCA"/>
      </w:pPr>
      <w:r>
        <w:t>Adaptado de Kaygan, H., &amp; Kaygan, P. (2025). Clients and carers: Healthcare professionals’ roles in medical device development processes in SMEs. The Design Journal, 28(2), 213-231. https://doi.org/10.1080/14606925.2024.2420152 (https://doi.org/10.1080/14606925.2024.2420152)</w:t>
      </w:r>
    </w:p>
    <w:p>
      <w:pPr>
        <w:pStyle w:val="Cabealho3"/>
        <w:numPr>
          <w:ilvl w:val="2"/>
          <w:numId w:val="0"/>
        </w:numPr>
      </w:pPr>
      <w:r>
        <w:t>design inclusivo e design universal</w:t>
      </w:r>
    </w:p>
    <w:p>
      <w:pPr>
        <w:pStyle w:val="TextoNormal-IPCA"/>
      </w:pPr>
      <w: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pPr>
      <w:r>
        <w:t>Esta perspectiva aproxima-se dos modelos sociais e relacionais da deficiência, enfatizando que a exclusão pode ser produzida por decisões de projecto que não contemplam a diversidade de utilizadores (Clarkson &amp; Coleman, 2010).</w:t>
      </w:r>
    </w:p>
    <w:p>
      <w:pPr>
        <w:pStyle w:val="TextoNormal-IPCA"/>
      </w:pPr>
      <w: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pPr>
      <w: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pPr>
      <w: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Cabealho3"/>
        <w:numPr>
          <w:ilvl w:val="2"/>
          <w:numId w:val="0"/>
        </w:numPr>
      </w:pPr>
      <w:r>
        <w:t>design centrado no utilizador e design centrado no humano</w:t>
      </w:r>
    </w:p>
    <w:p>
      <w:pPr>
        <w:pStyle w:val="TextoNormal-IPCA"/>
      </w:pPr>
      <w: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pPr>
      <w: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pPr>
      <w: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Cabealho3"/>
        <w:numPr>
          <w:ilvl w:val="2"/>
          <w:numId w:val="0"/>
        </w:numPr>
      </w:pPr>
      <w:r>
        <w:t>Design Participativo e Co-design</w:t>
      </w:r>
    </w:p>
    <w:p>
      <w:pPr>
        <w:pStyle w:val="TextoNormal-IPCA"/>
      </w:pPr>
      <w: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Cabealho3"/>
        <w:numPr>
          <w:ilvl w:val="2"/>
          <w:numId w:val="0"/>
        </w:numPr>
      </w:pPr>
      <w:r>
        <w:t>Metodologias, instrumentos e avaliação</w:t>
      </w:r>
    </w:p>
    <w:p>
      <w:pPr>
        <w:pStyle w:val="TextoNormal-IPCA"/>
      </w:pPr>
      <w: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pPr>
      <w: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pPr>
      <w: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Cabealho3"/>
        <w:numPr>
          <w:ilvl w:val="2"/>
          <w:numId w:val="0"/>
        </w:numPr>
      </w:pPr>
      <w:r>
        <w:t>Desafios e lacunas</w:t>
      </w:r>
    </w:p>
    <w:p>
      <w:pPr>
        <w:pStyle w:val="TextoNormal-IPCA"/>
      </w:pPr>
      <w: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Cabealho2"/>
        <w:numPr>
          <w:ilvl w:val="1"/>
          <w:numId w:val="0"/>
        </w:numPr>
      </w:pPr>
      <w:r>
        <w:t>2.3 Fabrico Aditivo e parametrização no design de produto</w:t>
      </w:r>
    </w:p>
    <w:p>
      <w:pPr>
        <w:pStyle w:val="TextoNormal-IPCA"/>
      </w:pPr>
      <w: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pPr>
      <w: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pPr>
      <w:r>
        <w:drawing>
          <wp:inline distT="0" distB="0" distL="0" distR="0">
            <wp:extent cx="5579745" cy="3775627"/>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pic:nvPicPr>
                  <pic:blipFill>
                    <a:blip r:embed="rId25"/>
                    <a:stretch>
                      <a:fillRect/>
                    </a:stretch>
                  </pic:blipFill>
                  <pic:spPr>
                    <a:xfrm>
                      <a:off x="0" y="0"/>
                      <a:ext cx="5579745" cy="3775627"/>
                    </a:xfrm>
                    <a:prstGeom prst="rect">
                      <a:avLst/>
                    </a:prstGeom>
                  </pic:spPr>
                </pic:pic>
              </a:graphicData>
            </a:graphic>
          </wp:inline>
        </w:drawing>
      </w:r>
    </w:p>
    <w:p>
      <w:pPr>
        <w:pStyle w:val="Legenda"/>
      </w:pPr>
      <w:r>
        <w:t>Figura 2.3 — Fluxo digital entre aquisição, CAD/CAM e fabrico aditivo em próteses e ortóteses.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pPr>
      <w: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Cabealho3"/>
        <w:numPr>
          <w:ilvl w:val="2"/>
          <w:numId w:val="0"/>
        </w:numPr>
      </w:pPr>
      <w:r>
        <w:t>Modelação Paramétrica e Espaços de Variação</w:t>
      </w:r>
    </w:p>
    <w:p>
      <w:pPr>
        <w:pStyle w:val="TextoNormal-IPCA"/>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pPr>
      <w:r>
        <w:t>No contexto da adaptação ao utilizador, a literatura destaca que a parametrização torna-se particularmente eficaz quando associada a dados mensuráveis, como a antropometria ou as digitalizações tridimensionais.</w:t>
      </w:r>
    </w:p>
    <w:p>
      <w:pPr>
        <w:pStyle w:val="TextoNormal-IPCA"/>
      </w:pPr>
      <w: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Cabealho3"/>
        <w:numPr>
          <w:ilvl w:val="2"/>
          <w:numId w:val="0"/>
        </w:numPr>
      </w:pPr>
      <w:r>
        <w:t>Integração com Fabrico Aditivo e Design for Additive Manufacturing</w:t>
      </w:r>
    </w:p>
    <w:p>
      <w:pPr>
        <w:pStyle w:val="TextoNormal-IPCA"/>
      </w:pPr>
      <w: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pPr>
      <w: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pPr>
      <w:r>
        <w:t>Esta evidência reforça a necessidade de uma ligação sistemática entre as fases de design e fabrico, contrariando abordagens que tratam o fabrico como etapa posterior e correctiva (Chtioui et al., 2023; Wiberg et al., 2019).</w:t>
      </w:r>
    </w:p>
    <w:p>
      <w:pPr>
        <w:pStyle w:val="TextoNormal-IPCA"/>
      </w:pPr>
      <w: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Cabealho3"/>
        <w:numPr>
          <w:ilvl w:val="2"/>
          <w:numId w:val="0"/>
        </w:numPr>
      </w:pPr>
      <w:r>
        <w:t>Configuradores e Cocriação Digital</w:t>
      </w:r>
    </w:p>
    <w:p>
      <w:pPr>
        <w:pStyle w:val="TextoNormal-IPCA"/>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pPr>
      <w:r>
        <w:drawing>
          <wp:inline distT="0" distB="0" distL="0" distR="0">
            <wp:extent cx="5579745" cy="294796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r:embed="rId26"/>
                    <a:stretch>
                      <a:fillRect/>
                    </a:stretch>
                  </pic:blipFill>
                  <pic:spPr>
                    <a:xfrm>
                      <a:off x="0" y="0"/>
                      <a:ext cx="5579745" cy="2947965"/>
                    </a:xfrm>
                    <a:prstGeom prst="rect">
                      <a:avLst/>
                    </a:prstGeom>
                  </pic:spPr>
                </pic:pic>
              </a:graphicData>
            </a:graphic>
          </wp:inline>
        </w:drawing>
      </w:r>
    </w:p>
    <w:p>
      <w:pPr>
        <w:pStyle w:val="Legenda"/>
      </w:pPr>
      <w:r>
        <w:t>Figura 2.4 — Exemplo de configurador digital para personalização de uma prótese impressa em 3D.</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pPr>
      <w:r>
        <w:t>Contudo, enfatiza-se que configuradores eficazes devem limitar o número de parâmetros expostos e fornecer orientação clara sobre os limites válidos, evitando complexidade excessiva ou escolhas superficiais (Ozdemir et al., 2022).</w:t>
      </w:r>
    </w:p>
    <w:p>
      <w:pPr>
        <w:pStyle w:val="Cabealho3"/>
        <w:numPr>
          <w:ilvl w:val="2"/>
          <w:numId w:val="0"/>
        </w:numPr>
      </w:pPr>
      <w:r>
        <w:t>Optimização, Geração e Avaliação de Desempenho</w:t>
      </w:r>
    </w:p>
    <w:p>
      <w:pPr>
        <w:pStyle w:val="TextoNormal-IPCA"/>
      </w:pPr>
      <w: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pPr>
      <w: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pPr>
      <w:r>
        <w:t>Este cruzamento entre parametrização, simulação e FA evidencia um ecossistema digital integrado que sustenta personalização técnica com base quantitativa (Lei et al., 2016; Yao et al., 2016).</w:t>
      </w:r>
    </w:p>
    <w:p>
      <w:pPr>
        <w:pStyle w:val="Cabealho3"/>
        <w:numPr>
          <w:ilvl w:val="2"/>
          <w:numId w:val="0"/>
        </w:numPr>
      </w:pPr>
      <w:r>
        <w:t>Implicações para o design industrial</w:t>
      </w:r>
    </w:p>
    <w:p>
      <w:pPr>
        <w:pStyle w:val="TextoNormal-IPCA"/>
      </w:pPr>
      <w: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pPr>
      <w:r>
        <w:t>Assim, a qualidade da definição paramétrica desempenha um papel estratégico para a viabilidade de sistemas adaptáveis (Ozdemir et al., 2022).</w:t>
      </w:r>
    </w:p>
    <w:p>
      <w:pPr>
        <w:pStyle w:val="TextoNormal-IPCA"/>
      </w:pPr>
      <w: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pPr>
      <w:r>
        <w:t>No plano educativo e profissional, recomenda-se a integração de DfAM nos currículos de design industrial, promovendo competências que articulem a concepção, a simulação e a fabrico digital em fluxo contínuo (Kandikjan et al., 2022).</w:t>
      </w:r>
    </w:p>
    <w:p>
      <w:pPr>
        <w:pStyle w:val="Cabealho2"/>
        <w:numPr>
          <w:ilvl w:val="1"/>
          <w:numId w:val="0"/>
        </w:numPr>
      </w:pPr>
      <w:r>
        <w:t>2.4 Próteses open source de membro superior passíveis de impressão 3D</w:t>
      </w:r>
    </w:p>
    <w:p>
      <w:pPr>
        <w:pStyle w:val="TextoNormal-IPCA"/>
      </w:pPr>
      <w: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pPr>
      <w: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pPr>
      <w: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pPr>
      <w: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pPr>
      <w: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pPr>
      <w: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Cabealho2"/>
        <w:numPr>
          <w:ilvl w:val="1"/>
          <w:numId w:val="0"/>
        </w:numPr>
      </w:pPr>
      <w:r>
        <w:t>2.5 Antropometria aplicada ao design protésico</w:t>
      </w:r>
    </w:p>
    <w:p>
      <w:pPr>
        <w:pStyle w:val="TextoNormal-IPCA"/>
      </w:pPr>
      <w: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Cabealho3"/>
        <w:numPr>
          <w:ilvl w:val="2"/>
          <w:numId w:val="0"/>
        </w:numPr>
      </w:pPr>
      <w:r>
        <w:t>Da dimensão linear à “forma” como dado de projecto</w:t>
      </w:r>
    </w:p>
    <w:p>
      <w:pPr>
        <w:pStyle w:val="TextoNormal-IPCA"/>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pPr>
      <w: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pPr>
      <w:r>
        <w:drawing>
          <wp:inline distT="0" distB="0" distL="0" distR="0">
            <wp:extent cx="5579745" cy="4119711"/>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r:embed="rId27"/>
                    <a:stretch>
                      <a:fillRect/>
                    </a:stretch>
                  </pic:blipFill>
                  <pic:spPr>
                    <a:xfrm>
                      <a:off x="0" y="0"/>
                      <a:ext cx="5579745" cy="4119711"/>
                    </a:xfrm>
                    <a:prstGeom prst="rect">
                      <a:avLst/>
                    </a:prstGeom>
                  </pic:spPr>
                </pic:pic>
              </a:graphicData>
            </a:graphic>
          </wp:inline>
        </w:drawing>
      </w:r>
    </w:p>
    <w:p>
      <w:pPr>
        <w:pStyle w:val="Legenda"/>
      </w:pPr>
      <w:r>
        <w:t>Figura 2.5 — Marcos anatómicos e medidas de referência da mão para fins de personalização.</w:t>
      </w:r>
    </w:p>
    <w:p>
      <w:pPr>
        <w:pStyle w:val="Nota-IPCA"/>
      </w:pPr>
      <w:r>
        <w:t>Reproduzido de Yu, A., Yick, K. L., Ng, S. P., &amp; Yip, J. (2013). 2D and 3D anatomical analyses of hand dimensions for custom-made gloves. Applied Ergonomics, 44, 381-392.</w:t>
      </w:r>
    </w:p>
    <w:p>
      <w:pPr>
        <w:pStyle w:val="Cabealho3"/>
        <w:numPr>
          <w:ilvl w:val="2"/>
          <w:numId w:val="0"/>
        </w:numPr>
      </w:pPr>
      <w:r>
        <w:t>Métodos de recolha antropométrica em próteses e tecnologias de apoio</w:t>
      </w:r>
    </w:p>
    <w:p>
      <w:pPr>
        <w:pStyle w:val="TextoNormal-IPCA"/>
      </w:pPr>
      <w:r>
        <w:t>A literatura organiza os métodos de recolha em famílias, cada uma com potencialidades e limitações específicas para o design protésico:</w:t>
      </w:r>
    </w:p>
    <w:p>
      <w:pPr>
        <w:pStyle w:val="TextoNormal-IPCA"/>
      </w:pPr>
      <w: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pPr>
      <w: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pPr>
      <w: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pPr>
      <w: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Cabealho3"/>
        <w:numPr>
          <w:ilvl w:val="2"/>
          <w:numId w:val="0"/>
        </w:numPr>
      </w:pPr>
      <w:r>
        <w:t>Interpretação e aplicação de dados antropométricos no projecto</w:t>
      </w:r>
    </w:p>
    <w:p>
      <w:pPr>
        <w:pStyle w:val="TextoNormal-IPCA"/>
      </w:pPr>
      <w:r>
        <w:t>A passagem de dados antropométricos para critérios de projecto ocorre por diferentes vias analíticas:</w:t>
      </w:r>
    </w:p>
    <w:p>
      <w:pPr>
        <w:pStyle w:val="TextoNormal-IPCA"/>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pPr>
      <w:r>
        <w:t>– Métodos multivariados e aprendizagem estatística: usados quando se trabalha com dados de alta dimensionalidade (malhas, secções, nuvens de pontos), permitindo extrair padrões de retificação ou modos de variação.</w:t>
      </w:r>
    </w:p>
    <w:p>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Cabealho3"/>
        <w:numPr>
          <w:ilvl w:val="2"/>
          <w:numId w:val="0"/>
        </w:numPr>
      </w:pPr>
      <w:r>
        <w:t>Evidência por tipo de dispositivo</w:t>
      </w:r>
    </w:p>
    <w:p>
      <w:pPr>
        <w:pStyle w:val="TextoNormal-IPCA"/>
      </w:pPr>
      <w:r>
        <w:t>Embora os princípios sejam transversais, os estudos analisados distinguem requisitos e métodos segundo o tipo de dispositivo:</w:t>
      </w:r>
    </w:p>
    <w:p>
      <w:pPr>
        <w:pStyle w:val="TextoNormal-IPCA"/>
      </w:pPr>
      <w:r>
        <w:t>– 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pPr>
      <w:r>
        <w:t>– 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pPr>
      <w:r>
        <w:t>–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Cabealho3"/>
        <w:numPr>
          <w:ilvl w:val="2"/>
          <w:numId w:val="0"/>
        </w:numPr>
      </w:pPr>
      <w:r>
        <w:t>Limitações, lacunas e recomendações</w:t>
      </w:r>
    </w:p>
    <w:p>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pPr>
      <w: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pPr>
      <w: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Cabealho3"/>
        <w:numPr>
          <w:ilvl w:val="2"/>
          <w:numId w:val="0"/>
        </w:numPr>
      </w:pPr>
      <w:r>
        <w:t>Estruturação de dados</w:t>
      </w:r>
    </w:p>
    <w:p>
      <w:pPr>
        <w:pStyle w:val="TextoNormal-IPCA"/>
      </w:pPr>
      <w: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pPr>
      <w: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Cabealho2"/>
        <w:numPr>
          <w:ilvl w:val="1"/>
          <w:numId w:val="0"/>
        </w:numPr>
      </w:pPr>
      <w:r>
        <w:t>2.6 Inteligência Artificial no processo de design</w:t>
      </w:r>
    </w:p>
    <w:p>
      <w:pPr>
        <w:pStyle w:val="TextoNormal-IPCA"/>
      </w:pPr>
      <w: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pPr>
      <w: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pPr>
      <w:r>
        <w:drawing>
          <wp:inline distT="0" distB="0" distL="0" distR="0">
            <wp:extent cx="5579745" cy="239929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r:embed="rId28"/>
                    <a:stretch>
                      <a:fillRect/>
                    </a:stretch>
                  </pic:blipFill>
                  <pic:spPr>
                    <a:xfrm>
                      <a:off x="0" y="0"/>
                      <a:ext cx="5579745" cy="2399290"/>
                    </a:xfrm>
                    <a:prstGeom prst="rect">
                      <a:avLst/>
                    </a:prstGeom>
                  </pic:spPr>
                </pic:pic>
              </a:graphicData>
            </a:graphic>
          </wp:inline>
        </w:drawing>
      </w:r>
    </w:p>
    <w:p>
      <w:pPr>
        <w:pStyle w:val="Legenda"/>
      </w:pPr>
      <w:r>
        <w:t>Figura 2.6 — Enquadramento de um fluxo de CAD apoiado por IA para desenvolvimento de produto.</w:t>
      </w:r>
    </w:p>
    <w:p>
      <w:pPr>
        <w:pStyle w:val="Nota-IPCA"/>
      </w:pPr>
      <w: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Cabealho3"/>
        <w:numPr>
          <w:ilvl w:val="2"/>
          <w:numId w:val="0"/>
        </w:numPr>
      </w:pPr>
      <w:r>
        <w:t>O que é a Inteligência Artificial</w:t>
      </w:r>
    </w:p>
    <w:p>
      <w:pPr>
        <w:pStyle w:val="TextoNormal-IPCA"/>
      </w:pPr>
      <w: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Cabealho3"/>
        <w:numPr>
          <w:ilvl w:val="2"/>
          <w:numId w:val="0"/>
        </w:numPr>
      </w:pPr>
      <w:r>
        <w:t>Como funciona: dados, treino, inferência e geração</w:t>
      </w:r>
    </w:p>
    <w:p>
      <w:pPr>
        <w:pStyle w:val="TextoNormal-IPCA"/>
      </w:pPr>
      <w: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pPr>
      <w: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Cabealho3"/>
        <w:numPr>
          <w:ilvl w:val="2"/>
          <w:numId w:val="0"/>
        </w:numPr>
      </w:pPr>
      <w:r>
        <w:t>Formas de IA mais relevantes para o design</w:t>
      </w:r>
    </w:p>
    <w:p>
      <w:pPr>
        <w:pStyle w:val="TextoNormal-IPCA"/>
      </w:pPr>
      <w: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pPr>
      <w: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Cabealho3"/>
        <w:numPr>
          <w:ilvl w:val="2"/>
          <w:numId w:val="0"/>
        </w:numPr>
      </w:pPr>
      <w:r>
        <w:t>IA ao longo do processo de design</w:t>
      </w:r>
    </w:p>
    <w:p>
      <w:pPr>
        <w:pStyle w:val="TextoNormal-IPCA"/>
      </w:pPr>
      <w: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pPr>
      <w: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Cabealho3"/>
        <w:numPr>
          <w:ilvl w:val="2"/>
          <w:numId w:val="0"/>
        </w:numPr>
      </w:pPr>
      <w:r>
        <w:t>Papel do designer, riscos e necessidade de supervisão humana</w:t>
      </w:r>
    </w:p>
    <w:p>
      <w:pPr>
        <w:pStyle w:val="TextoNormal-IPCA"/>
      </w:pPr>
      <w: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pPr>
      <w: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Cabealho2"/>
        <w:numPr>
          <w:ilvl w:val="1"/>
          <w:numId w:val="0"/>
        </w:numPr>
      </w:pPr>
      <w:r>
        <w:t>2.7 Plataformas digitais e sistemas configuráveis</w:t>
      </w:r>
    </w:p>
    <w:p>
      <w:pPr>
        <w:pStyle w:val="TextoNormal-IPCA"/>
      </w:pPr>
      <w: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pPr>
      <w: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Cabealho3"/>
        <w:numPr>
          <w:ilvl w:val="2"/>
          <w:numId w:val="0"/>
        </w:numPr>
      </w:pPr>
      <w:r>
        <w:t>Fundamentos conceptuais: toolkits, meta-design e end-user development.</w:t>
      </w:r>
    </w:p>
    <w:p>
      <w:pPr>
        <w:pStyle w:val="TextoNormal-IPCA"/>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pPr>
      <w:r>
        <w:drawing>
          <wp:inline distT="0" distB="0" distL="0" distR="0">
            <wp:extent cx="5579745" cy="2873568"/>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r:embed="rId29"/>
                    <a:stretch>
                      <a:fillRect/>
                    </a:stretch>
                  </pic:blipFill>
                  <pic:spPr>
                    <a:xfrm>
                      <a:off x="0" y="0"/>
                      <a:ext cx="5579745" cy="2873568"/>
                    </a:xfrm>
                    <a:prstGeom prst="rect">
                      <a:avLst/>
                    </a:prstGeom>
                  </pic:spPr>
                </pic:pic>
              </a:graphicData>
            </a:graphic>
          </wp:inline>
        </w:drawing>
      </w:r>
    </w:p>
    <w:p>
      <w:pPr>
        <w:pStyle w:val="Legenda"/>
      </w:pPr>
      <w:r>
        <w:t>Figura 2.7 — Modelo de processo para configurar participação em ecossistemas de inovação e cocriação.</w:t>
      </w:r>
    </w:p>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TextoNormal-IPCA"/>
      </w:pPr>
      <w: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pPr>
      <w: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Legenda"/>
      </w:pPr>
      <w:r>
        <w:t>Tabela 2.2 — Elementos centrais na configuração da participação em sistemas configuráveis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Questão orientadora</w:t>
            </w:r>
          </w:p>
        </w:tc>
      </w:tr>
      <w:tr>
        <w:tc>
          <w:tcPr>
            <w:tcW w:w="0" w:type="auto"/>
          </w:tcPr>
          <w:p>
            <w:pPr>
              <w:pStyle w:val="TextoNormal-IPCA"/>
              <w:jc w:val="left"/>
            </w:pPr>
            <w:r>
              <w:t>Participantes</w:t>
            </w:r>
          </w:p>
        </w:tc>
        <w:tc>
          <w:tcPr>
            <w:tcW w:w="0" w:type="auto"/>
          </w:tcPr>
          <w:p>
            <w:pPr>
              <w:pStyle w:val="TextoNormal-IPCA"/>
              <w:jc w:val="left"/>
            </w:pPr>
            <w:r>
              <w:t>Que perfis participam, em que número e com que papel</w:t>
            </w:r>
          </w:p>
        </w:tc>
      </w:tr>
      <w:tr>
        <w:tc>
          <w:tcPr>
            <w:tcW w:w="0" w:type="auto"/>
          </w:tcPr>
          <w:p>
            <w:pPr>
              <w:pStyle w:val="TextoNormal-IPCA"/>
              <w:jc w:val="left"/>
            </w:pPr>
            <w:r>
              <w:t>Formato</w:t>
            </w:r>
          </w:p>
        </w:tc>
        <w:tc>
          <w:tcPr>
            <w:tcW w:w="0" w:type="auto"/>
          </w:tcPr>
          <w:p>
            <w:pPr>
              <w:pStyle w:val="TextoNormal-IPCA"/>
              <w:jc w:val="left"/>
            </w:pPr>
            <w:r>
              <w:t>Que canais, espaços e métodos suportam a colaboração</w:t>
            </w:r>
          </w:p>
        </w:tc>
      </w:tr>
      <w:tr>
        <w:tc>
          <w:tcPr>
            <w:tcW w:w="0" w:type="auto"/>
          </w:tcPr>
          <w:p>
            <w:pPr>
              <w:pStyle w:val="TextoNormal-IPCA"/>
              <w:jc w:val="left"/>
            </w:pPr>
            <w:r>
              <w:t>Contacto</w:t>
            </w:r>
          </w:p>
        </w:tc>
        <w:tc>
          <w:tcPr>
            <w:tcW w:w="0" w:type="auto"/>
          </w:tcPr>
          <w:p>
            <w:pPr>
              <w:pStyle w:val="TextoNormal-IPCA"/>
              <w:jc w:val="left"/>
            </w:pPr>
            <w:r>
              <w:t>Como se recrutam participantes e como se mantém a relação</w:t>
            </w:r>
          </w:p>
        </w:tc>
      </w:tr>
      <w:tr>
        <w:tc>
          <w:tcPr>
            <w:tcW w:w="0" w:type="auto"/>
          </w:tcPr>
          <w:p>
            <w:pPr>
              <w:pStyle w:val="TextoNormal-IPCA"/>
              <w:jc w:val="left"/>
            </w:pPr>
            <w:r>
              <w:t>Gestão da motivação</w:t>
            </w:r>
          </w:p>
        </w:tc>
        <w:tc>
          <w:tcPr>
            <w:tcW w:w="0" w:type="auto"/>
          </w:tcPr>
          <w:p>
            <w:pPr>
              <w:pStyle w:val="TextoNormal-IPCA"/>
              <w:jc w:val="left"/>
            </w:pPr>
            <w:r>
              <w:t>Que factores promovem adesão e que barreiras dificultam continuidade</w:t>
            </w:r>
          </w:p>
        </w:tc>
      </w:tr>
    </w:tbl>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Cabealho3"/>
        <w:numPr>
          <w:ilvl w:val="2"/>
          <w:numId w:val="0"/>
        </w:numPr>
      </w:pPr>
      <w:r>
        <w:t>Mecanismos de personalização: modularidade, parametrização e adaptação individualizada</w:t>
      </w:r>
    </w:p>
    <w:p>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pPr>
      <w: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pPr>
      <w: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Cabealho3"/>
        <w:numPr>
          <w:ilvl w:val="2"/>
          <w:numId w:val="0"/>
        </w:numPr>
      </w:pPr>
      <w:r>
        <w:t>Fluxos participativos e infra-estruturas remotas</w:t>
      </w:r>
    </w:p>
    <w:p>
      <w:pPr>
        <w:pStyle w:val="TextoNormal-IPCA"/>
      </w:pPr>
      <w: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pPr>
      <w: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Cabealho3"/>
        <w:numPr>
          <w:ilvl w:val="2"/>
          <w:numId w:val="0"/>
        </w:numPr>
      </w:pPr>
      <w:r>
        <w:t>Aplicações em saúde, reabilitação e próteses</w:t>
      </w:r>
    </w:p>
    <w:p>
      <w:pPr>
        <w:pStyle w:val="TextoNormal-IPCA"/>
      </w:pPr>
      <w: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pPr>
      <w: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pPr>
      <w: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Cabealho3"/>
        <w:numPr>
          <w:ilvl w:val="2"/>
          <w:numId w:val="0"/>
        </w:numPr>
      </w:pPr>
      <w:r>
        <w:t>Limitações e lacunas: sustentabilidade, adopção e equilíbrio entre normalização e improviso</w:t>
      </w:r>
    </w:p>
    <w:p>
      <w:pPr>
        <w:pStyle w:val="TextoNormal-IPCA"/>
      </w:pPr>
      <w: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pPr>
      <w: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pPr>
      <w: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pPr>
      <w: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Cabealho2"/>
        <w:numPr>
          <w:ilvl w:val="1"/>
          <w:numId w:val="0"/>
        </w:numPr>
      </w:pPr>
      <w:r>
        <w:t>2.8 Análise crítica do estado da arte e lacunas identificadas</w:t>
      </w:r>
    </w:p>
    <w:p>
      <w:pPr>
        <w:pStyle w:val="TextoNormal-IPCA"/>
      </w:pPr>
      <w: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Normal"/>
        <w:jc w:val="center"/>
      </w:pPr>
      <w:r>
        <w:drawing>
          <wp:inline distT="0" distB="0" distL="0" distR="0">
            <wp:extent cx="5579745" cy="3970918"/>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pic:nvPicPr>
                  <pic:blipFill>
                    <a:blip r:embed="rId30"/>
                    <a:stretch>
                      <a:fillRect/>
                    </a:stretch>
                  </pic:blipFill>
                  <pic:spPr>
                    <a:xfrm>
                      <a:off x="0" y="0"/>
                      <a:ext cx="5579745" cy="3970918"/>
                    </a:xfrm>
                    <a:prstGeom prst="rect">
                      <a:avLst/>
                    </a:prstGeom>
                  </pic:spPr>
                </pic:pic>
              </a:graphicData>
            </a:graphic>
          </wp:inline>
        </w:drawing>
      </w:r>
    </w:p>
    <w:p>
      <w:pPr>
        <w:pStyle w:val="Legenda"/>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Cabealho3"/>
        <w:numPr>
          <w:ilvl w:val="2"/>
          <w:numId w:val="0"/>
        </w:numPr>
      </w:pPr>
      <w:r>
        <w:t>Lacuna 1 — Validação empírica limitada e fraca transposição para contextos reais de utilização</w:t>
      </w:r>
    </w:p>
    <w:p>
      <w:pPr>
        <w:pStyle w:val="TextoNormal-IPCA"/>
      </w:pPr>
      <w: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pPr>
      <w: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Cabealho3"/>
        <w:numPr>
          <w:ilvl w:val="2"/>
          <w:numId w:val="0"/>
        </w:numPr>
      </w:pPr>
      <w:r>
        <w:t>Lacuna 2 — Desalinhamento entre necessidades identificadas, métricas objetivas, e qualidade de vida</w:t>
      </w:r>
    </w:p>
    <w:p>
      <w:pPr>
        <w:pStyle w:val="TextoNormal-IPCA"/>
      </w:pPr>
      <w: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pPr>
      <w: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Cabealho3"/>
        <w:numPr>
          <w:ilvl w:val="2"/>
          <w:numId w:val="0"/>
        </w:numPr>
      </w:pPr>
      <w:r>
        <w:t>Lacuna 3 — Persistência de problemas na interface corpo–prótese e no ajuste individualizado</w:t>
      </w:r>
    </w:p>
    <w:p>
      <w:pPr>
        <w:pStyle w:val="TextoNormal-IPCA"/>
      </w:pPr>
      <w: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pPr>
      <w: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Cabealho3"/>
        <w:numPr>
          <w:ilvl w:val="2"/>
          <w:numId w:val="0"/>
        </w:numPr>
      </w:pPr>
      <w:r>
        <w:t>Lacuna 4 — Evolução limitada das estratégias de controlo e da interacção utilizador–prótese</w:t>
      </w:r>
    </w:p>
    <w:p>
      <w:pPr>
        <w:pStyle w:val="TextoNormal-IPCA"/>
      </w:pPr>
      <w: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pPr>
      <w: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Cabealho3"/>
        <w:numPr>
          <w:ilvl w:val="2"/>
          <w:numId w:val="0"/>
        </w:numPr>
      </w:pPr>
      <w:r>
        <w:t>Lacuna 5 — Acesso, custo, manutenção e inequidades sistémicas</w:t>
      </w:r>
    </w:p>
    <w:p>
      <w:pPr>
        <w:pStyle w:val="TextoNormal-IPCA"/>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pPr>
      <w:r>
        <w:t>Assim, a inovação pode agravar as inequidades ao introduzir dependências de infraestrutura, de apoio técnico e de cadeias de fornecimento indisponíveis para uma parcela significativa da população (Andrysek, 2010; Segura et al., 2024).</w:t>
      </w:r>
    </w:p>
    <w:p>
      <w:pPr>
        <w:pStyle w:val="Cabealho3"/>
        <w:numPr>
          <w:ilvl w:val="2"/>
          <w:numId w:val="0"/>
        </w:numPr>
      </w:pPr>
      <w:r>
        <w:t>Lacuna 6 — Envolvimento do utilizador e registo metodológico insuficiente</w:t>
      </w:r>
    </w:p>
    <w:p>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pPr>
      <w: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Cabealho3"/>
        <w:numPr>
          <w:ilvl w:val="2"/>
          <w:numId w:val="0"/>
        </w:numPr>
      </w:pPr>
      <w:r>
        <w:t>Implicações para esta investigação</w:t>
      </w:r>
    </w:p>
    <w:p>
      <w:pPr>
        <w:pStyle w:val="TextoNormal-IPCA"/>
      </w:pPr>
      <w:r>
        <w:t>Em conjunto, estas lacunas apontam para a necessidade de abordagens que:</w:t>
      </w:r>
    </w:p>
    <w:p>
      <w:pPr>
        <w:pStyle w:val="TextoNormal-IPCA"/>
      </w:pPr>
      <w:r>
        <w:t>- reforcem a ligação entre personalização e validação empírica, através de fluxos integrados de aquisição de dados, geração de variantes e avaliação;</w:t>
      </w:r>
    </w:p>
    <w:p>
      <w:pPr>
        <w:pStyle w:val="TextoNormal-IPCA"/>
      </w:pPr>
      <w:r>
        <w:t>- privilegiem avaliações ecologicamente válidas e longitudinais, aproximando as métricas de desempenho dos resultados relacionados com participação, autonomia e qualidade de vida;</w:t>
      </w:r>
    </w:p>
    <w:p>
      <w:pPr>
        <w:pStyle w:val="TextoNormal-IPCA"/>
      </w:pPr>
      <w:r>
        <w:t>- tratem a interface corpo–prótese e o conforto como requisitos estruturantes do processo de projecto, e não como ajustes posteriores;</w:t>
      </w:r>
    </w:p>
    <w:p>
      <w:pPr>
        <w:pStyle w:val="TextoNormal-IPCA"/>
      </w:pPr>
      <w:r>
        <w:t>- incorporem o envolvimento do utilizador como elemento contínuo, documentável e passível de análise, articulando métodos qualitativos e quantitativos;</w:t>
      </w:r>
    </w:p>
    <w:p>
      <w:pPr>
        <w:pStyle w:val="TextoNormal-IPCA"/>
      </w:pPr>
      <w:r>
        <w:t>- considerem a acessibilidade, a manutenção e o contexto de serviço como dimensões constitutivas do problema de design (Anderson et al., 2024; Baumann &amp; Maria, 2023; Chadwell et al., 2020).</w:t>
      </w:r>
    </w:p>
    <w:p>
      <w:pPr>
        <w:pStyle w:val="Cabealho1"/>
        <w:pageBreakBefore/>
        <w:numPr>
          <w:ilvl w:val="0"/>
          <w:numId w:val="0"/>
        </w:numPr>
      </w:pPr>
      <w:r>
        <w:t>Capítulo 3 — Metodologia de Investigação</w:t>
      </w:r>
    </w:p>
    <w:p>
      <w:pPr>
        <w:pStyle w:val="Cabealho2"/>
        <w:numPr>
          <w:ilvl w:val="1"/>
          <w:numId w:val="0"/>
        </w:numPr>
      </w:pPr>
      <w:r>
        <w:t>3.1 Enquadramento metodológico e abordagem Research Through Design</w:t>
      </w:r>
    </w:p>
    <w:p>
      <w:pPr>
        <w:pStyle w:val="TextoNormal-IPCA"/>
      </w:pPr>
      <w: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pPr>
      <w: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pPr>
      <w: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Legenda"/>
      </w:pPr>
      <w:r>
        <w:t>Tabela 3.1 — Ciclos de Research Through Design documentados no desenvolvimento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Situação examinada</w:t>
            </w:r>
          </w:p>
        </w:tc>
        <w:tc>
          <w:tcPr>
            <w:tcW w:w="0" w:type="auto"/>
          </w:tcPr>
          <w:p>
            <w:pPr>
              <w:pStyle w:val="TextoNormal-IPCA"/>
              <w:jc w:val="center"/>
            </w:pPr>
            <w:r>
              <w:rPr>
                <w:b/>
              </w:rPr>
              <w:t>Artefacto ou ensaio</w:t>
            </w:r>
          </w:p>
        </w:tc>
        <w:tc>
          <w:tcPr>
            <w:tcW w:w="0" w:type="auto"/>
          </w:tcPr>
          <w:p>
            <w:pPr>
              <w:pStyle w:val="TextoNormal-IPCA"/>
              <w:jc w:val="center"/>
            </w:pPr>
            <w:r>
              <w:rPr>
                <w:b/>
              </w:rPr>
              <w:t>Resultado observado</w:t>
            </w:r>
          </w:p>
        </w:tc>
        <w:tc>
          <w:tcPr>
            <w:tcW w:w="0" w:type="auto"/>
          </w:tcPr>
          <w:p>
            <w:pPr>
              <w:pStyle w:val="TextoNormal-IPCA"/>
              <w:jc w:val="center"/>
            </w:pPr>
            <w:r>
              <w:rPr>
                <w:b/>
              </w:rPr>
              <w:t>Decisão incorporada</w:t>
            </w:r>
          </w:p>
        </w:tc>
      </w:tr>
      <w:tr>
        <w:tc>
          <w:tcPr>
            <w:tcW w:w="0" w:type="auto"/>
          </w:tcPr>
          <w:p>
            <w:pPr>
              <w:pStyle w:val="TextoNormal-IPCA"/>
              <w:jc w:val="left"/>
            </w:pPr>
            <w:r>
              <w:t>Preparação de modelos compostos para impressão</w:t>
            </w:r>
          </w:p>
        </w:tc>
        <w:tc>
          <w:tcPr>
            <w:tcW w:w="0" w:type="auto"/>
          </w:tcPr>
          <w:p>
            <w:pPr>
              <w:pStyle w:val="TextoNormal-IPCA"/>
              <w:jc w:val="left"/>
            </w:pPr>
            <w:r>
              <w:t>Exportação em placa nas versões 14.15.0 e seguintes</w:t>
            </w:r>
          </w:p>
        </w:tc>
        <w:tc>
          <w:tcPr>
            <w:tcW w:w="0" w:type="auto"/>
          </w:tcPr>
          <w:p>
            <w:pPr>
              <w:pStyle w:val="TextoNormal-IPCA"/>
              <w:jc w:val="left"/>
            </w:pPr>
            <w:r>
              <w:t>A posição montada originava peças suspensas ou exigia suportes desnecessários</w:t>
            </w:r>
          </w:p>
        </w:tc>
        <w:tc>
          <w:tcPr>
            <w:tcW w:w="0" w:type="auto"/>
          </w:tcPr>
          <w:p>
            <w:pPr>
              <w:pStyle w:val="TextoNormal-IPCA"/>
              <w:jc w:val="left"/>
            </w:pPr>
            <w:r>
              <w:t>Criação de modos de impressão planos e assentamento de cada peça em Z=0</w:t>
            </w:r>
          </w:p>
        </w:tc>
      </w:tr>
      <w:tr>
        <w:tc>
          <w:tcPr>
            <w:tcW w:w="0" w:type="auto"/>
          </w:tcPr>
          <w:p>
            <w:pPr>
              <w:pStyle w:val="TextoNormal-IPCA"/>
              <w:jc w:val="left"/>
            </w:pPr>
            <w:r>
              <w:t>Selecção de referência antropométrica</w:t>
            </w:r>
          </w:p>
        </w:tc>
        <w:tc>
          <w:tcPr>
            <w:tcW w:w="0" w:type="auto"/>
          </w:tcPr>
          <w:p>
            <w:pPr>
              <w:pStyle w:val="TextoNormal-IPCA"/>
              <w:jc w:val="left"/>
            </w:pPr>
            <w:r>
              <w:t>Ensaios com descrições, unidades e grupos etários, versão 14.16.0</w:t>
            </w:r>
          </w:p>
        </w:tc>
        <w:tc>
          <w:tcPr>
            <w:tcW w:w="0" w:type="auto"/>
          </w:tcPr>
          <w:p>
            <w:pPr>
              <w:pStyle w:val="TextoNormal-IPCA"/>
              <w:jc w:val="left"/>
            </w:pPr>
            <w:r>
              <w:t>Unidades como «mm» e «cm» podiam ser interpretadas como indicação de sexo masculino</w:t>
            </w:r>
          </w:p>
        </w:tc>
        <w:tc>
          <w:tcPr>
            <w:tcW w:w="0" w:type="auto"/>
          </w:tcPr>
          <w:p>
            <w:pPr>
              <w:pStyle w:val="TextoNormal-IPCA"/>
              <w:jc w:val="left"/>
            </w:pPr>
            <w:r>
              <w:t>Análise por palavras completas, reconhecimento multilingue e classificação etária</w:t>
            </w:r>
          </w:p>
        </w:tc>
      </w:tr>
      <w:tr>
        <w:tc>
          <w:tcPr>
            <w:tcW w:w="0" w:type="auto"/>
          </w:tcPr>
          <w:p>
            <w:pPr>
              <w:pStyle w:val="TextoNormal-IPCA"/>
              <w:jc w:val="left"/>
            </w:pPr>
            <w:r>
              <w:t>Propagação da largura da palma no Paraglider</w:t>
            </w:r>
          </w:p>
        </w:tc>
        <w:tc>
          <w:tcPr>
            <w:tcW w:w="0" w:type="auto"/>
          </w:tcPr>
          <w:p>
            <w:pPr>
              <w:pStyle w:val="TextoNormal-IPCA"/>
              <w:jc w:val="left"/>
            </w:pPr>
            <w:r>
              <w:t>Sugestão de IA, exportação e medição da malha, versão 14.17.0</w:t>
            </w:r>
          </w:p>
        </w:tc>
        <w:tc>
          <w:tcPr>
            <w:tcW w:w="0" w:type="auto"/>
          </w:tcPr>
          <w:p>
            <w:pPr>
              <w:pStyle w:val="TextoNormal-IPCA"/>
              <w:jc w:val="left"/>
            </w:pPr>
            <w:r>
              <w:t>Os dedos respondiam ao perfil, mas a palma permanecia na escala interna da biblioteca</w:t>
            </w:r>
          </w:p>
        </w:tc>
        <w:tc>
          <w:tcPr>
            <w:tcW w:w="0" w:type="auto"/>
          </w:tcPr>
          <w:p>
            <w:pPr>
              <w:pStyle w:val="TextoNormal-IPCA"/>
              <w:jc w:val="left"/>
            </w:pPr>
            <w:r>
              <w:t>Aplicação da escala no ponto de chamada da palma Reborn</w:t>
            </w:r>
          </w:p>
        </w:tc>
      </w:tr>
      <w:tr>
        <w:tc>
          <w:tcPr>
            <w:tcW w:w="0" w:type="auto"/>
          </w:tcPr>
          <w:p>
            <w:pPr>
              <w:pStyle w:val="TextoNormal-IPCA"/>
              <w:jc w:val="left"/>
            </w:pPr>
            <w:r>
              <w:t>Limite dimensional do UnLimbited Phoenix</w:t>
            </w:r>
          </w:p>
        </w:tc>
        <w:tc>
          <w:tcPr>
            <w:tcW w:w="0" w:type="auto"/>
          </w:tcPr>
          <w:p>
            <w:pPr>
              <w:pStyle w:val="TextoNormal-IPCA"/>
              <w:jc w:val="left"/>
            </w:pPr>
            <w:r>
              <w:t>Perfil infantil e exportação, versão 14.18.0</w:t>
            </w:r>
          </w:p>
        </w:tc>
        <w:tc>
          <w:tcPr>
            <w:tcW w:w="0" w:type="auto"/>
          </w:tcPr>
          <w:p>
            <w:pPr>
              <w:pStyle w:val="TextoNormal-IPCA"/>
              <w:jc w:val="left"/>
            </w:pPr>
            <w:r>
              <w:t>Um percurso alternativo aceitava uma escala inferior ao mínimo definido pelo modelo</w:t>
            </w:r>
          </w:p>
        </w:tc>
        <w:tc>
          <w:tcPr>
            <w:tcW w:w="0" w:type="auto"/>
          </w:tcPr>
          <w:p>
            <w:pPr>
              <w:pStyle w:val="TextoNormal-IPCA"/>
              <w:jc w:val="left"/>
            </w:pPr>
            <w:r>
              <w:t>Aplicação do intervalo de 100% a 160% nos dois percursos de escala</w:t>
            </w:r>
          </w:p>
        </w:tc>
      </w:tr>
      <w:tr>
        <w:tc>
          <w:tcPr>
            <w:tcW w:w="0" w:type="auto"/>
          </w:tcPr>
          <w:p>
            <w:pPr>
              <w:pStyle w:val="TextoNormal-IPCA"/>
              <w:jc w:val="left"/>
            </w:pPr>
            <w:r>
              <w:t>Definição do lado da mão</w:t>
            </w:r>
          </w:p>
        </w:tc>
        <w:tc>
          <w:tcPr>
            <w:tcW w:w="0" w:type="auto"/>
          </w:tcPr>
          <w:p>
            <w:pPr>
              <w:pStyle w:val="TextoNormal-IPCA"/>
              <w:jc w:val="left"/>
            </w:pPr>
            <w:r>
              <w:t>Cenários repetidos de mão esquerda e direita, versões 14.19.0–14.20.0</w:t>
            </w:r>
          </w:p>
        </w:tc>
        <w:tc>
          <w:tcPr>
            <w:tcW w:w="0" w:type="auto"/>
          </w:tcPr>
          <w:p>
            <w:pPr>
              <w:pStyle w:val="TextoNormal-IPCA"/>
              <w:jc w:val="left"/>
            </w:pPr>
            <w:r>
              <w:t>A IA devolvia mão direita em pedidos explícitos de mão esquerda</w:t>
            </w:r>
          </w:p>
        </w:tc>
        <w:tc>
          <w:tcPr>
            <w:tcW w:w="0" w:type="auto"/>
          </w:tcPr>
          <w:p>
            <w:pPr>
              <w:pStyle w:val="TextoNormal-IPCA"/>
              <w:jc w:val="left"/>
            </w:pPr>
            <w:r>
              <w:t>Lateralidade retirada do conjunto sugerível e controlada pela interface</w:t>
            </w:r>
          </w:p>
        </w:tc>
      </w:tr>
      <w:tr>
        <w:tc>
          <w:tcPr>
            <w:tcW w:w="0" w:type="auto"/>
          </w:tcPr>
          <w:p>
            <w:pPr>
              <w:pStyle w:val="TextoNormal-IPCA"/>
              <w:jc w:val="left"/>
            </w:pPr>
            <w:r>
              <w:t>Informação de cor no fabrico</w:t>
            </w:r>
          </w:p>
        </w:tc>
        <w:tc>
          <w:tcPr>
            <w:tcW w:w="0" w:type="auto"/>
          </w:tcPr>
          <w:p>
            <w:pPr>
              <w:pStyle w:val="TextoNormal-IPCA"/>
              <w:jc w:val="left"/>
            </w:pPr>
            <w:r>
              <w:t>Exportação 3MF, versão 14.22.0</w:t>
            </w:r>
          </w:p>
        </w:tc>
        <w:tc>
          <w:tcPr>
            <w:tcW w:w="0" w:type="auto"/>
          </w:tcPr>
          <w:p>
            <w:pPr>
              <w:pStyle w:val="TextoNormal-IPCA"/>
              <w:jc w:val="left"/>
            </w:pPr>
            <w:r>
              <w:t>O STL não preservava unidades e materiais por peça</w:t>
            </w:r>
          </w:p>
        </w:tc>
        <w:tc>
          <w:tcPr>
            <w:tcW w:w="0" w:type="auto"/>
          </w:tcPr>
          <w:p>
            <w:pPr>
              <w:pStyle w:val="TextoNormal-IPCA"/>
              <w:jc w:val="left"/>
            </w:pPr>
            <w:r>
              <w:t>Exportação 3MF com unidade em milímetros e materiais derivados das cores</w:t>
            </w:r>
          </w:p>
        </w:tc>
      </w:tr>
    </w:tbl>
    <w:p>
      <w:pPr>
        <w:pStyle w:val="TextoNormal-IPCA"/>
      </w:pPr>
      <w: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pPr>
      <w:r>
        <w:drawing>
          <wp:inline distT="0" distB="0" distL="0" distR="0">
            <wp:extent cx="5579745" cy="2129602"/>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pic:nvPicPr>
                  <pic:blipFill>
                    <a:blip r:embed="rId31"/>
                    <a:stretch>
                      <a:fillRect/>
                    </a:stretch>
                  </pic:blipFill>
                  <pic:spPr>
                    <a:xfrm>
                      <a:off x="0" y="0"/>
                      <a:ext cx="5579745" cy="2129602"/>
                    </a:xfrm>
                    <a:prstGeom prst="rect">
                      <a:avLst/>
                    </a:prstGeom>
                  </pic:spPr>
                </pic:pic>
              </a:graphicData>
            </a:graphic>
          </wp:inline>
        </w:drawing>
      </w:r>
    </w:p>
    <w:p>
      <w:pPr>
        <w:pStyle w:val="Legenda"/>
      </w:pPr>
      <w:r>
        <w:t>Figura 3.1 — Processo interdisciplinar de desenvolvimento de uma prótese de membro superior impressa em 3D.</w:t>
      </w:r>
    </w:p>
    <w:p>
      <w:pPr>
        <w:pStyle w:val="Nota-IPCA"/>
      </w:pPr>
      <w:r>
        <w:t>Adaptado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3.2 O design industrial como prática investigativa</w:t>
      </w:r>
    </w:p>
    <w:p>
      <w:pPr>
        <w:pStyle w:val="TextoNormal-IPCA"/>
      </w:pPr>
      <w:r>
        <w:t>Com base no enquadramento do Capítulo 2, o design industrial é operacionalizado como prática investigativa através da explicitação e do ensaio das traduções entre fontes antropométricas, parâmetros editáveis, regras geométricas, estados da interface e peças fabricadas. Esta opção relaciona-se com os designerly ways of knowing, que reconhecem a experimentação material e a formulação projectual como modos de produção de conhecimento (Cross, 1982). A unidade de análise é, portanto, a cadeia de decisões e transformações do protótipo, e não a experiência de uma pessoa utilizadora.</w:t>
      </w:r>
    </w:p>
    <w:p>
      <w:pPr>
        <w:pStyle w:val="TextoNormal-IPCA"/>
      </w:pPr>
      <w: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pPr>
      <w:r>
        <w:t>A hipótese principal sustenta que a articulação entre dados antropométricos, design paramétrico, plataforma web e apoio de inteligência artificial permite estabelecer um fluxo técnico coerente para configurar, gerar, exportar e materializar variantes dos modelos seleccionados.</w:t>
      </w:r>
    </w:p>
    <w:p>
      <w:pPr>
        <w:pStyle w:val="TextoNormal-IPCA"/>
      </w:pPr>
      <w:r>
        <w:t>Três hipóteses secundárias orientam a avaliação: relações geométricas e limites explícitos oferecem maior controlo do que o escalonamento uniforme; sugestões de inteligência artificial limitadas pelo esquema do modelo podem fornecer pontos de partida úteis, desde que decisões críticas permaneçam sob regras e supervisão humana; e a passagem por malha, preparação para impressão e protótipo físico revela falhas que a análise isolada dos valores numéricos pode ocultar. Estas hipóteses dizem respeito ao protótipo e aos casos estudados. Adequação anatómica individual, usabilidade, conforto, aceitação, redução da dependência de especialistas e impacto em contextos com poucos recursos ficaram fora da avaliação.</w:t>
      </w:r>
    </w:p>
    <w:p>
      <w:pPr>
        <w:pStyle w:val="Cabealho2"/>
        <w:numPr>
          <w:ilvl w:val="1"/>
          <w:numId w:val="0"/>
        </w:numPr>
      </w:pPr>
      <w:r>
        <w:t>3.3 Estrutura metodológica do projecto</w:t>
      </w:r>
    </w:p>
    <w:p>
      <w:pPr>
        <w:pStyle w:val="TextoNormal-IPCA"/>
      </w:pPr>
      <w:r>
        <w:t>A metodologia organiza-se em três fases interligadas. A fase conceptual reúne a revisão crítica da literatura, a análise de soluções open source e a definição dos requisitos. A fase de desenvolvimento estrutura a base antropométrica, integra os modelos OpenSCAD e implementa a plataforma e o módulo de IA. A fase de avaliação usa cenários simulados, registos de execução, malhas exportadas, perfis de preparação para impressão e protótipos físicos. Os resultados de cada fase regressam ao desenvolvimento através dos ciclos apresentados na Tabela 3.1.</w:t>
      </w:r>
    </w:p>
    <w:p>
      <w:pPr>
        <w:pStyle w:val="Legenda"/>
      </w:pPr>
      <w:r>
        <w:t>Tabela 3.2 — Correspondência entre perguntas, actividades, evidência e limites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Pergunta de investigação</w:t>
            </w:r>
          </w:p>
        </w:tc>
        <w:tc>
          <w:tcPr>
            <w:tcW w:w="0" w:type="auto"/>
          </w:tcPr>
          <w:p>
            <w:pPr>
              <w:pStyle w:val="TextoNormal-IPCA"/>
              <w:jc w:val="center"/>
            </w:pPr>
            <w:r>
              <w:rPr>
                <w:b/>
              </w:rPr>
              <w:t>Actividades realizadas</w:t>
            </w:r>
          </w:p>
        </w:tc>
        <w:tc>
          <w:tcPr>
            <w:tcW w:w="0" w:type="auto"/>
          </w:tcPr>
          <w:p>
            <w:pPr>
              <w:pStyle w:val="TextoNormal-IPCA"/>
              <w:jc w:val="center"/>
            </w:pPr>
            <w:r>
              <w:rPr>
                <w:b/>
              </w:rPr>
              <w:t>Evidência produzida</w:t>
            </w:r>
          </w:p>
        </w:tc>
        <w:tc>
          <w:tcPr>
            <w:tcW w:w="0" w:type="auto"/>
          </w:tcPr>
          <w:p>
            <w:pPr>
              <w:pStyle w:val="TextoNormal-IPCA"/>
              <w:jc w:val="center"/>
            </w:pPr>
            <w:r>
              <w:rPr>
                <w:b/>
              </w:rPr>
              <w:t>Dimensões fora da avaliação</w:t>
            </w:r>
          </w:p>
        </w:tc>
      </w:tr>
      <w:tr>
        <w:tc>
          <w:tcPr>
            <w:tcW w:w="0" w:type="auto"/>
          </w:tcPr>
          <w:p>
            <w:pPr>
              <w:pStyle w:val="TextoNormal-IPCA"/>
              <w:jc w:val="left"/>
            </w:pPr>
            <w:r>
              <w:t>Apoio do design paramétrico e da IA à configuração preliminar</w:t>
            </w:r>
          </w:p>
        </w:tc>
        <w:tc>
          <w:tcPr>
            <w:tcW w:w="0" w:type="auto"/>
          </w:tcPr>
          <w:p>
            <w:pPr>
              <w:pStyle w:val="TextoNormal-IPCA"/>
              <w:jc w:val="left"/>
            </w:pPr>
            <w:r>
              <w:t>Definição de parâmetros, implementação da plataforma, cenários de IA, exportação e impressão</w:t>
            </w:r>
          </w:p>
        </w:tc>
        <w:tc>
          <w:tcPr>
            <w:tcW w:w="0" w:type="auto"/>
          </w:tcPr>
          <w:p>
            <w:pPr>
              <w:pStyle w:val="TextoNormal-IPCA"/>
              <w:jc w:val="left"/>
            </w:pPr>
            <w:r>
              <w:t>Regras documentadas, respostas JSON, malhas, correcções de escala e peças físicas</w:t>
            </w:r>
          </w:p>
        </w:tc>
        <w:tc>
          <w:tcPr>
            <w:tcW w:w="0" w:type="auto"/>
          </w:tcPr>
          <w:p>
            <w:pPr>
              <w:pStyle w:val="TextoNormal-IPCA"/>
              <w:jc w:val="left"/>
            </w:pPr>
            <w:r>
              <w:t>Ajuste individual, conforto e desempenho funcional em uso</w:t>
            </w:r>
          </w:p>
        </w:tc>
      </w:tr>
      <w:tr>
        <w:tc>
          <w:tcPr>
            <w:tcW w:w="0" w:type="auto"/>
          </w:tcPr>
          <w:p>
            <w:pPr>
              <w:pStyle w:val="TextoNormal-IPCA"/>
              <w:jc w:val="left"/>
            </w:pPr>
            <w:r>
              <w:t>Métodos para avaliar a coerência entre dados, parâmetros, geometria e protótipos</w:t>
            </w:r>
          </w:p>
        </w:tc>
        <w:tc>
          <w:tcPr>
            <w:tcW w:w="0" w:type="auto"/>
          </w:tcPr>
          <w:p>
            <w:pPr>
              <w:pStyle w:val="TextoNormal-IPCA"/>
              <w:jc w:val="left"/>
            </w:pPr>
            <w:r>
              <w:t>RTD, ensaios unitários do mecanismo de correspondência, cenários de ponta a ponta, inspecção geométrica e preparação para impressão</w:t>
            </w:r>
          </w:p>
        </w:tc>
        <w:tc>
          <w:tcPr>
            <w:tcW w:w="0" w:type="auto"/>
          </w:tcPr>
          <w:p>
            <w:pPr>
              <w:pStyle w:val="TextoNormal-IPCA"/>
              <w:jc w:val="left"/>
            </w:pPr>
            <w:r>
              <w:t>Registo de versões, 10 testes unitários aprovados na versão 14.67.0, relatórios de ensaio e três projectos de preparação</w:t>
            </w:r>
          </w:p>
        </w:tc>
        <w:tc>
          <w:tcPr>
            <w:tcW w:w="0" w:type="auto"/>
          </w:tcPr>
          <w:p>
            <w:pPr>
              <w:pStyle w:val="TextoNormal-IPCA"/>
              <w:jc w:val="left"/>
            </w:pPr>
            <w:r>
              <w:t>Ensaios mecânicos normalizados, séries controladas e avaliação clínica</w:t>
            </w:r>
          </w:p>
        </w:tc>
      </w:tr>
      <w:tr>
        <w:tc>
          <w:tcPr>
            <w:tcW w:w="0" w:type="auto"/>
          </w:tcPr>
          <w:p>
            <w:pPr>
              <w:pStyle w:val="TextoNormal-IPCA"/>
              <w:jc w:val="left"/>
            </w:pPr>
            <w:r>
              <w:t>Decisões de design industrial para articular os componentes do sistema</w:t>
            </w:r>
          </w:p>
        </w:tc>
        <w:tc>
          <w:tcPr>
            <w:tcW w:w="0" w:type="auto"/>
          </w:tcPr>
          <w:p>
            <w:pPr>
              <w:pStyle w:val="TextoNormal-IPCA"/>
              <w:jc w:val="left"/>
            </w:pPr>
            <w:r>
              <w:t>Revisão da literatura, selecção de parâmetros, separação de permissões, visualização e opções de cor</w:t>
            </w:r>
          </w:p>
        </w:tc>
        <w:tc>
          <w:tcPr>
            <w:tcW w:w="0" w:type="auto"/>
          </w:tcPr>
          <w:p>
            <w:pPr>
              <w:pStyle w:val="TextoNormal-IPCA"/>
              <w:jc w:val="left"/>
            </w:pPr>
            <w:r>
              <w:t>Decisões de arquitectura, grupos de parâmetros e exportação 3MF com materiais</w:t>
            </w:r>
          </w:p>
        </w:tc>
        <w:tc>
          <w:tcPr>
            <w:tcW w:w="0" w:type="auto"/>
          </w:tcPr>
          <w:p>
            <w:pPr>
              <w:pStyle w:val="TextoNormal-IPCA"/>
              <w:jc w:val="left"/>
            </w:pPr>
            <w:r>
              <w:t>Avaliação situada da interface e dos significados estéticos com os grupos previstos</w:t>
            </w:r>
          </w:p>
        </w:tc>
      </w:tr>
    </w:tbl>
    <w:p>
      <w:pPr>
        <w:pStyle w:val="TextoNormal-IPCA"/>
      </w:pPr>
      <w:r>
        <w:t xml:space="preserve">A plataforma encontrava-se na versão 14.67.0 da branch </w:t>
      </w:r>
      <w:r>
        <w:t>staging</w:t>
      </w:r>
      <w:r>
        <w:t xml:space="preserve"> no fecho desta revisão. Os ensaios antropométricos e geométricos principais foram realizados e documentados nas versões 14.16.0 a 14.20.0; as alterações posteriores são identificadas quando afectam a interpretação dos resultados. Esta distinção evita apresentar o estado actual do código como se correspondesse exactamente ao estado de todas as execuções arquivadas.</w:t>
      </w:r>
    </w:p>
    <w:p>
      <w:pPr>
        <w:pStyle w:val="Cabealho2"/>
        <w:numPr>
          <w:ilvl w:val="1"/>
          <w:numId w:val="0"/>
        </w:numPr>
      </w:pPr>
      <w:r>
        <w:t>3.4 Métodos de recolha e análise de dados</w:t>
      </w:r>
    </w:p>
    <w:p>
      <w:pPr>
        <w:pStyle w:val="TextoNormal-IPCA"/>
      </w:pPr>
      <w:r>
        <w:t xml:space="preserve">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w:t>
      </w:r>
      <w:r>
        <w:t>models/models-config.json</w:t>
      </w:r>
      <w:r>
        <w:t>; respostas JSON e metadados de execução; dimensões das malhas exportadas; relatórios técnicos por modelo; ficheiros 3MF; três projectos com parâmetros de preparação; fotografias dos protótipos; e registos de alterações do código.</w:t>
      </w:r>
    </w:p>
    <w:p>
      <w:pPr>
        <w:pStyle w:val="TextoNormal-IPCA"/>
      </w:pPr>
      <w:r>
        <w:t>Os modelos foram preparados no PrusaSlicer e no Bambu Studio. O fatiamento converte a geometria numa sequência de camadas e trajectórias de deposição, definindo altura de camada, paredes, enchimento, suportes, temperaturas e orientação. Foram arquivados três projectos Bambu Lab A1, gerados no Bambu Studio 1.10.02.76: um projecto PLA para o Flexy Beast e dois projectos, respectivamente em PLA e PETG, para a UnLimbited Phoenix. Foi ainda preservado um projecto Prusa MINI para o Paraglider Hand, gerado no PrusaSlicer 2.8.1. Os projectos Bambu registam camada de 0,24 mm, duas paredes, 15% de enchimento em grelha, suporte em árvore automático e aba de 5 mm. No projecto PETG, as oito peças da UnLimbited Phoenix estão atribuídas ao perfil Bambu PETG Basic, com temperaturas nominais de 255 °C no bico e 70 °C na mesa. O projecto Prusa regista camada de 0,20 mm, duas paredes, 15% de enchimento em grelha, PLA, bico de 0,4 mm, mesa a 60 °C e suporte desactivado. Os parâmetros comparáveis foram mantidos nas restantes impressões, segundo os registos disponíveis, embora não exista um ficheiro de configuração individual para cada peça produzida. A distribuição dos modelos pelos dois programas, materiais e equipamentos decorreu da disponibilidade dos projectos de preparação e das condições operacionais de cada impressão. Não foi desenhado um ensaio comparativo: a mesma geometria não foi produzida em condições equivalentes nos diferentes sistemas e materiais, pelo que estes registos não permitem inferir superioridade ou equivalência entre programas, impressoras, PLA e PETG.</w:t>
      </w:r>
    </w:p>
    <w:p>
      <w:pPr>
        <w:pStyle w:val="TextoNormal-IPCA"/>
      </w:pPr>
      <w:r>
        <w:t>A materialização recorreu a uma Bambu Lab A1 com sistema AMS e a uma Prusa MINI, ambas baseadas em fabrico por filamento fundido. Os ficheiros disponíveis permitem verificar a preparação, a disposição das peças, o material atribuído no projecto e a ausência de erros de malha registados pelo programa. As fotografias permitem confirmar a existência das peças e comparar visualmente as séries etárias. Sem medições físicas sistemáticas, ensaios de carga ou registos completos por peça, esta evidência sustenta imprimibilidade e inspecção preliminar; não sustenta resistência, conforto, segurança ou durabilidade.</w:t>
      </w:r>
    </w:p>
    <w:p>
      <w:pPr>
        <w:pStyle w:val="TextoNormal-IPCA"/>
      </w:pPr>
      <w: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pPr>
      <w: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Normal"/>
        <w:jc w:val="center"/>
      </w:pPr>
      <w:r>
        <w:drawing>
          <wp:inline distT="0" distB="0" distL="0" distR="0">
            <wp:extent cx="5579745" cy="1859915"/>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pic:nvPicPr>
                  <pic:blipFill>
                    <a:blip r:embed="rId32"/>
                    <a:stretch>
                      <a:fillRect/>
                    </a:stretch>
                  </pic:blipFill>
                  <pic:spPr>
                    <a:xfrm>
                      <a:off x="0" y="0"/>
                      <a:ext cx="5579745" cy="1859915"/>
                    </a:xfrm>
                    <a:prstGeom prst="rect">
                      <a:avLst/>
                    </a:prstGeom>
                  </pic:spPr>
                </pic:pic>
              </a:graphicData>
            </a:graphic>
          </wp:inline>
        </w:drawing>
      </w:r>
    </w:p>
    <w:p>
      <w:pPr>
        <w:pStyle w:val="Legenda"/>
      </w:pPr>
      <w:r>
        <w:t>Figura 3.2 — Exemplo de recolha dimensional para ajuste de prótese impressa em 3D.</w:t>
      </w:r>
    </w:p>
    <w:p>
      <w:pPr>
        <w:pStyle w:val="Nota-IPCA"/>
      </w:pPr>
      <w: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Cabealho2"/>
        <w:numPr>
          <w:ilvl w:val="1"/>
          <w:numId w:val="0"/>
        </w:numPr>
      </w:pPr>
      <w:r>
        <w:t>3.5 Critérios de avaliação e limitações metodológicas</w:t>
      </w:r>
    </w:p>
    <w:p>
      <w:pPr>
        <w:pStyle w:val="TextoNormal-IPCA"/>
      </w:pPr>
      <w:r>
        <w:t>A avaliação usa seis critérios: conformidade da saída com o esquema; respeito pelos intervalos declarados; preservação das relações dimensionais definidas; aplicação dos valores na geometria; conclusão dos fluxos principais da plataforma; e preparação das peças para impressão. Cada critério tem uma evidência observável: resposta JSON, comparação numérica, malha exportada, estado da interface, ficheiro de projecto ou peça física. «Verificação»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pPr>
      <w:r>
        <w:t>Como complemento à avaliação inicial, foram executadas, em 13 e 14 de Julho de 2026, campanhas automatizadas orientadas para três qualidades relevantes do processo de design: previsibilidade da geração paramétrica, capacidade de recuperação perante valores ou falhas previsíveis e acessibilidade técnica da interacção. Os ensaios locais decorreram numa instância isolada, com perfis sintéticos, para não alterar os dados de desenvolvimento ou da plataforma pública. A versão pública, disponível em https://handfab.pedrocandeias.net/, foi examinada apenas na superfície não autenticada. O protocolo, os casos, os resultados completos e os registos que permitem reconstruir as execuções são apresentados no Anexo B. Estes ensaios avaliam o comportamento técnico do protótipo; não constituem avaliação de usabilidade com participantes nem certificação de acessibilidade.</w:t>
      </w:r>
    </w:p>
    <w:p>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pPr>
      <w:r>
        <w:t xml:space="preserve">As limitações principais são a ausência de participantes, dados clínicos, medições directas da mão, ensaios biomecânicos, protocolos normalizados de resistência,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w:t>
      </w:r>
      <w:r>
        <w:t>staging</w:t>
      </w:r>
      <w:r>
        <w:t>, sem certificação como dispositivo médico e sem prontidão demonstrada para utilização clínica ou doméstica. Estas limitações delimitam a força das conclusões, sem invalidar o estudo técnico que foi efectivamente realizado.</w:t>
      </w:r>
    </w:p>
    <w:p>
      <w:pPr>
        <w:pStyle w:val="Cabealho1"/>
        <w:pageBreakBefore/>
        <w:numPr>
          <w:ilvl w:val="0"/>
          <w:numId w:val="0"/>
        </w:numPr>
      </w:pPr>
      <w:r>
        <w:t>Capítulo 4 — Desenvolvimento do Modelo Paramétrico</w:t>
      </w:r>
    </w:p>
    <w:p>
      <w:pPr>
        <w:pStyle w:val="Cabealho2"/>
        <w:numPr>
          <w:ilvl w:val="1"/>
          <w:numId w:val="0"/>
        </w:numPr>
      </w:pPr>
      <w:r>
        <w:t>4.1 Definição do problema de design e requisitos</w:t>
      </w:r>
    </w:p>
    <w:p>
      <w:pPr>
        <w:pStyle w:val="TextoNormal-IPCA"/>
      </w:pPr>
      <w: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pPr>
      <w: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pPr>
      <w:r>
        <w:t>Neste contexto, a definição de requisitos não constitui apenas uma etapa técnica de especificação, mas um processo de tradução entre problemas de uso, limitações clínicas, possibilidades tecnológicas e condições concretas de adopção. Assim, os requisitos considerados no projecto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TextoNormal-IPCA"/>
      </w:pPr>
      <w:r>
        <w:t>A partir desta leitura, os requisitos de projecto podem ser organizados em categorias interdependentes. Os requisitos funcionais incluem padrões de preensão, graus de liberdade, amplitude de movimento, força, velocidade e capacidade de realizar actividades da vida diária.</w:t>
      </w:r>
    </w:p>
    <w:p>
      <w:pPr>
        <w:pStyle w:val="TextoNormal-IPCA"/>
      </w:pPr>
      <w:r>
        <w:t>Os requisitos ergonómicos assumem particular centralidade, destacando-se o conforto, o baixo peso, a usabilidade, a facilidade de colocação e remoção da prótese e a adequação ao uso quotidiano prolongado. Ao nível técnico, definem-se parâmetros relativos a actuadores, sistemas de transmissão, sensores, estratégias de controlo, fontes de energia e selecção de materiais com propriedades mecânicas adequadas e compatibilidade biológica.</w:t>
      </w:r>
    </w:p>
    <w:p>
      <w:pPr>
        <w:pStyle w:val="TextoNormal-IPCA"/>
      </w:pPr>
      <w:r>
        <w:t>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Brack &amp; Amalu, 2021; Henao et al., 2025; Walker et al., 2019).</w:t>
      </w:r>
    </w:p>
    <w:p>
      <w:pPr>
        <w:pStyle w:val="TextoNormal-IPCA"/>
      </w:pPr>
      <w:r>
        <w:t>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binário necessário nas articulações, número de graus de liberdade, autonomia energética ou tolerâncias dimensionais. As prioridades dos utilizadores nem sempre coincidem com os indicadores privilegiados pela engenharia, o que exige uma correspondência explícita entre necessidade, critério de avaliação e decisão de projecto (Cordella et al., 2016; Hofmann et al., 2016; Jones et al., 2023).</w:t>
      </w:r>
    </w:p>
    <w:p>
      <w:pPr>
        <w:pStyle w:val="TextoNormal-IPCA"/>
      </w:pPr>
      <w:r>
        <w:t>No sistema paramétrico desenvolvido, esta relação foi operacionalizada apenas nas dimensões cobertas pelo protótipo: variáveis geométricas, restrições construtivas e limites de fabrico. Conforto, segurança e desempenho funcional permaneceram como requisitos provenientes da literatura e não foram convertidos em critérios empiricamente avaliados. Esta distinção evita apresentar a coerência geométrica como demonstração de adequação funcional.</w:t>
      </w:r>
    </w:p>
    <w:p>
      <w:pPr>
        <w:pStyle w:val="TextoNormal-IPCA"/>
      </w:pPr>
      <w:r>
        <w:t>As abordagens clássicas da engenharia de produto estruturam o desenvolvimento através da definição de funções, requisitos técnicos, alternativas e critérios de avaliação. Os modelos centrados no utilizador e as metodologias participativas acrescentam ciclos de prototipagem e avaliação com utilizadores, clínicos e familiares, reconhecendo que a definição do problema depende do desempenho mecânico e da experiência concreta de uso (Henao et al., 2025; Peerdeman et al., 2011; Walker et al., 2019). No domínio digital, a modelação paramétrica, a digitalização 3D e a simulação permitem incorporar alguns requisitos em modelos computacionais antes da produção física; cada requisito continua a exigir um critério de verificação próprio.</w:t>
      </w:r>
    </w:p>
    <w:p>
      <w:pPr>
        <w:pStyle w:val="TextoNormal-IPCA"/>
      </w:pPr>
      <w: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TextoNormal-IPCA"/>
      </w:pPr>
      <w: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TextoNormal-IPCA"/>
      </w:pPr>
      <w:r>
        <w:t>A explicitação destes limites desde as fases conceptuais permite enquadrar o processo como um exercício de optimização sujeito a múltiplas restrições, estruturando as decisões projectuais de forma clara, verificável e passível de análise crítica (Brack &amp; Amalu, 2021; Herneth et al., 2024; Jones et al., 2023).</w:t>
      </w:r>
    </w:p>
    <w:p>
      <w:pPr>
        <w:pStyle w:val="Cabealho2"/>
        <w:numPr>
          <w:ilvl w:val="1"/>
          <w:numId w:val="0"/>
        </w:numPr>
      </w:pPr>
      <w:r>
        <w:t>4.2 Parâmetros antropométricos e estrutura do modelo</w:t>
      </w:r>
    </w:p>
    <w:p>
      <w:pPr>
        <w:pStyle w:val="TextoNormal-IPCA"/>
      </w:pPr>
      <w: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pPr>
      <w:r>
        <w:drawing>
          <wp:inline distT="0" distB="0" distL="0" distR="0">
            <wp:extent cx="4667250" cy="346710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pic:nvPicPr>
                  <pic:blipFill>
                    <a:blip r:embed="rId33"/>
                    <a:stretch>
                      <a:fillRect/>
                    </a:stretch>
                  </pic:blipFill>
                  <pic:spPr>
                    <a:xfrm>
                      <a:off x="0" y="0"/>
                      <a:ext cx="4667250" cy="3467100"/>
                    </a:xfrm>
                    <a:prstGeom prst="rect">
                      <a:avLst/>
                    </a:prstGeom>
                  </pic:spPr>
                </pic:pic>
              </a:graphicData>
            </a:graphic>
          </wp:inline>
        </w:drawing>
      </w:r>
    </w:p>
    <w:p>
      <w:pPr>
        <w:pStyle w:val="Legenda"/>
      </w:pPr>
      <w:r>
        <w:t>Figura 4.1 — Parâmetros antropométricos utilizados na modelação paramétrica de dedos protésicos.</w:t>
      </w:r>
    </w:p>
    <w:p>
      <w:pPr>
        <w:pStyle w:val="Nota-IPCA"/>
      </w:pPr>
      <w: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Legenda"/>
      </w:pPr>
      <w:r>
        <w:t>Tabela 4.1 — Principais parâmetros antropométricos da mão e do membro superior relevantes para modelação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Parâmetro</w:t>
            </w:r>
          </w:p>
        </w:tc>
        <w:tc>
          <w:tcPr>
            <w:tcW w:w="0" w:type="auto"/>
          </w:tcPr>
          <w:p>
            <w:pPr>
              <w:pStyle w:val="TextoNormal-IPCA"/>
              <w:jc w:val="center"/>
            </w:pPr>
            <w:r>
              <w:rPr>
                <w:b/>
              </w:rPr>
              <w:t>Definição dimensional</w:t>
            </w:r>
          </w:p>
        </w:tc>
        <w:tc>
          <w:tcPr>
            <w:tcW w:w="0" w:type="auto"/>
          </w:tcPr>
          <w:p>
            <w:pPr>
              <w:pStyle w:val="TextoNormal-IPCA"/>
              <w:jc w:val="center"/>
            </w:pPr>
            <w:r>
              <w:rPr>
                <w:b/>
              </w:rPr>
              <w:t>Utilização potencial no modelo</w:t>
            </w:r>
          </w:p>
        </w:tc>
      </w:tr>
      <w:tr>
        <w:tc>
          <w:tcPr>
            <w:tcW w:w="0" w:type="auto"/>
          </w:tcPr>
          <w:p>
            <w:pPr>
              <w:pStyle w:val="TextoNormal-IPCA"/>
              <w:jc w:val="left"/>
            </w:pPr>
            <w:r>
              <w:t>Mão</w:t>
            </w:r>
          </w:p>
        </w:tc>
        <w:tc>
          <w:tcPr>
            <w:tcW w:w="0" w:type="auto"/>
          </w:tcPr>
          <w:p>
            <w:pPr>
              <w:pStyle w:val="TextoNormal-IPCA"/>
              <w:jc w:val="left"/>
            </w:pPr>
            <w:r>
              <w:t>Largura da mão</w:t>
            </w:r>
          </w:p>
        </w:tc>
        <w:tc>
          <w:tcPr>
            <w:tcW w:w="0" w:type="auto"/>
          </w:tcPr>
          <w:p>
            <w:pPr>
              <w:pStyle w:val="TextoNormal-IPCA"/>
              <w:jc w:val="left"/>
            </w:pPr>
            <w:r>
              <w:t>Distância entre metacarpos II e V</w:t>
            </w:r>
          </w:p>
        </w:tc>
        <w:tc>
          <w:tcPr>
            <w:tcW w:w="0" w:type="auto"/>
          </w:tcPr>
          <w:p>
            <w:pPr>
              <w:pStyle w:val="TextoNormal-IPCA"/>
              <w:jc w:val="left"/>
            </w:pPr>
            <w:r>
              <w:t>Definição do volume da palma</w:t>
            </w:r>
          </w:p>
        </w:tc>
      </w:tr>
      <w:tr>
        <w:tc>
          <w:tcPr>
            <w:tcW w:w="0" w:type="auto"/>
          </w:tcPr>
          <w:p>
            <w:pPr>
              <w:pStyle w:val="TextoNormal-IPCA"/>
              <w:jc w:val="left"/>
            </w:pPr>
            <w:r>
              <w:t>Palma</w:t>
            </w:r>
          </w:p>
        </w:tc>
        <w:tc>
          <w:tcPr>
            <w:tcW w:w="0" w:type="auto"/>
          </w:tcPr>
          <w:p>
            <w:pPr>
              <w:pStyle w:val="TextoNormal-IPCA"/>
              <w:jc w:val="left"/>
            </w:pPr>
            <w:r>
              <w:t>Comprimento da palma</w:t>
            </w:r>
          </w:p>
        </w:tc>
        <w:tc>
          <w:tcPr>
            <w:tcW w:w="0" w:type="auto"/>
          </w:tcPr>
          <w:p>
            <w:pPr>
              <w:pStyle w:val="TextoNormal-IPCA"/>
              <w:jc w:val="left"/>
            </w:pPr>
            <w:r>
              <w:t>Base do dedo médio até ao punho</w:t>
            </w:r>
          </w:p>
        </w:tc>
        <w:tc>
          <w:tcPr>
            <w:tcW w:w="0" w:type="auto"/>
          </w:tcPr>
          <w:p>
            <w:pPr>
              <w:pStyle w:val="TextoNormal-IPCA"/>
              <w:jc w:val="left"/>
            </w:pPr>
            <w:r>
              <w:t>Estrutura e proporção da palma</w:t>
            </w:r>
          </w:p>
        </w:tc>
      </w:tr>
      <w:tr>
        <w:tc>
          <w:tcPr>
            <w:tcW w:w="0" w:type="auto"/>
          </w:tcPr>
          <w:p>
            <w:pPr>
              <w:pStyle w:val="TextoNormal-IPCA"/>
              <w:jc w:val="left"/>
            </w:pPr>
            <w:r>
              <w:t>Dedos</w:t>
            </w:r>
          </w:p>
        </w:tc>
        <w:tc>
          <w:tcPr>
            <w:tcW w:w="0" w:type="auto"/>
          </w:tcPr>
          <w:p>
            <w:pPr>
              <w:pStyle w:val="TextoNormal-IPCA"/>
              <w:jc w:val="left"/>
            </w:pPr>
            <w:r>
              <w:t>Comprimento dos dedos</w:t>
            </w:r>
          </w:p>
        </w:tc>
        <w:tc>
          <w:tcPr>
            <w:tcW w:w="0" w:type="auto"/>
          </w:tcPr>
          <w:p>
            <w:pPr>
              <w:pStyle w:val="TextoNormal-IPCA"/>
              <w:jc w:val="left"/>
            </w:pPr>
            <w:r>
              <w:t>MCP até ponta</w:t>
            </w:r>
          </w:p>
        </w:tc>
        <w:tc>
          <w:tcPr>
            <w:tcW w:w="0" w:type="auto"/>
          </w:tcPr>
          <w:p>
            <w:pPr>
              <w:pStyle w:val="TextoNormal-IPCA"/>
              <w:jc w:val="left"/>
            </w:pPr>
            <w:r>
              <w:t>Dimensionamento funcional</w:t>
            </w:r>
          </w:p>
        </w:tc>
      </w:tr>
      <w:tr>
        <w:tc>
          <w:tcPr>
            <w:tcW w:w="0" w:type="auto"/>
          </w:tcPr>
          <w:p>
            <w:pPr>
              <w:pStyle w:val="TextoNormal-IPCA"/>
              <w:jc w:val="left"/>
            </w:pPr>
            <w:r>
              <w:t>Dedos</w:t>
            </w:r>
          </w:p>
        </w:tc>
        <w:tc>
          <w:tcPr>
            <w:tcW w:w="0" w:type="auto"/>
          </w:tcPr>
          <w:p>
            <w:pPr>
              <w:pStyle w:val="TextoNormal-IPCA"/>
              <w:jc w:val="left"/>
            </w:pPr>
            <w:r>
              <w:t>Proporções falângicas</w:t>
            </w:r>
          </w:p>
        </w:tc>
        <w:tc>
          <w:tcPr>
            <w:tcW w:w="0" w:type="auto"/>
          </w:tcPr>
          <w:p>
            <w:pPr>
              <w:pStyle w:val="TextoNormal-IPCA"/>
              <w:jc w:val="left"/>
            </w:pPr>
            <w:r>
              <w:t>Relação entre segmentos</w:t>
            </w:r>
          </w:p>
        </w:tc>
        <w:tc>
          <w:tcPr>
            <w:tcW w:w="0" w:type="auto"/>
          </w:tcPr>
          <w:p>
            <w:pPr>
              <w:pStyle w:val="TextoNormal-IPCA"/>
              <w:jc w:val="left"/>
            </w:pPr>
            <w:r>
              <w:t>Definição cinemática</w:t>
            </w:r>
          </w:p>
        </w:tc>
      </w:tr>
      <w:tr>
        <w:tc>
          <w:tcPr>
            <w:tcW w:w="0" w:type="auto"/>
          </w:tcPr>
          <w:p>
            <w:pPr>
              <w:pStyle w:val="TextoNormal-IPCA"/>
              <w:jc w:val="left"/>
            </w:pPr>
            <w:r>
              <w:t>Dedos</w:t>
            </w:r>
          </w:p>
        </w:tc>
        <w:tc>
          <w:tcPr>
            <w:tcW w:w="0" w:type="auto"/>
          </w:tcPr>
          <w:p>
            <w:pPr>
              <w:pStyle w:val="TextoNormal-IPCA"/>
              <w:jc w:val="left"/>
            </w:pPr>
            <w:r>
              <w:t>Largura/profundidade</w:t>
            </w:r>
          </w:p>
        </w:tc>
        <w:tc>
          <w:tcPr>
            <w:tcW w:w="0" w:type="auto"/>
          </w:tcPr>
          <w:p>
            <w:pPr>
              <w:pStyle w:val="TextoNormal-IPCA"/>
              <w:jc w:val="left"/>
            </w:pPr>
            <w:r>
              <w:t>Secção transversal</w:t>
            </w:r>
          </w:p>
        </w:tc>
        <w:tc>
          <w:tcPr>
            <w:tcW w:w="0" w:type="auto"/>
          </w:tcPr>
          <w:p>
            <w:pPr>
              <w:pStyle w:val="TextoNormal-IPCA"/>
              <w:jc w:val="left"/>
            </w:pPr>
            <w:r>
              <w:t>Ajuste estrutural e estético</w:t>
            </w:r>
          </w:p>
        </w:tc>
      </w:tr>
      <w:tr>
        <w:tc>
          <w:tcPr>
            <w:tcW w:w="0" w:type="auto"/>
          </w:tcPr>
          <w:p>
            <w:pPr>
              <w:pStyle w:val="TextoNormal-IPCA"/>
              <w:jc w:val="left"/>
            </w:pPr>
            <w:r>
              <w:t>Polegar</w:t>
            </w:r>
          </w:p>
        </w:tc>
        <w:tc>
          <w:tcPr>
            <w:tcW w:w="0" w:type="auto"/>
          </w:tcPr>
          <w:p>
            <w:pPr>
              <w:pStyle w:val="TextoNormal-IPCA"/>
              <w:jc w:val="left"/>
            </w:pPr>
            <w:r>
              <w:t>Comprimento e orientação</w:t>
            </w:r>
          </w:p>
        </w:tc>
        <w:tc>
          <w:tcPr>
            <w:tcW w:w="0" w:type="auto"/>
          </w:tcPr>
          <w:p>
            <w:pPr>
              <w:pStyle w:val="TextoNormal-IPCA"/>
              <w:jc w:val="left"/>
            </w:pPr>
            <w:r>
              <w:t>Geometria e oposição</w:t>
            </w:r>
          </w:p>
        </w:tc>
        <w:tc>
          <w:tcPr>
            <w:tcW w:w="0" w:type="auto"/>
          </w:tcPr>
          <w:p>
            <w:pPr>
              <w:pStyle w:val="TextoNormal-IPCA"/>
              <w:jc w:val="left"/>
            </w:pPr>
            <w:r>
              <w:t>Preensão e usabilidade</w:t>
            </w:r>
          </w:p>
        </w:tc>
      </w:tr>
      <w:tr>
        <w:tc>
          <w:tcPr>
            <w:tcW w:w="0" w:type="auto"/>
          </w:tcPr>
          <w:p>
            <w:pPr>
              <w:pStyle w:val="TextoNormal-IPCA"/>
              <w:jc w:val="left"/>
            </w:pPr>
            <w:r>
              <w:t>Punho</w:t>
            </w:r>
          </w:p>
        </w:tc>
        <w:tc>
          <w:tcPr>
            <w:tcW w:w="0" w:type="auto"/>
          </w:tcPr>
          <w:p>
            <w:pPr>
              <w:pStyle w:val="TextoNormal-IPCA"/>
              <w:jc w:val="left"/>
            </w:pPr>
            <w:r>
              <w:t>Largura/profundidade</w:t>
            </w:r>
          </w:p>
        </w:tc>
        <w:tc>
          <w:tcPr>
            <w:tcW w:w="0" w:type="auto"/>
          </w:tcPr>
          <w:p>
            <w:pPr>
              <w:pStyle w:val="TextoNormal-IPCA"/>
              <w:jc w:val="left"/>
            </w:pPr>
            <w:r>
              <w:t>Dimensões do punho</w:t>
            </w:r>
          </w:p>
        </w:tc>
        <w:tc>
          <w:tcPr>
            <w:tcW w:w="0" w:type="auto"/>
          </w:tcPr>
          <w:p>
            <w:pPr>
              <w:pStyle w:val="TextoNormal-IPCA"/>
              <w:jc w:val="left"/>
            </w:pPr>
            <w:r>
              <w:t>Interface estrutural</w:t>
            </w:r>
          </w:p>
        </w:tc>
      </w:tr>
      <w:tr>
        <w:tc>
          <w:tcPr>
            <w:tcW w:w="0" w:type="auto"/>
          </w:tcPr>
          <w:p>
            <w:pPr>
              <w:pStyle w:val="TextoNormal-IPCA"/>
              <w:jc w:val="left"/>
            </w:pPr>
            <w:r>
              <w:t>Antebraço</w:t>
            </w:r>
          </w:p>
        </w:tc>
        <w:tc>
          <w:tcPr>
            <w:tcW w:w="0" w:type="auto"/>
          </w:tcPr>
          <w:p>
            <w:pPr>
              <w:pStyle w:val="TextoNormal-IPCA"/>
              <w:jc w:val="left"/>
            </w:pPr>
            <w:r>
              <w:t>Circunferência/comprimento residual</w:t>
            </w:r>
          </w:p>
        </w:tc>
        <w:tc>
          <w:tcPr>
            <w:tcW w:w="0" w:type="auto"/>
          </w:tcPr>
          <w:p>
            <w:pPr>
              <w:pStyle w:val="TextoNormal-IPCA"/>
              <w:jc w:val="left"/>
            </w:pPr>
            <w:r>
              <w:t>Medidas do membro residual</w:t>
            </w:r>
          </w:p>
        </w:tc>
        <w:tc>
          <w:tcPr>
            <w:tcW w:w="0" w:type="auto"/>
          </w:tcPr>
          <w:p>
            <w:pPr>
              <w:pStyle w:val="TextoNormal-IPCA"/>
              <w:jc w:val="left"/>
            </w:pPr>
            <w:r>
              <w:t>Ajuste do encaixe</w:t>
            </w:r>
          </w:p>
        </w:tc>
      </w:tr>
    </w:tbl>
    <w:p>
      <w:pPr>
        <w:pStyle w:val="Cabealho3"/>
        <w:numPr>
          <w:ilvl w:val="2"/>
          <w:numId w:val="0"/>
        </w:numPr>
      </w:pPr>
      <w:r>
        <w:t>Conjuntos mínimos de parâmetros por nível de amputação</w:t>
      </w:r>
    </w:p>
    <w:p>
      <w:pPr>
        <w:pStyle w:val="TextoNormal-IPCA"/>
      </w:pPr>
      <w: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Legenda"/>
      </w:pPr>
      <w:r>
        <w:t>Tabela 4.2 — Conjuntos mínimos de parâmetros por nível de amputação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ausência do membro</w:t>
            </w:r>
          </w:p>
        </w:tc>
        <w:tc>
          <w:tcPr>
            <w:tcW w:w="0" w:type="auto"/>
          </w:tcPr>
          <w:p>
            <w:pPr>
              <w:pStyle w:val="TextoNormal-IPCA"/>
              <w:jc w:val="center"/>
            </w:pPr>
            <w:r>
              <w:rPr>
                <w:b/>
              </w:rPr>
              <w:t>Conjunto mínimo proposto pela literatura</w:t>
            </w:r>
          </w:p>
        </w:tc>
      </w:tr>
      <w:tr>
        <w:tc>
          <w:tcPr>
            <w:tcW w:w="0" w:type="auto"/>
          </w:tcPr>
          <w:p>
            <w:pPr>
              <w:pStyle w:val="TextoNormal-IPCA"/>
              <w:jc w:val="left"/>
            </w:pPr>
            <w:r>
              <w:t>Desarticulação do punho</w:t>
            </w:r>
          </w:p>
        </w:tc>
        <w:tc>
          <w:tcPr>
            <w:tcW w:w="0" w:type="auto"/>
          </w:tcPr>
          <w:p>
            <w:pPr>
              <w:pStyle w:val="TextoNormal-IPCA"/>
              <w:jc w:val="left"/>
            </w:pPr>
            <w:r>
              <w:t>Largura e profundidade do punho, comprimento da mão</w:t>
            </w:r>
          </w:p>
        </w:tc>
      </w:tr>
      <w:tr>
        <w:tc>
          <w:tcPr>
            <w:tcW w:w="0" w:type="auto"/>
          </w:tcPr>
          <w:p>
            <w:pPr>
              <w:pStyle w:val="TextoNormal-IPCA"/>
              <w:jc w:val="left"/>
            </w:pPr>
            <w:r>
              <w:t>Parcial da mão</w:t>
            </w:r>
          </w:p>
        </w:tc>
        <w:tc>
          <w:tcPr>
            <w:tcW w:w="0" w:type="auto"/>
          </w:tcPr>
          <w:p>
            <w:pPr>
              <w:pStyle w:val="TextoNormal-IPCA"/>
              <w:jc w:val="left"/>
            </w:pPr>
            <w:r>
              <w:t>Comprimento da palma, dimensões dos dedos remanescentes</w:t>
            </w:r>
          </w:p>
        </w:tc>
      </w:tr>
      <w:tr>
        <w:tc>
          <w:tcPr>
            <w:tcW w:w="0" w:type="auto"/>
          </w:tcPr>
          <w:p>
            <w:pPr>
              <w:pStyle w:val="TextoNormal-IPCA"/>
              <w:jc w:val="left"/>
            </w:pPr>
            <w:r>
              <w:t>Dedos (parcial)</w:t>
            </w:r>
          </w:p>
        </w:tc>
        <w:tc>
          <w:tcPr>
            <w:tcW w:w="0" w:type="auto"/>
          </w:tcPr>
          <w:p>
            <w:pPr>
              <w:pStyle w:val="TextoNormal-IPCA"/>
              <w:jc w:val="left"/>
            </w:pPr>
            <w:r>
              <w:t>Comprimento e largura do dedo, proporções falângicas</w:t>
            </w:r>
          </w:p>
        </w:tc>
      </w:tr>
      <w:tr>
        <w:tc>
          <w:tcPr>
            <w:tcW w:w="0" w:type="auto"/>
          </w:tcPr>
          <w:p>
            <w:pPr>
              <w:pStyle w:val="TextoNormal-IPCA"/>
              <w:jc w:val="left"/>
            </w:pPr>
            <w:r>
              <w:t>Mão completa (cosmética/funcional)</w:t>
            </w:r>
          </w:p>
        </w:tc>
        <w:tc>
          <w:tcPr>
            <w:tcW w:w="0" w:type="auto"/>
          </w:tcPr>
          <w:p>
            <w:pPr>
              <w:pStyle w:val="TextoNormal-IPCA"/>
              <w:jc w:val="left"/>
            </w:pPr>
            <w:r>
              <w:t>Comprimento da mão, largura da palma, comprimento dos dedos</w:t>
            </w:r>
          </w:p>
        </w:tc>
      </w:tr>
    </w:tbl>
    <w:p>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Cabealho3"/>
        <w:numPr>
          <w:ilvl w:val="2"/>
          <w:numId w:val="0"/>
        </w:numPr>
      </w:pPr>
      <w:r>
        <w:t>Limitações do redimensionamento proporcional</w:t>
      </w:r>
    </w:p>
    <w:p>
      <w:pPr>
        <w:pStyle w:val="TextoNormal-IPCA"/>
      </w:pPr>
      <w: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pPr>
      <w: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pPr>
      <w:r>
        <w:drawing>
          <wp:inline distT="0" distB="0" distL="0" distR="0">
            <wp:extent cx="5579745" cy="2352792"/>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r:embed="rId34"/>
                    <a:stretch>
                      <a:fillRect/>
                    </a:stretch>
                  </pic:blipFill>
                  <pic:spPr>
                    <a:xfrm>
                      <a:off x="0" y="0"/>
                      <a:ext cx="5579745" cy="2352792"/>
                    </a:xfrm>
                    <a:prstGeom prst="rect">
                      <a:avLst/>
                    </a:prstGeom>
                  </pic:spPr>
                </pic:pic>
              </a:graphicData>
            </a:graphic>
          </wp:inline>
        </w:drawing>
      </w:r>
    </w:p>
    <w:p>
      <w:pPr>
        <w:pStyle w:val="Legenda"/>
      </w:pPr>
      <w:r>
        <w:t>Figura 4.2 — Comparação entre o escalonamento uniforme e a modelação paramétrica de dedo protésico.</w:t>
      </w:r>
    </w:p>
    <w:p>
      <w:pPr>
        <w:pStyle w:val="Nota-IPCA"/>
      </w:pPr>
      <w: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Cabealho3"/>
        <w:numPr>
          <w:ilvl w:val="2"/>
          <w:numId w:val="0"/>
        </w:numPr>
      </w:pPr>
      <w:r>
        <w:t>Métodos de recolha de dados antropométricos</w:t>
      </w:r>
    </w:p>
    <w:p>
      <w:pPr>
        <w:pStyle w:val="TextoNormal-IPCA"/>
      </w:pPr>
      <w: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Legenda"/>
      </w:pPr>
      <w:r>
        <w:t>Tabela 4.3 — Métodos de recolha de dados antropométricos e suas características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Método</w:t>
            </w:r>
          </w:p>
        </w:tc>
        <w:tc>
          <w:tcPr>
            <w:tcW w:w="0" w:type="auto"/>
          </w:tcPr>
          <w:p>
            <w:pPr>
              <w:pStyle w:val="TextoNormal-IPCA"/>
              <w:jc w:val="center"/>
            </w:pPr>
            <w:r>
              <w:rPr>
                <w:b/>
              </w:rPr>
              <w:t>Dados obtidos</w:t>
            </w:r>
          </w:p>
        </w:tc>
        <w:tc>
          <w:tcPr>
            <w:tcW w:w="0" w:type="auto"/>
          </w:tcPr>
          <w:p>
            <w:pPr>
              <w:pStyle w:val="TextoNormal-IPCA"/>
              <w:jc w:val="center"/>
            </w:pPr>
            <w:r>
              <w:rPr>
                <w:b/>
              </w:rPr>
              <w:t>Vantagens</w:t>
            </w:r>
          </w:p>
        </w:tc>
        <w:tc>
          <w:tcPr>
            <w:tcW w:w="0" w:type="auto"/>
          </w:tcPr>
          <w:p>
            <w:pPr>
              <w:pStyle w:val="TextoNormal-IPCA"/>
              <w:jc w:val="center"/>
            </w:pPr>
            <w:r>
              <w:rPr>
                <w:b/>
              </w:rPr>
              <w:t>Limitações</w:t>
            </w:r>
          </w:p>
        </w:tc>
        <w:tc>
          <w:tcPr>
            <w:tcW w:w="0" w:type="auto"/>
          </w:tcPr>
          <w:p>
            <w:pPr>
              <w:pStyle w:val="TextoNormal-IPCA"/>
              <w:jc w:val="center"/>
            </w:pPr>
            <w:r>
              <w:rPr>
                <w:b/>
              </w:rPr>
              <w:t>Uso principal</w:t>
            </w:r>
          </w:p>
        </w:tc>
      </w:tr>
      <w:tr>
        <w:tc>
          <w:tcPr>
            <w:tcW w:w="0" w:type="auto"/>
          </w:tcPr>
          <w:p>
            <w:pPr>
              <w:pStyle w:val="TextoNormal-IPCA"/>
              <w:jc w:val="left"/>
            </w:pPr>
            <w:r>
              <w:t>Digitalização 3D</w:t>
            </w:r>
          </w:p>
        </w:tc>
        <w:tc>
          <w:tcPr>
            <w:tcW w:w="0" w:type="auto"/>
          </w:tcPr>
          <w:p>
            <w:pPr>
              <w:pStyle w:val="TextoNormal-IPCA"/>
              <w:jc w:val="left"/>
            </w:pPr>
            <w:r>
              <w:t>Geometria superficial</w:t>
            </w:r>
          </w:p>
        </w:tc>
        <w:tc>
          <w:tcPr>
            <w:tcW w:w="0" w:type="auto"/>
          </w:tcPr>
          <w:p>
            <w:pPr>
              <w:pStyle w:val="TextoNormal-IPCA"/>
              <w:jc w:val="left"/>
            </w:pPr>
            <w:r>
              <w:t>Elevada precisão, rapidez</w:t>
            </w:r>
          </w:p>
        </w:tc>
        <w:tc>
          <w:tcPr>
            <w:tcW w:w="0" w:type="auto"/>
          </w:tcPr>
          <w:p>
            <w:pPr>
              <w:pStyle w:val="TextoNormal-IPCA"/>
              <w:jc w:val="left"/>
            </w:pPr>
            <w:r>
              <w:t>Equipamento e processamento necessários</w:t>
            </w:r>
          </w:p>
        </w:tc>
        <w:tc>
          <w:tcPr>
            <w:tcW w:w="0" w:type="auto"/>
          </w:tcPr>
          <w:p>
            <w:pPr>
              <w:pStyle w:val="TextoNormal-IPCA"/>
              <w:jc w:val="left"/>
            </w:pPr>
            <w:r>
              <w:t>Encaixe e forma</w:t>
            </w:r>
          </w:p>
        </w:tc>
      </w:tr>
      <w:tr>
        <w:tc>
          <w:tcPr>
            <w:tcW w:w="0" w:type="auto"/>
          </w:tcPr>
          <w:p>
            <w:pPr>
              <w:pStyle w:val="TextoNormal-IPCA"/>
              <w:jc w:val="left"/>
            </w:pPr>
            <w:r>
              <w:t>Imagiologia médica</w:t>
            </w:r>
          </w:p>
        </w:tc>
        <w:tc>
          <w:tcPr>
            <w:tcW w:w="0" w:type="auto"/>
          </w:tcPr>
          <w:p>
            <w:pPr>
              <w:pStyle w:val="TextoNormal-IPCA"/>
              <w:jc w:val="left"/>
            </w:pPr>
            <w:r>
              <w:t>Estrutura interna e externa</w:t>
            </w:r>
          </w:p>
        </w:tc>
        <w:tc>
          <w:tcPr>
            <w:tcW w:w="0" w:type="auto"/>
          </w:tcPr>
          <w:p>
            <w:pPr>
              <w:pStyle w:val="TextoNormal-IPCA"/>
              <w:jc w:val="left"/>
            </w:pPr>
            <w:r>
              <w:t>Dados anatómicos detalhados</w:t>
            </w:r>
          </w:p>
        </w:tc>
        <w:tc>
          <w:tcPr>
            <w:tcW w:w="0" w:type="auto"/>
          </w:tcPr>
          <w:p>
            <w:pPr>
              <w:pStyle w:val="TextoNormal-IPCA"/>
              <w:jc w:val="left"/>
            </w:pPr>
            <w:r>
              <w:t>Alto custo e menor acessibilidade</w:t>
            </w:r>
          </w:p>
        </w:tc>
        <w:tc>
          <w:tcPr>
            <w:tcW w:w="0" w:type="auto"/>
          </w:tcPr>
          <w:p>
            <w:pPr>
              <w:pStyle w:val="TextoNormal-IPCA"/>
              <w:jc w:val="left"/>
            </w:pPr>
            <w:r>
              <w:t>Modelação biomecânica</w:t>
            </w:r>
          </w:p>
        </w:tc>
      </w:tr>
      <w:tr>
        <w:tc>
          <w:tcPr>
            <w:tcW w:w="0" w:type="auto"/>
          </w:tcPr>
          <w:p>
            <w:pPr>
              <w:pStyle w:val="TextoNormal-IPCA"/>
              <w:jc w:val="left"/>
            </w:pPr>
            <w:r>
              <w:t>Fotogrametria</w:t>
            </w:r>
          </w:p>
        </w:tc>
        <w:tc>
          <w:tcPr>
            <w:tcW w:w="0" w:type="auto"/>
          </w:tcPr>
          <w:p>
            <w:pPr>
              <w:pStyle w:val="TextoNormal-IPCA"/>
              <w:jc w:val="left"/>
            </w:pPr>
            <w:r>
              <w:t>Geometria aproximada</w:t>
            </w:r>
          </w:p>
        </w:tc>
        <w:tc>
          <w:tcPr>
            <w:tcW w:w="0" w:type="auto"/>
          </w:tcPr>
          <w:p>
            <w:pPr>
              <w:pStyle w:val="TextoNormal-IPCA"/>
              <w:jc w:val="left"/>
            </w:pPr>
            <w:r>
              <w:t>Acessível, potencial remoto</w:t>
            </w:r>
          </w:p>
        </w:tc>
        <w:tc>
          <w:tcPr>
            <w:tcW w:w="0" w:type="auto"/>
          </w:tcPr>
          <w:p>
            <w:pPr>
              <w:pStyle w:val="TextoNormal-IPCA"/>
              <w:jc w:val="left"/>
            </w:pPr>
            <w:r>
              <w:t>Precisão variável</w:t>
            </w:r>
          </w:p>
        </w:tc>
        <w:tc>
          <w:tcPr>
            <w:tcW w:w="0" w:type="auto"/>
          </w:tcPr>
          <w:p>
            <w:pPr>
              <w:pStyle w:val="TextoNormal-IPCA"/>
              <w:jc w:val="left"/>
            </w:pPr>
            <w:r>
              <w:t>Aquisição preliminar</w:t>
            </w:r>
          </w:p>
        </w:tc>
      </w:tr>
    </w:tbl>
    <w:p>
      <w:pPr>
        <w:pStyle w:val="Cabealho3"/>
        <w:numPr>
          <w:ilvl w:val="2"/>
          <w:numId w:val="0"/>
        </w:numPr>
      </w:pPr>
      <w:r>
        <w:t>Bases de dados antropométricas, extracção e normalização</w:t>
      </w:r>
    </w:p>
    <w:p>
      <w:pPr>
        <w:pStyle w:val="TextoNormal-IPCA"/>
      </w:pPr>
      <w:r>
        <w:t xml:space="preserve">A definição de parâmetros pode apoiar-se em bases de dados antropométricas de referência e em normas de medição corporal, que ajudam a estabilizar a nomenclatura, os pontos anatómicos e os intervalos esperados de variação. No presente projecto, esse apoio foi operacionalizado através da consolidação local de dados provenientes de estudos populacionais e de bases de referência. O conjunto </w:t>
      </w:r>
      <w:r>
        <w:t>data/multi_population_hand.csv</w:t>
      </w:r>
      <w:r>
        <w:t xml:space="preserve"> contém 1.790 linhas em formato longo; cada linha representa uma estatística associada a uma medida e a um grupo, e não uma pessoa. O ficheiro cobre nove países — China, Estados Unidos da América, Índia, Jordânia, México, Nigéria, Países Baixos, Portugal e Turquia — e combina dados de estudos publicados, relatórios técnicos e subconjuntos DINED disponibilizados pela TU Delft.</w:t>
      </w:r>
    </w:p>
    <w:p>
      <w:pPr>
        <w:pStyle w:val="TextoNormal-IPCA"/>
      </w:pPr>
      <w:r>
        <w:t>Esta consolidação não cria uma nova norma antropométrica nem substitui a medição individual. A base funciona como infra-estrutura intermédia para três decisões de projecto: definir intervalos de referência para os parâmetros expostos; identificar dimensões recorrentes que possam servir como entradas mínimas; e testar a coerência geométrica de configurações derivadas de perfis populacionais. Os dados populacionais descrevem tendências e dispersões. O ajuste final ao corpo continua a exigir medições directas ou digitalização específica.</w:t>
      </w:r>
    </w:p>
    <w:p>
      <w:pPr>
        <w:pStyle w:val="TextoNormal-IPCA"/>
      </w:pPr>
      <w:r>
        <w:t>A selecção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Foram excluídos estudos que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directamente (Moreo, 2016).</w:t>
      </w:r>
    </w:p>
    <w:p>
      <w:pPr>
        <w:pStyle w:val="Legenda"/>
      </w:pPr>
      <w:r>
        <w:t>Tabela 4.4 — Fontes integradas na base local de dados antropométricos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Fonte</w:t>
            </w:r>
          </w:p>
        </w:tc>
        <w:tc>
          <w:tcPr>
            <w:tcW w:w="0" w:type="auto"/>
          </w:tcPr>
          <w:p>
            <w:pPr>
              <w:pStyle w:val="TextoNormal-IPCA"/>
              <w:jc w:val="center"/>
            </w:pPr>
            <w:r>
              <w:rPr>
                <w:b/>
              </w:rPr>
              <w:t>População e cobertura</w:t>
            </w:r>
          </w:p>
        </w:tc>
        <w:tc>
          <w:tcPr>
            <w:tcW w:w="0" w:type="auto"/>
          </w:tcPr>
          <w:p>
            <w:pPr>
              <w:pStyle w:val="TextoNormal-IPCA"/>
              <w:jc w:val="center"/>
            </w:pPr>
            <w:r>
              <w:rPr>
                <w:b/>
              </w:rPr>
              <w:t>Dados extraídos</w:t>
            </w:r>
          </w:p>
        </w:tc>
        <w:tc>
          <w:tcPr>
            <w:tcW w:w="0" w:type="auto"/>
          </w:tcPr>
          <w:p>
            <w:pPr>
              <w:pStyle w:val="TextoNormal-IPCA"/>
              <w:jc w:val="center"/>
            </w:pPr>
            <w:r>
              <w:rPr>
                <w:b/>
              </w:rPr>
              <w:t>Registos</w:t>
            </w:r>
          </w:p>
        </w:tc>
      </w:tr>
      <w:tr>
        <w:tc>
          <w:tcPr>
            <w:tcW w:w="0" w:type="auto"/>
          </w:tcPr>
          <w:p>
            <w:pPr>
              <w:pStyle w:val="TextoNormal-IPCA"/>
              <w:jc w:val="left"/>
            </w:pPr>
            <w:r>
              <w:t>DINED kima1993, TU Delft</w:t>
            </w:r>
          </w:p>
        </w:tc>
        <w:tc>
          <w:tcPr>
            <w:tcW w:w="0" w:type="auto"/>
          </w:tcPr>
          <w:p>
            <w:pPr>
              <w:pStyle w:val="TextoNormal-IPCA"/>
              <w:jc w:val="left"/>
            </w:pPr>
            <w:r>
              <w:t>Crianças neerlandesas, 2–12 anos</w:t>
            </w:r>
          </w:p>
        </w:tc>
        <w:tc>
          <w:tcPr>
            <w:tcW w:w="0" w:type="auto"/>
          </w:tcPr>
          <w:p>
            <w:pPr>
              <w:pStyle w:val="TextoNormal-IPCA"/>
              <w:jc w:val="left"/>
            </w:pPr>
            <w:r>
              <w:t>Médias e desvios-padrão de medições da mão por idade e sexo</w:t>
            </w:r>
          </w:p>
        </w:tc>
        <w:tc>
          <w:tcPr>
            <w:tcW w:w="0" w:type="auto"/>
          </w:tcPr>
          <w:p>
            <w:pPr>
              <w:pStyle w:val="TextoNormal-IPCA"/>
              <w:jc w:val="left"/>
            </w:pPr>
            <w:r>
              <w:t>528</w:t>
            </w:r>
          </w:p>
        </w:tc>
      </w:tr>
      <w:tr>
        <w:tc>
          <w:tcPr>
            <w:tcW w:w="0" w:type="auto"/>
          </w:tcPr>
          <w:p>
            <w:pPr>
              <w:pStyle w:val="TextoNormal-IPCA"/>
              <w:jc w:val="left"/>
            </w:pPr>
            <w:r>
              <w:t>DINED geron1998, TU Delft</w:t>
            </w:r>
          </w:p>
        </w:tc>
        <w:tc>
          <w:tcPr>
            <w:tcW w:w="0" w:type="auto"/>
          </w:tcPr>
          <w:p>
            <w:pPr>
              <w:pStyle w:val="TextoNormal-IPCA"/>
              <w:jc w:val="left"/>
            </w:pPr>
            <w:r>
              <w:t>Idosos neerlandeses, 50–80+ anos</w:t>
            </w:r>
          </w:p>
        </w:tc>
        <w:tc>
          <w:tcPr>
            <w:tcW w:w="0" w:type="auto"/>
          </w:tcPr>
          <w:p>
            <w:pPr>
              <w:pStyle w:val="TextoNormal-IPCA"/>
              <w:jc w:val="left"/>
            </w:pPr>
            <w:r>
              <w:t>Médias e desvios-padrão de medições da mão por grupos etários</w:t>
            </w:r>
          </w:p>
        </w:tc>
        <w:tc>
          <w:tcPr>
            <w:tcW w:w="0" w:type="auto"/>
          </w:tcPr>
          <w:p>
            <w:pPr>
              <w:pStyle w:val="TextoNormal-IPCA"/>
              <w:jc w:val="left"/>
            </w:pPr>
            <w:r>
              <w:t>210</w:t>
            </w:r>
          </w:p>
        </w:tc>
      </w:tr>
      <w:tr>
        <w:tc>
          <w:tcPr>
            <w:tcW w:w="0" w:type="auto"/>
          </w:tcPr>
          <w:p>
            <w:pPr>
              <w:pStyle w:val="TextoNormal-IPCA"/>
              <w:jc w:val="left"/>
            </w:pPr>
            <w:r>
              <w:t>DINED dined2004, TU Delft</w:t>
            </w:r>
          </w:p>
        </w:tc>
        <w:tc>
          <w:tcPr>
            <w:tcW w:w="0" w:type="auto"/>
          </w:tcPr>
          <w:p>
            <w:pPr>
              <w:pStyle w:val="TextoNormal-IPCA"/>
              <w:jc w:val="left"/>
            </w:pPr>
            <w:r>
              <w:t>Adultos neerlandeses, 20–60+ anos</w:t>
            </w:r>
          </w:p>
        </w:tc>
        <w:tc>
          <w:tcPr>
            <w:tcW w:w="0" w:type="auto"/>
          </w:tcPr>
          <w:p>
            <w:pPr>
              <w:pStyle w:val="TextoNormal-IPCA"/>
              <w:jc w:val="left"/>
            </w:pPr>
            <w:r>
              <w:t>Médias e desvios-padrão de medições da mão por sexo e idade</w:t>
            </w:r>
          </w:p>
        </w:tc>
        <w:tc>
          <w:tcPr>
            <w:tcW w:w="0" w:type="auto"/>
          </w:tcPr>
          <w:p>
            <w:pPr>
              <w:pStyle w:val="TextoNormal-IPCA"/>
              <w:jc w:val="left"/>
            </w:pPr>
            <w:r>
              <w:t>114</w:t>
            </w:r>
          </w:p>
        </w:tc>
      </w:tr>
      <w:tr>
        <w:tc>
          <w:tcPr>
            <w:tcW w:w="0" w:type="auto"/>
          </w:tcPr>
          <w:p>
            <w:pPr>
              <w:pStyle w:val="TextoNormal-IPCA"/>
              <w:jc w:val="left"/>
            </w:pPr>
            <w:r>
              <w:t>Rodríguez-Vega e Rodríguez-Vega (2024)</w:t>
            </w:r>
          </w:p>
        </w:tc>
        <w:tc>
          <w:tcPr>
            <w:tcW w:w="0" w:type="auto"/>
          </w:tcPr>
          <w:p>
            <w:pPr>
              <w:pStyle w:val="TextoNormal-IPCA"/>
              <w:jc w:val="left"/>
            </w:pPr>
            <w:r>
              <w:t>População mexicana, 15–59 anos</w:t>
            </w:r>
          </w:p>
        </w:tc>
        <w:tc>
          <w:tcPr>
            <w:tcW w:w="0" w:type="auto"/>
          </w:tcPr>
          <w:p>
            <w:pPr>
              <w:pStyle w:val="TextoNormal-IPCA"/>
              <w:jc w:val="left"/>
            </w:pPr>
            <w:r>
              <w:t>Comprimento da mão, comprimento da palma, largura da mão e diâmetro de preensão, com valores gerais e por grupos etários</w:t>
            </w:r>
          </w:p>
        </w:tc>
        <w:tc>
          <w:tcPr>
            <w:tcW w:w="0" w:type="auto"/>
          </w:tcPr>
          <w:p>
            <w:pPr>
              <w:pStyle w:val="TextoNormal-IPCA"/>
              <w:jc w:val="left"/>
            </w:pPr>
            <w:r>
              <w:t>360</w:t>
            </w:r>
          </w:p>
        </w:tc>
      </w:tr>
      <w:tr>
        <w:tc>
          <w:tcPr>
            <w:tcW w:w="0" w:type="auto"/>
          </w:tcPr>
          <w:p>
            <w:pPr>
              <w:pStyle w:val="TextoNormal-IPCA"/>
              <w:jc w:val="left"/>
            </w:pPr>
            <w:r>
              <w:t>Nag et al. (2003)</w:t>
            </w:r>
          </w:p>
        </w:tc>
        <w:tc>
          <w:tcPr>
            <w:tcW w:w="0" w:type="auto"/>
          </w:tcPr>
          <w:p>
            <w:pPr>
              <w:pStyle w:val="TextoNormal-IPCA"/>
              <w:jc w:val="left"/>
            </w:pPr>
            <w:r>
              <w:t>Mulheres indianas trabalhadoras</w:t>
            </w:r>
          </w:p>
        </w:tc>
        <w:tc>
          <w:tcPr>
            <w:tcW w:w="0" w:type="auto"/>
          </w:tcPr>
          <w:p>
            <w:pPr>
              <w:pStyle w:val="TextoNormal-IPCA"/>
              <w:jc w:val="left"/>
            </w:pPr>
            <w:r>
              <w:t>51 dimensões da mão, incluindo comprimentos, larguras, circunferências, profundidades e aberturas</w:t>
            </w:r>
          </w:p>
        </w:tc>
        <w:tc>
          <w:tcPr>
            <w:tcW w:w="0" w:type="auto"/>
          </w:tcPr>
          <w:p>
            <w:pPr>
              <w:pStyle w:val="TextoNormal-IPCA"/>
              <w:jc w:val="left"/>
            </w:pPr>
            <w:r>
              <w:t>255</w:t>
            </w:r>
          </w:p>
        </w:tc>
      </w:tr>
      <w:tr>
        <w:tc>
          <w:tcPr>
            <w:tcW w:w="0" w:type="auto"/>
          </w:tcPr>
          <w:p>
            <w:pPr>
              <w:pStyle w:val="TextoNormal-IPCA"/>
              <w:jc w:val="left"/>
            </w:pPr>
            <w:r>
              <w:t>Gordon et al. (2015)</w:t>
            </w:r>
          </w:p>
        </w:tc>
        <w:tc>
          <w:tcPr>
            <w:tcW w:w="0" w:type="auto"/>
          </w:tcPr>
          <w:p>
            <w:pPr>
              <w:pStyle w:val="TextoNormal-IPCA"/>
              <w:jc w:val="left"/>
            </w:pPr>
            <w:r>
              <w:t>Militares norte-americanos do ANSUR II</w:t>
            </w:r>
          </w:p>
        </w:tc>
        <w:tc>
          <w:tcPr>
            <w:tcW w:w="0" w:type="auto"/>
          </w:tcPr>
          <w:p>
            <w:pPr>
              <w:pStyle w:val="TextoNormal-IPCA"/>
              <w:jc w:val="left"/>
            </w:pPr>
            <w:r>
              <w:t>Medições da mão, punho e antebraço extraídas das estatísticas públicas do inquérito</w:t>
            </w:r>
          </w:p>
        </w:tc>
        <w:tc>
          <w:tcPr>
            <w:tcW w:w="0" w:type="auto"/>
          </w:tcPr>
          <w:p>
            <w:pPr>
              <w:pStyle w:val="TextoNormal-IPCA"/>
              <w:jc w:val="left"/>
            </w:pPr>
            <w:r>
              <w:t>154</w:t>
            </w:r>
          </w:p>
        </w:tc>
      </w:tr>
      <w:tr>
        <w:tc>
          <w:tcPr>
            <w:tcW w:w="0" w:type="auto"/>
          </w:tcPr>
          <w:p>
            <w:pPr>
              <w:pStyle w:val="TextoNormal-IPCA"/>
              <w:jc w:val="left"/>
            </w:pPr>
            <w:r>
              <w:t>Chatzioglou et al. (2024)</w:t>
            </w:r>
          </w:p>
        </w:tc>
        <w:tc>
          <w:tcPr>
            <w:tcW w:w="0" w:type="auto"/>
          </w:tcPr>
          <w:p>
            <w:pPr>
              <w:pStyle w:val="TextoNormal-IPCA"/>
              <w:jc w:val="left"/>
            </w:pPr>
            <w:r>
              <w:t>Jovens adultos da Turquia</w:t>
            </w:r>
          </w:p>
        </w:tc>
        <w:tc>
          <w:tcPr>
            <w:tcW w:w="0" w:type="auto"/>
          </w:tcPr>
          <w:p>
            <w:pPr>
              <w:pStyle w:val="TextoNormal-IPCA"/>
              <w:jc w:val="left"/>
            </w:pPr>
            <w:r>
              <w:t>Comprimentos dos cinco dedos da mão direita, por sexo e combinado</w:t>
            </w:r>
          </w:p>
        </w:tc>
        <w:tc>
          <w:tcPr>
            <w:tcW w:w="0" w:type="auto"/>
          </w:tcPr>
          <w:p>
            <w:pPr>
              <w:pStyle w:val="TextoNormal-IPCA"/>
              <w:jc w:val="left"/>
            </w:pPr>
            <w:r>
              <w:t>56</w:t>
            </w:r>
          </w:p>
        </w:tc>
      </w:tr>
      <w:tr>
        <w:tc>
          <w:tcPr>
            <w:tcW w:w="0" w:type="auto"/>
          </w:tcPr>
          <w:p>
            <w:pPr>
              <w:pStyle w:val="TextoNormal-IPCA"/>
              <w:jc w:val="left"/>
            </w:pPr>
            <w:r>
              <w:t>Hu et al. (2007)</w:t>
            </w:r>
          </w:p>
        </w:tc>
        <w:tc>
          <w:tcPr>
            <w:tcW w:w="0" w:type="auto"/>
          </w:tcPr>
          <w:p>
            <w:pPr>
              <w:pStyle w:val="TextoNormal-IPCA"/>
              <w:jc w:val="left"/>
            </w:pPr>
            <w:r>
              <w:t>Idosos chineses da área de Pequim</w:t>
            </w:r>
          </w:p>
        </w:tc>
        <w:tc>
          <w:tcPr>
            <w:tcW w:w="0" w:type="auto"/>
          </w:tcPr>
          <w:p>
            <w:pPr>
              <w:pStyle w:val="TextoNormal-IPCA"/>
              <w:jc w:val="left"/>
            </w:pPr>
            <w:r>
              <w:t>Larguras, comprimento da mão, comprimento do dedo e comprimento antebraço-ponta dos dedos</w:t>
            </w:r>
          </w:p>
        </w:tc>
        <w:tc>
          <w:tcPr>
            <w:tcW w:w="0" w:type="auto"/>
          </w:tcPr>
          <w:p>
            <w:pPr>
              <w:pStyle w:val="TextoNormal-IPCA"/>
              <w:jc w:val="left"/>
            </w:pPr>
            <w:r>
              <w:t>50</w:t>
            </w:r>
          </w:p>
        </w:tc>
      </w:tr>
      <w:tr>
        <w:tc>
          <w:tcPr>
            <w:tcW w:w="0" w:type="auto"/>
          </w:tcPr>
          <w:p>
            <w:pPr>
              <w:pStyle w:val="TextoNormal-IPCA"/>
              <w:jc w:val="left"/>
            </w:pPr>
            <w:r>
              <w:t>Ibiwari et al. (2025)</w:t>
            </w:r>
          </w:p>
        </w:tc>
        <w:tc>
          <w:tcPr>
            <w:tcW w:w="0" w:type="auto"/>
          </w:tcPr>
          <w:p>
            <w:pPr>
              <w:pStyle w:val="TextoNormal-IPCA"/>
              <w:jc w:val="left"/>
            </w:pPr>
            <w:r>
              <w:t>Atletas universitários da Nigéria</w:t>
            </w:r>
          </w:p>
        </w:tc>
        <w:tc>
          <w:tcPr>
            <w:tcW w:w="0" w:type="auto"/>
          </w:tcPr>
          <w:p>
            <w:pPr>
              <w:pStyle w:val="TextoNormal-IPCA"/>
              <w:jc w:val="left"/>
            </w:pPr>
            <w:r>
              <w:t>Comprimento da mão, largura da mão, comprimento palmar e 3.º dedo, por modalidade e sexo</w:t>
            </w:r>
          </w:p>
        </w:tc>
        <w:tc>
          <w:tcPr>
            <w:tcW w:w="0" w:type="auto"/>
          </w:tcPr>
          <w:p>
            <w:pPr>
              <w:pStyle w:val="TextoNormal-IPCA"/>
              <w:jc w:val="left"/>
            </w:pPr>
            <w:r>
              <w:t>32</w:t>
            </w:r>
          </w:p>
        </w:tc>
      </w:tr>
      <w:tr>
        <w:tc>
          <w:tcPr>
            <w:tcW w:w="0" w:type="auto"/>
          </w:tcPr>
          <w:p>
            <w:pPr>
              <w:pStyle w:val="TextoNormal-IPCA"/>
              <w:jc w:val="left"/>
            </w:pPr>
            <w:r>
              <w:t>Anacleto Filho et al. (2023)</w:t>
            </w:r>
          </w:p>
        </w:tc>
        <w:tc>
          <w:tcPr>
            <w:tcW w:w="0" w:type="auto"/>
          </w:tcPr>
          <w:p>
            <w:pPr>
              <w:pStyle w:val="TextoNormal-IPCA"/>
              <w:jc w:val="left"/>
            </w:pPr>
            <w:r>
              <w:t>Trabalhadores industriais portugueses</w:t>
            </w:r>
          </w:p>
        </w:tc>
        <w:tc>
          <w:tcPr>
            <w:tcW w:w="0" w:type="auto"/>
          </w:tcPr>
          <w:p>
            <w:pPr>
              <w:pStyle w:val="TextoNormal-IPCA"/>
              <w:jc w:val="left"/>
            </w:pPr>
            <w:r>
              <w:t>Comprimento e largura da mão, por sexo</w:t>
            </w:r>
          </w:p>
        </w:tc>
        <w:tc>
          <w:tcPr>
            <w:tcW w:w="0" w:type="auto"/>
          </w:tcPr>
          <w:p>
            <w:pPr>
              <w:pStyle w:val="TextoNormal-IPCA"/>
              <w:jc w:val="left"/>
            </w:pPr>
            <w:r>
              <w:t>20</w:t>
            </w:r>
          </w:p>
        </w:tc>
      </w:tr>
      <w:tr>
        <w:tc>
          <w:tcPr>
            <w:tcW w:w="0" w:type="auto"/>
          </w:tcPr>
          <w:p>
            <w:pPr>
              <w:pStyle w:val="TextoNormal-IPCA"/>
              <w:jc w:val="left"/>
            </w:pPr>
            <w:r>
              <w:t>Mistarihi (2020)</w:t>
            </w:r>
          </w:p>
        </w:tc>
        <w:tc>
          <w:tcPr>
            <w:tcW w:w="0" w:type="auto"/>
          </w:tcPr>
          <w:p>
            <w:pPr>
              <w:pStyle w:val="TextoNormal-IPCA"/>
              <w:jc w:val="left"/>
            </w:pPr>
            <w:r>
              <w:t>Trabalhadores com deficiência física na Jordânia</w:t>
            </w:r>
          </w:p>
        </w:tc>
        <w:tc>
          <w:tcPr>
            <w:tcW w:w="0" w:type="auto"/>
          </w:tcPr>
          <w:p>
            <w:pPr>
              <w:pStyle w:val="TextoNormal-IPCA"/>
              <w:jc w:val="left"/>
            </w:pPr>
            <w:r>
              <w:t>Comprimento da mão, largura da mão e comprimento cotovelo-ponta dos dedos</w:t>
            </w:r>
          </w:p>
        </w:tc>
        <w:tc>
          <w:tcPr>
            <w:tcW w:w="0" w:type="auto"/>
          </w:tcPr>
          <w:p>
            <w:pPr>
              <w:pStyle w:val="TextoNormal-IPCA"/>
              <w:jc w:val="left"/>
            </w:pPr>
            <w:r>
              <w:t>9</w:t>
            </w:r>
          </w:p>
        </w:tc>
      </w:tr>
      <w:tr>
        <w:tc>
          <w:tcPr>
            <w:tcW w:w="0" w:type="auto"/>
          </w:tcPr>
          <w:p>
            <w:pPr>
              <w:pStyle w:val="TextoNormal-IPCA"/>
              <w:jc w:val="left"/>
            </w:pPr>
            <w:r>
              <w:t>Lim et al. (2018)</w:t>
            </w:r>
          </w:p>
        </w:tc>
        <w:tc>
          <w:tcPr>
            <w:tcW w:w="0" w:type="auto"/>
          </w:tcPr>
          <w:p>
            <w:pPr>
              <w:pStyle w:val="TextoNormal-IPCA"/>
              <w:jc w:val="left"/>
            </w:pPr>
            <w:r>
              <w:t>Adultos jovens nos EUA</w:t>
            </w:r>
          </w:p>
        </w:tc>
        <w:tc>
          <w:tcPr>
            <w:tcW w:w="0" w:type="auto"/>
          </w:tcPr>
          <w:p>
            <w:pPr>
              <w:pStyle w:val="TextoNormal-IPCA"/>
              <w:jc w:val="left"/>
            </w:pPr>
            <w:r>
              <w:t>Comprimento e largura do dedo indicador para personalização de dedo protésico</w:t>
            </w:r>
          </w:p>
        </w:tc>
        <w:tc>
          <w:tcPr>
            <w:tcW w:w="0" w:type="auto"/>
          </w:tcPr>
          <w:p>
            <w:pPr>
              <w:pStyle w:val="TextoNormal-IPCA"/>
              <w:jc w:val="left"/>
            </w:pPr>
            <w:r>
              <w:t>2</w:t>
            </w:r>
          </w:p>
        </w:tc>
      </w:tr>
    </w:tbl>
    <w:p>
      <w:pPr>
        <w:pStyle w:val="TextoNormal-IPCA"/>
      </w:pPr>
      <w:r>
        <w:t>A extracção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preservação da fonte, página, população e nota metodológica permite identificar a origem de cada valor e regressar ao documento original sempre que uma medida pareça incoerente.</w:t>
      </w:r>
    </w:p>
    <w:p>
      <w:pPr>
        <w:pStyle w:val="TextoNormal-IPCA"/>
      </w:pPr>
      <w: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TextoNormal-IPCA"/>
      </w:pPr>
      <w:r>
        <w:t>Este formato facilita a integração de fontes incompletas, porque nem todos os estudos reportam o mesmo conjunto de estatísticas.</w:t>
      </w:r>
    </w:p>
    <w:p>
      <w:pPr>
        <w:pStyle w:val="TextoNormal-IPCA"/>
      </w:pPr>
      <w:r>
        <w:t>Na base actual, existem 612 médias, 609 desvios-padrão, 513 percentis, 28 mínimos e 28 máximos. Esta assimetria é metodologicamente relevante: os conjuntos ANSUR oferecem maior profundidade estatística, enquanto o DINED permite uma separação estruturada por idade e sexo, apenas com média e desvio-padrão na interface consultada. Estudos como Mistarihi (2020) ou Lim et al. (2018) fornecem valores parciais, úteis como referência contextual e insuficientes para uma estimativa populacional com o mesmo detalhe (Gordon et al., 2015; Lim et al., 2018; Mistarihi, 2020).</w:t>
      </w:r>
    </w:p>
    <w:p>
      <w:pPr>
        <w:pStyle w:val="TextoNormal-IPCA"/>
      </w:pPr>
      <w: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TextoNormal-IPCA"/>
      </w:pPr>
      <w:r>
        <w:t>Do mesmo modo, verifica-se heterogeneidade no critério de selecção da mão analisada, com estudos que consideram a mão direita, a mão dominante ou, no caso do estudo português, a mão esquerda, em função das condições específicas de recolha de dados. (Anacleto Filho et al., 2023). Estas diferenças impedem que todos os dados sejam tratados como directamente equivalentes e justificam o registo explícito dos respectivos protocolos de medição. A base de dados não elimina a heterogeneidade das fontes; pelo contrário, torna-a visível, permitindo que o modelo paramétrico utilize os valores antropométricos de forma contextualizada e metodologicamente informada. 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 Em sentido inverso, algumas fontes facilitaram a extracção. As tabelas com percentis claros, unidades explícitas e separação por sexo ou idade permitiram uma codificação directa e maior confiança na transcrição dos valores. No caso da DINED, a estrutura HTML da interface facilitou a identificação e a extracção consistente das médias e dos desvios-padrão, permitindo registar, para cada medida antropométrica, o valor médio observado no grupo e a respectiva dispersão interna. Esta informação foi recolhida mantendo a separação entre subconjuntos, sexo e grupos etários, embora os percentis não estivessem disponíveis na mesma interface.</w:t>
      </w:r>
    </w:p>
    <w:p>
      <w:pPr>
        <w:pStyle w:val="TextoNormal-IPCA"/>
      </w:pPr>
      <w:r>
        <w:t>O ANSUR II também foi particularmente útil por disponibilizar estatísticas amplas e uma grande amostra militar, permitindo trabalhar com medições da mão, punho e antebraço em escala populacional (Gordon et al., 2015; Molenbroek, 1998; Molenbroek et al., 2003; Steenbekkers &amp; van Beijsterveldt, 1998). Ainda assim, estas fontes não resolvem o problema da personalização clínica, uma vez que amostras compostas por militares, crianças neerlandesas ou idosos chineses não podem ser directamente extrapoladas para utilizadores com amputação de membro superior.</w:t>
      </w:r>
    </w:p>
    <w:p>
      <w:pPr>
        <w:pStyle w:val="TextoNormal-IPCA"/>
      </w:pPr>
      <w:r>
        <w:t>As decisões de normalização dos dados seguiram quatro princípios metodológicos. Em primeiro lugar, todas as medidas antropométricas foram convertidas para milímetros, centímetros e polegadas, mantendo-se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directamente relevantes para a geração da geometria principal, de dimensões do punho e antebraço, mais associadas à interface, à fixação ou à adaptação ao membro residual. Por fim, os valores recolhidos foram tratados como referências paramétricas, em lugar de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Os dados delimitam o espaço de alteração dentro do qual o modelo pode operar com maior coerência geométrica e metodológica. Para tal, o sistema necessita de identificar as medidas recorrentes na literatura, os intervalos observados em diferentes populações, as dimensões que podem funcionar como entradas mínimas de configuração e as situações em que o redimensionamento uniforme se torna metodologicamente arriscado.</w:t>
      </w:r>
    </w:p>
    <w:p>
      <w:pPr>
        <w:pStyle w:val="TextoNormal-IPCA"/>
      </w:pPr>
      <w:r>
        <w:t>A base de dados construída permite comparar valores relativos ao comprimento da mão, à largura da palma, aos comprimentos digitais, às dimensões do punho e às relações com o antebraço, mantendo a referência à fonte, à população e ao contexto metodológico de cada linha.</w:t>
      </w:r>
    </w:p>
    <w:p>
      <w:pPr>
        <w:pStyle w:val="TextoNormal-IPCA"/>
      </w:pPr>
      <w: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TextoNormal-IPCA"/>
      </w:pPr>
      <w:r>
        <w:t>Permanece uma limitação central. A maior parte dos dados disponíveis provém de populações sem amputação e não descreve a morfologia do membro residual nem a interacção dinâmica entre tecido, carga e encaixe. Para uma prótese definitiva, a referência mais adequada seria a medição directa do utilizador, idealmente complementada por digitalização tridimensional e avaliação da interface com o corpo. Nesta investigação, os dados antropométricos públicos estruturam o sistema, apoiam os ensaios de coerência dimensional e fundamentam decisões de parametrização; não substituem avaliação clínica, prova de conforto ou avaliação individual.</w:t>
      </w:r>
    </w:p>
    <w:p>
      <w:pPr>
        <w:pStyle w:val="Cabealho3"/>
        <w:numPr>
          <w:ilvl w:val="2"/>
          <w:numId w:val="0"/>
        </w:numPr>
      </w:pPr>
      <w:r>
        <w:t>Correspondência entre perfil populacional e parâmetros do modelo</w:t>
      </w:r>
    </w:p>
    <w:p>
      <w:pPr>
        <w:pStyle w:val="TextoNormal-IPCA"/>
      </w:pPr>
      <w:r>
        <w:t xml:space="preserve">A plataforma converte as linhas dos CSV em perfis agregados armazenados em </w:t>
      </w:r>
      <w:r>
        <w:t>data/app.db</w:t>
      </w:r>
      <w:r>
        <w:t xml:space="preserve">. No fecho do estudo existiam 100 perfis: 97 importados em lote, dois por importação CSV e um criado manualmente. A correspondência entre uma descrição e estes perfis é determinística e encontra-se em </w:t>
      </w:r>
      <w:r>
        <w:t>server/services/profileMapping.js</w:t>
      </w:r>
      <w:r>
        <w:t>.</w:t>
      </w:r>
    </w:p>
    <w:p>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pPr>
      <w:r>
        <w:t xml:space="preserve">Depois da selecção, um mapa canónico liga cada parâmetro a um caminho da estrutura antropométrica. Entre as ligações principais encontram-se </w:t>
      </w:r>
      <w:r>
        <w:t>palm_breadth_mm</w:t>
      </w:r>
      <w:r>
        <w:t xml:space="preserve"> a </w:t>
      </w:r>
      <w:r>
        <w:t>palm.width_mm</w:t>
      </w:r>
      <w:r>
        <w:t xml:space="preserve">, </w:t>
      </w:r>
      <w:r>
        <w:t>palm_length_mm</w:t>
      </w:r>
      <w:r>
        <w:t xml:space="preserve"> a </w:t>
      </w:r>
      <w:r>
        <w:t>palm.length_mm</w:t>
      </w:r>
      <w:r>
        <w:t xml:space="preserve">, os comprimentos dos cinco dedos aos respectivos campos </w:t>
      </w:r>
      <w:r>
        <w:t>digits.*.total_length_mm</w:t>
      </w:r>
      <w:r>
        <w:t xml:space="preserve">, os comprimentos proximais a </w:t>
      </w:r>
      <w:r>
        <w:t>digits.*.proximal_length_mm</w:t>
      </w:r>
      <w:r>
        <w:t xml:space="preserve"> e </w:t>
      </w:r>
      <w:r>
        <w:t>wrist_circumference_mm</w:t>
      </w:r>
      <w:r>
        <w:t xml:space="preserve"> a </w:t>
      </w:r>
      <w:r>
        <w:t>wrist.circumference_mm</w:t>
      </w:r>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pPr>
      <w: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Cabealho3"/>
        <w:numPr>
          <w:ilvl w:val="2"/>
          <w:numId w:val="0"/>
        </w:numPr>
      </w:pPr>
      <w:r>
        <w:t>Estrutura paramétrica e mapeamento de parâmetros</w:t>
      </w:r>
    </w:p>
    <w:p>
      <w:pPr>
        <w:pStyle w:val="TextoNormal-IPCA"/>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Legenda"/>
      </w:pPr>
      <w:r>
        <w:t>Tabela 4.5 — Estrutura hierárquica dos parâmetros no modelo paramétrico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Tipo de parâmetro</w:t>
            </w:r>
          </w:p>
        </w:tc>
        <w:tc>
          <w:tcPr>
            <w:tcW w:w="0" w:type="auto"/>
          </w:tcPr>
          <w:p>
            <w:pPr>
              <w:pStyle w:val="TextoNormal-IPCA"/>
              <w:jc w:val="center"/>
            </w:pPr>
            <w:r>
              <w:rPr>
                <w:b/>
              </w:rPr>
              <w:t>Exemplos</w:t>
            </w:r>
          </w:p>
        </w:tc>
        <w:tc>
          <w:tcPr>
            <w:tcW w:w="0" w:type="auto"/>
          </w:tcPr>
          <w:p>
            <w:pPr>
              <w:pStyle w:val="TextoNormal-IPCA"/>
              <w:jc w:val="center"/>
            </w:pPr>
            <w:r>
              <w:rPr>
                <w:b/>
              </w:rPr>
              <w:t>Função no modelo</w:t>
            </w:r>
          </w:p>
        </w:tc>
        <w:tc>
          <w:tcPr>
            <w:tcW w:w="0" w:type="auto"/>
          </w:tcPr>
          <w:p>
            <w:pPr>
              <w:pStyle w:val="TextoNormal-IPCA"/>
              <w:jc w:val="center"/>
            </w:pPr>
            <w:r>
              <w:rPr>
                <w:b/>
              </w:rPr>
              <w:t>Relação com outras variáveis</w:t>
            </w:r>
          </w:p>
        </w:tc>
      </w:tr>
      <w:tr>
        <w:tc>
          <w:tcPr>
            <w:tcW w:w="0" w:type="auto"/>
          </w:tcPr>
          <w:p>
            <w:pPr>
              <w:pStyle w:val="TextoNormal-IPCA"/>
              <w:jc w:val="left"/>
            </w:pPr>
            <w:r>
              <w:t>Derivados</w:t>
            </w:r>
          </w:p>
        </w:tc>
        <w:tc>
          <w:tcPr>
            <w:tcW w:w="0" w:type="auto"/>
          </w:tcPr>
          <w:p>
            <w:pPr>
              <w:pStyle w:val="TextoNormal-IPCA"/>
              <w:jc w:val="left"/>
            </w:pPr>
            <w:r>
              <w:t>Proporções das falanges</w:t>
            </w:r>
          </w:p>
        </w:tc>
        <w:tc>
          <w:tcPr>
            <w:tcW w:w="0" w:type="auto"/>
          </w:tcPr>
          <w:p>
            <w:pPr>
              <w:pStyle w:val="TextoNormal-IPCA"/>
              <w:jc w:val="left"/>
            </w:pPr>
            <w:r>
              <w:t>Construção geométrica</w:t>
            </w:r>
          </w:p>
        </w:tc>
        <w:tc>
          <w:tcPr>
            <w:tcW w:w="0" w:type="auto"/>
          </w:tcPr>
          <w:p>
            <w:pPr>
              <w:pStyle w:val="TextoNormal-IPCA"/>
              <w:jc w:val="left"/>
            </w:pPr>
            <w:r>
              <w:t>Dependentes</w:t>
            </w:r>
          </w:p>
        </w:tc>
      </w:tr>
      <w:tr>
        <w:tc>
          <w:tcPr>
            <w:tcW w:w="0" w:type="auto"/>
          </w:tcPr>
          <w:p>
            <w:pPr>
              <w:pStyle w:val="TextoNormal-IPCA"/>
              <w:jc w:val="left"/>
            </w:pPr>
            <w:r>
              <w:t>Funcionais</w:t>
            </w:r>
          </w:p>
        </w:tc>
        <w:tc>
          <w:tcPr>
            <w:tcW w:w="0" w:type="auto"/>
          </w:tcPr>
          <w:p>
            <w:pPr>
              <w:pStyle w:val="TextoNormal-IPCA"/>
              <w:jc w:val="left"/>
            </w:pPr>
            <w:r>
              <w:t>Amplitude de movimento, posição articular</w:t>
            </w:r>
          </w:p>
        </w:tc>
        <w:tc>
          <w:tcPr>
            <w:tcW w:w="0" w:type="auto"/>
          </w:tcPr>
          <w:p>
            <w:pPr>
              <w:pStyle w:val="TextoNormal-IPCA"/>
              <w:jc w:val="left"/>
            </w:pPr>
            <w:r>
              <w:t>Desempenho</w:t>
            </w:r>
          </w:p>
        </w:tc>
        <w:tc>
          <w:tcPr>
            <w:tcW w:w="0" w:type="auto"/>
          </w:tcPr>
          <w:p>
            <w:pPr>
              <w:pStyle w:val="TextoNormal-IPCA"/>
              <w:jc w:val="left"/>
            </w:pPr>
            <w:r>
              <w:t>Ligação cinemática</w:t>
            </w:r>
          </w:p>
        </w:tc>
      </w:tr>
      <w:tr>
        <w:tc>
          <w:tcPr>
            <w:tcW w:w="0" w:type="auto"/>
          </w:tcPr>
          <w:p>
            <w:pPr>
              <w:pStyle w:val="TextoNormal-IPCA"/>
              <w:jc w:val="left"/>
            </w:pPr>
            <w:r>
              <w:t>Construtivos</w:t>
            </w:r>
          </w:p>
        </w:tc>
        <w:tc>
          <w:tcPr>
            <w:tcW w:w="0" w:type="auto"/>
          </w:tcPr>
          <w:p>
            <w:pPr>
              <w:pStyle w:val="TextoNormal-IPCA"/>
              <w:jc w:val="left"/>
            </w:pPr>
            <w:r>
              <w:t>Espessuras, folgas, tolerâncias</w:t>
            </w:r>
          </w:p>
        </w:tc>
        <w:tc>
          <w:tcPr>
            <w:tcW w:w="0" w:type="auto"/>
          </w:tcPr>
          <w:p>
            <w:pPr>
              <w:pStyle w:val="TextoNormal-IPCA"/>
              <w:jc w:val="left"/>
            </w:pPr>
            <w:r>
              <w:t>Fabrico</w:t>
            </w:r>
          </w:p>
        </w:tc>
        <w:tc>
          <w:tcPr>
            <w:tcW w:w="0" w:type="auto"/>
          </w:tcPr>
          <w:p>
            <w:pPr>
              <w:pStyle w:val="TextoNormal-IPCA"/>
              <w:jc w:val="left"/>
            </w:pPr>
            <w:r>
              <w:t>Ajuste técnico</w:t>
            </w:r>
          </w:p>
        </w:tc>
      </w:tr>
    </w:tbl>
    <w:p>
      <w:pPr>
        <w:pStyle w:val="TextoNormal-IPCA"/>
      </w:pPr>
      <w:r>
        <w:t>A tradução destes parâmetros em geometria é realizada por meio de relações explícitas entre medições e componentes do modelo.</w:t>
      </w:r>
    </w:p>
    <w:p>
      <w:pPr>
        <w:pStyle w:val="Cabealho3"/>
        <w:numPr>
          <w:ilvl w:val="2"/>
          <w:numId w:val="0"/>
        </w:numPr>
      </w:pPr>
      <w:r>
        <w:t>OpenSCAD: enquadramento e justificação da escolha</w:t>
      </w:r>
    </w:p>
    <w:p>
      <w:pPr>
        <w:pStyle w:val="TextoNormal-IPCA"/>
      </w:pPr>
      <w: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pPr>
      <w: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pPr>
      <w: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pPr>
      <w:r>
        <w:t xml:space="preserve">Em segundo lugar, o OpenSCAD adapta-se bem à arquitectura web proposta nesta dissertação. A separação entre definição geométrica e interface permite que o ficheiro </w:t>
      </w:r>
      <w:r>
        <w:t>.scad</w:t>
      </w:r>
      <w:r>
        <w:t xml:space="preserve">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pPr>
      <w: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pPr>
      <w: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Legenda"/>
      </w:pPr>
      <w:r>
        <w:t>Tabela 4.6 — Mapeamento entre parâmetros antropométricos e elementos do modelo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Parâmetro antropométrico</w:t>
            </w:r>
          </w:p>
        </w:tc>
        <w:tc>
          <w:tcPr>
            <w:tcW w:w="0" w:type="auto"/>
          </w:tcPr>
          <w:p>
            <w:pPr>
              <w:pStyle w:val="TextoNormal-IPCA"/>
              <w:jc w:val="center"/>
            </w:pPr>
            <w:r>
              <w:rPr>
                <w:b/>
              </w:rPr>
              <w:t>Efeito geométrico previsto</w:t>
            </w:r>
          </w:p>
        </w:tc>
      </w:tr>
      <w:tr>
        <w:tc>
          <w:tcPr>
            <w:tcW w:w="0" w:type="auto"/>
          </w:tcPr>
          <w:p>
            <w:pPr>
              <w:pStyle w:val="TextoNormal-IPCA"/>
              <w:jc w:val="left"/>
            </w:pPr>
            <w:r>
              <w:t>Largura da palma</w:t>
            </w:r>
          </w:p>
        </w:tc>
        <w:tc>
          <w:tcPr>
            <w:tcW w:w="0" w:type="auto"/>
          </w:tcPr>
          <w:p>
            <w:pPr>
              <w:pStyle w:val="TextoNormal-IPCA"/>
              <w:jc w:val="left"/>
            </w:pPr>
            <w:r>
              <w:t>Volume da palma e espaçamento entre dedos</w:t>
            </w:r>
          </w:p>
        </w:tc>
      </w:tr>
      <w:tr>
        <w:tc>
          <w:tcPr>
            <w:tcW w:w="0" w:type="auto"/>
          </w:tcPr>
          <w:p>
            <w:pPr>
              <w:pStyle w:val="TextoNormal-IPCA"/>
              <w:jc w:val="left"/>
            </w:pPr>
            <w:r>
              <w:t>Comprimento dos dedos</w:t>
            </w:r>
          </w:p>
        </w:tc>
        <w:tc>
          <w:tcPr>
            <w:tcW w:w="0" w:type="auto"/>
          </w:tcPr>
          <w:p>
            <w:pPr>
              <w:pStyle w:val="TextoNormal-IPCA"/>
              <w:jc w:val="left"/>
            </w:pPr>
            <w:r>
              <w:t>Geometria das falanges</w:t>
            </w:r>
          </w:p>
        </w:tc>
      </w:tr>
      <w:tr>
        <w:tc>
          <w:tcPr>
            <w:tcW w:w="0" w:type="auto"/>
          </w:tcPr>
          <w:p>
            <w:pPr>
              <w:pStyle w:val="TextoNormal-IPCA"/>
              <w:jc w:val="left"/>
            </w:pPr>
            <w:r>
              <w:t>Circunferência do antebraço</w:t>
            </w:r>
          </w:p>
        </w:tc>
        <w:tc>
          <w:tcPr>
            <w:tcW w:w="0" w:type="auto"/>
          </w:tcPr>
          <w:p>
            <w:pPr>
              <w:pStyle w:val="TextoNormal-IPCA"/>
              <w:jc w:val="left"/>
            </w:pPr>
            <w:r>
              <w:t>Geometria do encaixe</w:t>
            </w:r>
          </w:p>
        </w:tc>
      </w:tr>
      <w:tr>
        <w:tc>
          <w:tcPr>
            <w:tcW w:w="0" w:type="auto"/>
          </w:tcPr>
          <w:p>
            <w:pPr>
              <w:pStyle w:val="TextoNormal-IPCA"/>
              <w:jc w:val="left"/>
            </w:pPr>
            <w:r>
              <w:t>Largura do punho</w:t>
            </w:r>
          </w:p>
        </w:tc>
        <w:tc>
          <w:tcPr>
            <w:tcW w:w="0" w:type="auto"/>
          </w:tcPr>
          <w:p>
            <w:pPr>
              <w:pStyle w:val="TextoNormal-IPCA"/>
              <w:jc w:val="left"/>
            </w:pPr>
            <w:r>
              <w:t>Interface palma-punho</w:t>
            </w:r>
          </w:p>
        </w:tc>
      </w:tr>
      <w:tr>
        <w:tc>
          <w:tcPr>
            <w:tcW w:w="0" w:type="auto"/>
          </w:tcPr>
          <w:p>
            <w:pPr>
              <w:pStyle w:val="TextoNormal-IPCA"/>
              <w:jc w:val="left"/>
            </w:pPr>
            <w:r>
              <w:t>Proporções falângicas</w:t>
            </w:r>
          </w:p>
        </w:tc>
        <w:tc>
          <w:tcPr>
            <w:tcW w:w="0" w:type="auto"/>
          </w:tcPr>
          <w:p>
            <w:pPr>
              <w:pStyle w:val="TextoNormal-IPCA"/>
              <w:jc w:val="left"/>
            </w:pPr>
            <w:r>
              <w:t>Relações cinemáticas dos mecanismos digitais</w:t>
            </w:r>
          </w:p>
        </w:tc>
      </w:tr>
    </w:tbl>
    <w:p>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Cabealho2"/>
        <w:numPr>
          <w:ilvl w:val="1"/>
          <w:numId w:val="0"/>
        </w:numPr>
      </w:pPr>
      <w:r>
        <w:t>4.3 Modelação paramétrica em OpenSCAD</w:t>
      </w:r>
    </w:p>
    <w:p>
      <w:pPr>
        <w:pStyle w:val="TextoNormal-IPCA"/>
      </w:pPr>
      <w: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pPr>
      <w: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pPr>
      <w: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pPr>
      <w:r>
        <w:drawing>
          <wp:inline distT="0" distB="0" distL="0" distR="0">
            <wp:extent cx="5579745" cy="2873568"/>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r:embed="rId35"/>
                    <a:stretch>
                      <a:fillRect/>
                    </a:stretch>
                  </pic:blipFill>
                  <pic:spPr>
                    <a:xfrm>
                      <a:off x="0" y="0"/>
                      <a:ext cx="5579745" cy="2873568"/>
                    </a:xfrm>
                    <a:prstGeom prst="rect">
                      <a:avLst/>
                    </a:prstGeom>
                  </pic:spPr>
                </pic:pic>
              </a:graphicData>
            </a:graphic>
          </wp:inline>
        </w:drawing>
      </w:r>
    </w:p>
    <w:p>
      <w:pPr>
        <w:pStyle w:val="Legenda"/>
      </w:pPr>
      <w:r>
        <w:t>Figura 4.3 — Relação entre modelo paramétrico digital, prototipagem e verificação de um dedo protésico.</w:t>
      </w:r>
    </w:p>
    <w:p>
      <w:pPr>
        <w:pStyle w:val="Nota-IPCA"/>
      </w:pPr>
      <w: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Cabealho3"/>
        <w:numPr>
          <w:ilvl w:val="2"/>
          <w:numId w:val="0"/>
        </w:numPr>
      </w:pPr>
      <w:r>
        <w:t>4.3.1 Estrutura técnica, parâmetros e restrições</w:t>
      </w:r>
    </w:p>
    <w:p>
      <w:pPr>
        <w:pStyle w:val="TextoNormal-IPCA"/>
      </w:pPr>
      <w:r>
        <w:t>Num modelo paramétrico baseado em OpenSCAD, a organização interna pode ser compreendida como uma arquitectura em camadas.</w:t>
      </w:r>
    </w:p>
    <w:p>
      <w:pPr>
        <w:pStyle w:val="TextoNormal-IPCA"/>
      </w:pPr>
      <w: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Legenda"/>
      </w:pPr>
      <w:r>
        <w:t>Tabela 4.7 — Estrutura técnica em camadas de um modelo paramétrico em OpenSCAD para próteses personalizadas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Camada</w:t>
            </w:r>
          </w:p>
        </w:tc>
        <w:tc>
          <w:tcPr>
            <w:tcW w:w="0" w:type="auto"/>
          </w:tcPr>
          <w:p>
            <w:pPr>
              <w:pStyle w:val="TextoNormal-IPCA"/>
              <w:jc w:val="center"/>
            </w:pPr>
            <w:r>
              <w:rPr>
                <w:b/>
              </w:rPr>
              <w:t>Dados tratados</w:t>
            </w:r>
          </w:p>
        </w:tc>
        <w:tc>
          <w:tcPr>
            <w:tcW w:w="0" w:type="auto"/>
          </w:tcPr>
          <w:p>
            <w:pPr>
              <w:pStyle w:val="TextoNormal-IPCA"/>
              <w:jc w:val="center"/>
            </w:pPr>
            <w:r>
              <w:rPr>
                <w:b/>
              </w:rPr>
              <w:t>Função</w:t>
            </w:r>
          </w:p>
        </w:tc>
        <w:tc>
          <w:tcPr>
            <w:tcW w:w="0" w:type="auto"/>
          </w:tcPr>
          <w:p>
            <w:pPr>
              <w:pStyle w:val="TextoNormal-IPCA"/>
              <w:jc w:val="center"/>
            </w:pPr>
            <w:r>
              <w:rPr>
                <w:b/>
              </w:rPr>
              <w:t>Exemplos</w:t>
            </w:r>
          </w:p>
        </w:tc>
      </w:tr>
      <w:tr>
        <w:tc>
          <w:tcPr>
            <w:tcW w:w="0" w:type="auto"/>
          </w:tcPr>
          <w:p>
            <w:pPr>
              <w:pStyle w:val="TextoNormal-IPCA"/>
              <w:jc w:val="left"/>
            </w:pPr>
            <w:r>
              <w:t>Derivação geométrica</w:t>
            </w:r>
          </w:p>
        </w:tc>
        <w:tc>
          <w:tcPr>
            <w:tcW w:w="0" w:type="auto"/>
          </w:tcPr>
          <w:p>
            <w:pPr>
              <w:pStyle w:val="TextoNormal-IPCA"/>
              <w:jc w:val="left"/>
            </w:pPr>
            <w:r>
              <w:t>Parâmetros calculados a partir das entradas</w:t>
            </w:r>
          </w:p>
        </w:tc>
        <w:tc>
          <w:tcPr>
            <w:tcW w:w="0" w:type="auto"/>
          </w:tcPr>
          <w:p>
            <w:pPr>
              <w:pStyle w:val="TextoNormal-IPCA"/>
              <w:jc w:val="left"/>
            </w:pPr>
            <w:r>
              <w:t>Traduzir medidas em relações formais</w:t>
            </w:r>
          </w:p>
        </w:tc>
        <w:tc>
          <w:tcPr>
            <w:tcW w:w="0" w:type="auto"/>
          </w:tcPr>
          <w:p>
            <w:pPr>
              <w:pStyle w:val="TextoNormal-IPCA"/>
              <w:jc w:val="left"/>
            </w:pPr>
            <w:r>
              <w:t>Comprimentos segmentares, espessuras, offsets</w:t>
            </w:r>
          </w:p>
        </w:tc>
      </w:tr>
      <w:tr>
        <w:tc>
          <w:tcPr>
            <w:tcW w:w="0" w:type="auto"/>
          </w:tcPr>
          <w:p>
            <w:pPr>
              <w:pStyle w:val="TextoNormal-IPCA"/>
              <w:jc w:val="left"/>
            </w:pPr>
            <w:r>
              <w:t>Comportamento funcional</w:t>
            </w:r>
          </w:p>
        </w:tc>
        <w:tc>
          <w:tcPr>
            <w:tcW w:w="0" w:type="auto"/>
          </w:tcPr>
          <w:p>
            <w:pPr>
              <w:pStyle w:val="TextoNormal-IPCA"/>
              <w:jc w:val="left"/>
            </w:pPr>
            <w:r>
              <w:t>Parâmetros ligados ao uso e ao mecanismo</w:t>
            </w:r>
          </w:p>
        </w:tc>
        <w:tc>
          <w:tcPr>
            <w:tcW w:w="0" w:type="auto"/>
          </w:tcPr>
          <w:p>
            <w:pPr>
              <w:pStyle w:val="TextoNormal-IPCA"/>
              <w:jc w:val="left"/>
            </w:pPr>
            <w:r>
              <w:t>Regular movimento, montagem e desempenho</w:t>
            </w:r>
          </w:p>
        </w:tc>
        <w:tc>
          <w:tcPr>
            <w:tcW w:w="0" w:type="auto"/>
          </w:tcPr>
          <w:p>
            <w:pPr>
              <w:pStyle w:val="TextoNormal-IPCA"/>
              <w:jc w:val="left"/>
            </w:pPr>
            <w:r>
              <w:t>Amplitude articular, espaço para tendões, eixos</w:t>
            </w:r>
          </w:p>
        </w:tc>
      </w:tr>
      <w:tr>
        <w:tc>
          <w:tcPr>
            <w:tcW w:w="0" w:type="auto"/>
          </w:tcPr>
          <w:p>
            <w:pPr>
              <w:pStyle w:val="TextoNormal-IPCA"/>
              <w:jc w:val="left"/>
            </w:pPr>
            <w:r>
              <w:t>Restrições produtivas</w:t>
            </w:r>
          </w:p>
        </w:tc>
        <w:tc>
          <w:tcPr>
            <w:tcW w:w="0" w:type="auto"/>
          </w:tcPr>
          <w:p>
            <w:pPr>
              <w:pStyle w:val="TextoNormal-IPCA"/>
              <w:jc w:val="left"/>
            </w:pPr>
            <w:r>
              <w:t>Limites de fabrico e consistência</w:t>
            </w:r>
          </w:p>
        </w:tc>
        <w:tc>
          <w:tcPr>
            <w:tcW w:w="0" w:type="auto"/>
          </w:tcPr>
          <w:p>
            <w:pPr>
              <w:pStyle w:val="TextoNormal-IPCA"/>
              <w:jc w:val="left"/>
            </w:pPr>
            <w:r>
              <w:t>Garantir fabrico e robustez</w:t>
            </w:r>
          </w:p>
        </w:tc>
        <w:tc>
          <w:tcPr>
            <w:tcW w:w="0" w:type="auto"/>
          </w:tcPr>
          <w:p>
            <w:pPr>
              <w:pStyle w:val="TextoNormal-IPCA"/>
              <w:jc w:val="left"/>
            </w:pPr>
            <w:r>
              <w:t>Espessura mínima, folgas, raios mínimos</w:t>
            </w:r>
          </w:p>
        </w:tc>
      </w:tr>
    </w:tbl>
    <w:p>
      <w:pPr>
        <w:pStyle w:val="TextoNormal-IPCA"/>
      </w:pPr>
      <w: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pPr>
      <w: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pPr>
      <w: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pPr>
      <w: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Cabealho3"/>
        <w:numPr>
          <w:ilvl w:val="2"/>
          <w:numId w:val="0"/>
        </w:numPr>
      </w:pPr>
      <w:r>
        <w:t>4.3.2 Análise crítica da abordagem</w:t>
      </w:r>
    </w:p>
    <w:p>
      <w:pPr>
        <w:pStyle w:val="TextoNormal-IPCA"/>
      </w:pPr>
      <w: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pPr>
      <w: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pPr>
      <w: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pPr>
      <w: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pPr>
      <w: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pPr>
      <w: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Cabealho3"/>
        <w:numPr>
          <w:ilvl w:val="2"/>
          <w:numId w:val="0"/>
        </w:numPr>
      </w:pPr>
      <w:r>
        <w:t>4.3.3 Relações implementadas nos modelos avaliados</w:t>
      </w:r>
    </w:p>
    <w:p>
      <w:pPr>
        <w:pStyle w:val="TextoNormal-IPCA"/>
      </w:pPr>
      <w:r>
        <w:t>As relações gerais das Tabelas 4.5 e 4.6 foram concretizadas de forma diferente em cada família. A Tabela 4.8 identifica as entradas activas, os cálculos derivados e os limites existentes nas versões usadas nos ensaios. As fórmulas descrevem a implementação; não representam relações anatómicas universais.</w:t>
      </w:r>
    </w:p>
    <w:p>
      <w:pPr>
        <w:pStyle w:val="Legenda"/>
      </w:pPr>
      <w:r>
        <w:t>Tabela 4.8 — Relações paramétricas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 principal</w:t>
            </w:r>
          </w:p>
        </w:tc>
        <w:tc>
          <w:tcPr>
            <w:tcW w:w="0" w:type="auto"/>
          </w:tcPr>
          <w:p>
            <w:pPr>
              <w:pStyle w:val="TextoNormal-IPCA"/>
              <w:jc w:val="center"/>
            </w:pPr>
            <w:r>
              <w:rPr>
                <w:b/>
              </w:rPr>
              <w:t>Relação implementada</w:t>
            </w:r>
          </w:p>
        </w:tc>
        <w:tc>
          <w:tcPr>
            <w:tcW w:w="0" w:type="auto"/>
          </w:tcPr>
          <w:p>
            <w:pPr>
              <w:pStyle w:val="TextoNormal-IPCA"/>
              <w:jc w:val="center"/>
            </w:pPr>
            <w:r>
              <w:rPr>
                <w:b/>
              </w:rPr>
              <w:t>Parâmetros derivados e limite</w:t>
            </w:r>
          </w:p>
        </w:tc>
      </w:tr>
      <w:tr>
        <w:tc>
          <w:tcPr>
            <w:tcW w:w="0" w:type="auto"/>
          </w:tcPr>
          <w:p>
            <w:pPr>
              <w:pStyle w:val="TextoNormal-IPCA"/>
              <w:jc w:val="left"/>
            </w:pPr>
            <w:r>
              <w:t>Flexy Beast</w:t>
            </w:r>
          </w:p>
        </w:tc>
        <w:tc>
          <w:tcPr>
            <w:tcW w:w="0" w:type="auto"/>
          </w:tcPr>
          <w:p>
            <w:pPr>
              <w:pStyle w:val="TextoNormal-IPCA"/>
              <w:jc w:val="left"/>
            </w:pPr>
            <w:r>
              <w:t>palm_breadth_mm</w:t>
            </w:r>
            <w:r>
              <w:t xml:space="preserve"> e comprimentos dos cinco dedos</w:t>
            </w:r>
          </w:p>
        </w:tc>
        <w:tc>
          <w:tcPr>
            <w:tcW w:w="0" w:type="auto"/>
          </w:tcPr>
          <w:p>
            <w:pPr>
              <w:pStyle w:val="TextoNormal-IPCA"/>
              <w:jc w:val="left"/>
            </w:pPr>
            <w:r>
              <w:t>xScaleFactor = (palm_breadth_mm + 5) / 55</w:t>
            </w:r>
            <w:r>
              <w:t>; o comprimento médio regula o multiplicador geral dos dedos e os restantes comprimentos definem proporções relativas</w:t>
            </w:r>
          </w:p>
        </w:tc>
        <w:tc>
          <w:tcPr>
            <w:tcW w:w="0" w:type="auto"/>
          </w:tcPr>
          <w:p>
            <w:pPr>
              <w:pStyle w:val="TextoNormal-IPCA"/>
              <w:jc w:val="left"/>
            </w:pPr>
            <w:r>
              <w:t>fingerLength = middle_finger_length_mm / (37 × xScaleFactor)</w:t>
            </w:r>
            <w:r>
              <w:t>; largura da palma entre 55 e 110 mm</w:t>
            </w:r>
          </w:p>
        </w:tc>
      </w:tr>
      <w:tr>
        <w:tc>
          <w:tcPr>
            <w:tcW w:w="0" w:type="auto"/>
          </w:tcPr>
          <w:p>
            <w:pPr>
              <w:pStyle w:val="TextoNormal-IPCA"/>
              <w:jc w:val="left"/>
            </w:pPr>
            <w:r>
              <w:t>Paraglider Hand</w:t>
            </w:r>
          </w:p>
        </w:tc>
        <w:tc>
          <w:tcPr>
            <w:tcW w:w="0" w:type="auto"/>
          </w:tcPr>
          <w:p>
            <w:pPr>
              <w:pStyle w:val="TextoNormal-IPCA"/>
              <w:jc w:val="left"/>
            </w:pPr>
            <w:r>
              <w:t>palm_breadth_mm</w:t>
            </w:r>
            <w:r>
              <w:t xml:space="preserve"> e comprimentos dos cinco dedos</w:t>
            </w:r>
          </w:p>
        </w:tc>
        <w:tc>
          <w:tcPr>
            <w:tcW w:w="0" w:type="auto"/>
          </w:tcPr>
          <w:p>
            <w:pPr>
              <w:pStyle w:val="TextoNormal-IPCA"/>
              <w:jc w:val="left"/>
            </w:pPr>
            <w:r>
              <w:t>overall_scale = palm_breadth_mm / 66,4</w:t>
            </w:r>
            <w:r>
              <w:t>; a palma mantém escala uniforme para preservar furos circulares e os dedos recebem ajustes próprios</w:t>
            </w:r>
          </w:p>
        </w:tc>
        <w:tc>
          <w:tcPr>
            <w:tcW w:w="0" w:type="auto"/>
          </w:tcPr>
          <w:p>
            <w:pPr>
              <w:pStyle w:val="TextoNormal-IPCA"/>
              <w:jc w:val="left"/>
            </w:pPr>
            <w:r>
              <w:t xml:space="preserve">A palma Reborn exige </w:t>
            </w:r>
            <w:r>
              <w:t>scale(overall_scale / 1,25)</w:t>
            </w:r>
            <w:r>
              <w:t xml:space="preserve"> no ponto de chamada; largura declarada entre 55 e 110 mm</w:t>
            </w:r>
          </w:p>
        </w:tc>
      </w:tr>
      <w:tr>
        <w:tc>
          <w:tcPr>
            <w:tcW w:w="0" w:type="auto"/>
          </w:tcPr>
          <w:p>
            <w:pPr>
              <w:pStyle w:val="TextoNormal-IPCA"/>
              <w:jc w:val="left"/>
            </w:pPr>
            <w:r>
              <w:t>UnLimbited Phoenix</w:t>
            </w:r>
          </w:p>
        </w:tc>
        <w:tc>
          <w:tcPr>
            <w:tcW w:w="0" w:type="auto"/>
          </w:tcPr>
          <w:p>
            <w:pPr>
              <w:pStyle w:val="TextoNormal-IPCA"/>
              <w:jc w:val="left"/>
            </w:pPr>
            <w:r>
              <w:t>palm_breadth_mm</w:t>
            </w:r>
            <w:r>
              <w:t xml:space="preserve"> e, nas versões posteriores, comprimentos por dedo</w:t>
            </w:r>
          </w:p>
        </w:tc>
        <w:tc>
          <w:tcPr>
            <w:tcW w:w="0" w:type="auto"/>
          </w:tcPr>
          <w:p>
            <w:pPr>
              <w:pStyle w:val="TextoNormal-IPCA"/>
              <w:jc w:val="left"/>
            </w:pPr>
            <w:r>
              <w:t>HandPerc = palm_breadth_mm / 82 × 100</w:t>
            </w:r>
            <w:r>
              <w:t>, limitado ao intervalo do modelo; a montagem é escalada de forma uniforme</w:t>
            </w:r>
          </w:p>
        </w:tc>
        <w:tc>
          <w:tcPr>
            <w:tcW w:w="0" w:type="auto"/>
          </w:tcPr>
          <w:p>
            <w:pPr>
              <w:pStyle w:val="TextoNormal-IPCA"/>
              <w:jc w:val="left"/>
            </w:pPr>
            <w:r>
              <w:t>HandPerc</w:t>
            </w:r>
            <w:r>
              <w:t xml:space="preserve"> e </w:t>
            </w:r>
            <w:r>
              <w:t>HandPerc_override</w:t>
            </w:r>
            <w:r>
              <w:t xml:space="preserve"> limitados entre 100% e 160%; valores de palma abaixo de 82 mm ficam no mínimo de 100%</w:t>
            </w:r>
          </w:p>
        </w:tc>
      </w:tr>
    </w:tbl>
    <w:p>
      <w:pPr>
        <w:pStyle w:val="TextoNormal-IPCA"/>
      </w:pPr>
      <w:r>
        <w:t>No Flexy Beast, a largura metacarpal determina a escala global da palma e dos componentes estruturais. Os comprimentos digitais permitem alterar o alcance relativo de cada dedo, mas várias espessuras e interfaces continuam ligadas à escala da mão. No Paraglider, o escalonamento uniforme da palma é uma restrição deliberada: uma deformação diferente nos eixos X e Y transformaria os furos dos pinos em elipses e poderia impedir a montagem. Esta opção limita a adaptação local da palma, ao mesmo tempo que protege uma interface mecânica do desenho original.</w:t>
      </w:r>
    </w:p>
    <w:p>
      <w:pPr>
        <w:pStyle w:val="TextoNormal-IPCA"/>
      </w:pPr>
      <w:r>
        <w:t>No UnLimbited Phoenix, o piso de 82 mm decorre da gama dimensional adoptada pelo modelo integrado. Um perfil infantil abaixo desse valor gera a dimensão mínima suportada e deixa de representar a estimativa de entrada. O sistema deve, por isso, informar que o modelo não cobre esse perfil, em vez de descrever o resultado como adaptação anatómica. Esta diferença confirma que os limites pertencem à combinação entre dados, regras e arquitectura de cada modelo; não devem ser inferidos a partir do nome genérico «mão protésica».</w:t>
      </w:r>
    </w:p>
    <w:p>
      <w:pPr>
        <w:pStyle w:val="TextoNormal-IPCA"/>
      </w:pPr>
      <w:r>
        <w:t xml:space="preserve">Os parâmetros de lateralidade constituem uma classe separada. </w:t>
      </w:r>
      <w:r>
        <w:t>mirrored</w:t>
      </w:r>
      <w:r>
        <w:t xml:space="preserve"> no Flexy Beast e no Paraglider e </w:t>
      </w:r>
      <w:r>
        <w:t>LeftRight</w:t>
      </w:r>
      <w:r>
        <w:t xml:space="preserve"> no Phoenix são definidos pela interface. Desde a versão 14.19.0, estes campos possuem o papel </w:t>
      </w:r>
      <w:r>
        <w:t>laterality</w:t>
      </w:r>
      <w:r>
        <w:t>, ficam fora do pedido de sugestões e são descartados caso surjam na resposta da IA. A regra geométrica permanece determinística e independente do texto gerado pelo modelo de linguagem.</w:t>
      </w:r>
    </w:p>
    <w:p>
      <w:pPr>
        <w:pStyle w:val="Cabealho3"/>
        <w:numPr>
          <w:ilvl w:val="2"/>
          <w:numId w:val="0"/>
        </w:numPr>
      </w:pPr>
      <w:r>
        <w:t>4.3.4 Dicionário operacional de parâmetros</w:t>
      </w:r>
    </w:p>
    <w:p>
      <w:pPr>
        <w:pStyle w:val="TextoNormal-IPCA"/>
      </w:pPr>
      <w:r>
        <w:t>Para tornar auditável a passagem entre dados, configuração e geometria, a Tabela 4.9 consolida os parâmetros numéricos com efeito antropométrico, geométrico ou mecânico nos três modelos comparados. O dicionário corresponde à plataforma 14.67.0, confirmação Git bcef0db. A unidade é o milímetro, excepto quando a tabela indica percentagem ou razão adimensional. Os valores iniciais constituem a configuração de referência do modelo; os intervalos são limites de implementação, não limites clínicos.</w:t>
      </w:r>
    </w:p>
    <w:p>
      <w:pPr>
        <w:pStyle w:val="TextoNormal-IPCA"/>
      </w:pPr>
      <w:r>
        <w:t>O suplemento sources/manuscript/annexes/dicionario_parametros_v14.67.0/parameter_dictionary.csv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Legenda"/>
      </w:pPr>
      <w:r>
        <w:t>Tabela 4.9 — Dicionário operacional dos parâmetros numéricos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650"/>
        <w:gridCol w:w="1950"/>
        <w:gridCol w:w="900"/>
        <w:gridCol w:w="1500"/>
        <w:gridCol w:w="3100"/>
      </w:tblGrid>
      <w:tr>
        <w:trPr>
          <w:tblHeader/>
          <w:cantSplit/>
        </w:trPr>
        <w:tc>
          <w:tcPr>
            <w:tcW w:w="1650" w:type="dxa"/>
          </w:tcPr>
          <w:p>
            <w:pPr>
              <w:spacing w:before="0" w:after="0" w:line="220" w:lineRule="auto"/>
            </w:pPr>
            <w:r>
              <w:rPr>
                <w:b/>
                <w:sz w:val="14"/>
                <w:szCs w:val="14"/>
              </w:rPr>
              <w:t>Modelo e parâmetro</w:t>
            </w:r>
          </w:p>
        </w:tc>
        <w:tc>
          <w:tcPr>
            <w:tcW w:w="1950" w:type="dxa"/>
          </w:tcPr>
          <w:p>
            <w:pPr>
              <w:spacing w:before="0" w:after="0" w:line="220" w:lineRule="auto"/>
            </w:pPr>
            <w:r>
              <w:rPr>
                <w:b/>
                <w:sz w:val="14"/>
                <w:szCs w:val="14"/>
              </w:rPr>
              <w:t>Significado e origem</w:t>
            </w:r>
          </w:p>
        </w:tc>
        <w:tc>
          <w:tcPr>
            <w:tcW w:w="900" w:type="dxa"/>
          </w:tcPr>
          <w:p>
            <w:pPr>
              <w:spacing w:before="0" w:after="0" w:line="220" w:lineRule="auto"/>
            </w:pPr>
            <w:r>
              <w:rPr>
                <w:b/>
                <w:sz w:val="14"/>
                <w:szCs w:val="14"/>
              </w:rPr>
              <w:t>Inicial</w:t>
            </w:r>
          </w:p>
        </w:tc>
        <w:tc>
          <w:tcPr>
            <w:tcW w:w="1500" w:type="dxa"/>
          </w:tcPr>
          <w:p>
            <w:pPr>
              <w:spacing w:before="0" w:after="0" w:line="220" w:lineRule="auto"/>
            </w:pPr>
            <w:r>
              <w:rPr>
                <w:b/>
                <w:sz w:val="14"/>
                <w:szCs w:val="14"/>
              </w:rPr>
              <w:t>Intervalo; incremento</w:t>
            </w:r>
          </w:p>
        </w:tc>
        <w:tc>
          <w:tcPr>
            <w:tcW w:w="3100" w:type="dxa"/>
          </w:tcPr>
          <w:p>
            <w:pPr>
              <w:spacing w:before="0" w:after="0" w:line="220" w:lineRule="auto"/>
            </w:pPr>
            <w:r>
              <w:rPr>
                <w:b/>
                <w:sz w:val="14"/>
                <w:szCs w:val="14"/>
              </w:rPr>
              <w:t>Regra ou efeito geométrico</w:t>
            </w:r>
          </w:p>
        </w:tc>
      </w:tr>
      <w:tr>
        <w:trPr>
          <w:cantSplit/>
        </w:trPr>
        <w:tc>
          <w:tcPr>
            <w:tcW w:w="1650" w:type="dxa"/>
          </w:tcPr>
          <w:p>
            <w:pPr>
              <w:spacing w:before="0" w:after="0" w:line="220" w:lineRule="auto"/>
            </w:pPr>
            <w:r>
              <w:rPr>
                <w:sz w:val="14"/>
                <w:szCs w:val="14"/>
              </w:rPr>
              <w:t>Flexy Beast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Escala uniforme: xScaleFactor = (valor + 5) / 55</w:t>
            </w:r>
          </w:p>
        </w:tc>
      </w:tr>
      <w:tr>
        <w:trPr>
          <w:cantSplit/>
        </w:trPr>
        <w:tc>
          <w:tcPr>
            <w:tcW w:w="1650" w:type="dxa"/>
          </w:tcPr>
          <w:p>
            <w:pPr>
              <w:spacing w:before="0" w:after="0" w:line="220" w:lineRule="auto"/>
            </w:pPr>
            <w:r>
              <w:rPr>
                <w:sz w:val="14"/>
                <w:szCs w:val="14"/>
              </w:rPr>
              <w:t>Flexy Beast — middle_finger_length_mm</w:t>
            </w:r>
          </w:p>
        </w:tc>
        <w:tc>
          <w:tcPr>
            <w:tcW w:w="1950" w:type="dxa"/>
          </w:tcPr>
          <w:p>
            <w:pPr>
              <w:spacing w:before="0" w:after="0" w:line="220" w:lineRule="auto"/>
            </w:pPr>
            <w:r>
              <w:rPr>
                <w:sz w:val="14"/>
                <w:szCs w:val="14"/>
              </w:rPr>
              <w:t>Dobra MCP à ponta do dedo médio; digits.middle.total_length_mm</w:t>
            </w:r>
          </w:p>
        </w:tc>
        <w:tc>
          <w:tcPr>
            <w:tcW w:w="900" w:type="dxa"/>
          </w:tcPr>
          <w:p>
            <w:pPr>
              <w:spacing w:before="0" w:after="0" w:line="220" w:lineRule="auto"/>
            </w:pPr>
            <w:r>
              <w:rPr>
                <w:sz w:val="14"/>
                <w:szCs w:val="14"/>
              </w:rPr>
              <w:t>72</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Comprimento mestre: fingerLength = valor / (37 × xScaleFactor)</w:t>
            </w:r>
          </w:p>
        </w:tc>
      </w:tr>
      <w:tr>
        <w:trPr>
          <w:cantSplit/>
        </w:trPr>
        <w:tc>
          <w:tcPr>
            <w:tcW w:w="1650" w:type="dxa"/>
          </w:tcPr>
          <w:p>
            <w:pPr>
              <w:spacing w:before="0" w:after="0" w:line="220" w:lineRule="auto"/>
            </w:pPr>
            <w:r>
              <w:rPr>
                <w:sz w:val="14"/>
                <w:szCs w:val="14"/>
              </w:rPr>
              <w:t>Flexy Beast — index_finger_length_mm; ring_finger_length_mm</w:t>
            </w:r>
          </w:p>
        </w:tc>
        <w:tc>
          <w:tcPr>
            <w:tcW w:w="1950" w:type="dxa"/>
          </w:tcPr>
          <w:p>
            <w:pPr>
              <w:spacing w:before="0" w:after="0" w:line="220" w:lineRule="auto"/>
            </w:pPr>
            <w:r>
              <w:rPr>
                <w:sz w:val="14"/>
                <w:szCs w:val="14"/>
              </w:rPr>
              <w:t>Comprimento total do indicador e anelar</w:t>
            </w:r>
          </w:p>
        </w:tc>
        <w:tc>
          <w:tcPr>
            <w:tcW w:w="900" w:type="dxa"/>
          </w:tcPr>
          <w:p>
            <w:pPr>
              <w:spacing w:before="0" w:after="0" w:line="220" w:lineRule="auto"/>
            </w:pPr>
            <w:r>
              <w:rPr>
                <w:sz w:val="14"/>
                <w:szCs w:val="14"/>
              </w:rPr>
              <w:t>68;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Proporção de cada dedo relativamente ao médio</w:t>
            </w:r>
          </w:p>
        </w:tc>
      </w:tr>
      <w:tr>
        <w:trPr>
          <w:cantSplit/>
        </w:trPr>
        <w:tc>
          <w:tcPr>
            <w:tcW w:w="1650" w:type="dxa"/>
          </w:tcPr>
          <w:p>
            <w:pPr>
              <w:spacing w:before="0" w:after="0" w:line="220" w:lineRule="auto"/>
            </w:pPr>
            <w:r>
              <w:rPr>
                <w:sz w:val="14"/>
                <w:szCs w:val="14"/>
              </w:rPr>
              <w:t>Flexy Beast — pinky_finger_length_mm; thumb_length_mm</w:t>
            </w:r>
          </w:p>
        </w:tc>
        <w:tc>
          <w:tcPr>
            <w:tcW w:w="1950" w:type="dxa"/>
          </w:tcPr>
          <w:p>
            <w:pPr>
              <w:spacing w:before="0" w:after="0" w:line="220" w:lineRule="auto"/>
            </w:pPr>
            <w:r>
              <w:rPr>
                <w:sz w:val="14"/>
                <w:szCs w:val="14"/>
              </w:rPr>
              <w:t>Comprimento total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Proporção local relativamente ao dedo médio</w:t>
            </w:r>
          </w:p>
        </w:tc>
      </w:tr>
      <w:tr>
        <w:trPr>
          <w:cantSplit/>
        </w:trPr>
        <w:tc>
          <w:tcPr>
            <w:tcW w:w="1650" w:type="dxa"/>
          </w:tcPr>
          <w:p>
            <w:pPr>
              <w:spacing w:before="0" w:after="0" w:line="220" w:lineRule="auto"/>
            </w:pPr>
            <w:r>
              <w:rPr>
                <w:sz w:val="14"/>
                <w:szCs w:val="14"/>
              </w:rPr>
              <w:t>Flexy Beast — joint_dia; joint_thick</w:t>
            </w:r>
          </w:p>
        </w:tc>
        <w:tc>
          <w:tcPr>
            <w:tcW w:w="1950" w:type="dxa"/>
          </w:tcPr>
          <w:p>
            <w:pPr>
              <w:spacing w:before="0" w:after="0" w:line="220" w:lineRule="auto"/>
            </w:pPr>
            <w:r>
              <w:rPr>
                <w:sz w:val="14"/>
                <w:szCs w:val="14"/>
              </w:rPr>
              <w:t>Diâmetro do furo e espessura da ranhura da junta flexível</w:t>
            </w:r>
          </w:p>
        </w:tc>
        <w:tc>
          <w:tcPr>
            <w:tcW w:w="900" w:type="dxa"/>
          </w:tcPr>
          <w:p>
            <w:pPr>
              <w:spacing w:before="0" w:after="0" w:line="220" w:lineRule="auto"/>
            </w:pPr>
            <w:r>
              <w:rPr>
                <w:sz w:val="14"/>
                <w:szCs w:val="14"/>
              </w:rPr>
              <w:t>7; 4</w:t>
            </w:r>
          </w:p>
        </w:tc>
        <w:tc>
          <w:tcPr>
            <w:tcW w:w="1500" w:type="dxa"/>
          </w:tcPr>
          <w:p>
            <w:pPr>
              <w:spacing w:before="0" w:after="0" w:line="220" w:lineRule="auto"/>
            </w:pPr>
            <w:r>
              <w:rPr>
                <w:sz w:val="14"/>
                <w:szCs w:val="14"/>
              </w:rPr>
              <w:t>4–10; 0,5; 1–6; 0,5</w:t>
            </w:r>
          </w:p>
        </w:tc>
        <w:tc>
          <w:tcPr>
            <w:tcW w:w="3100" w:type="dxa"/>
          </w:tcPr>
          <w:p>
            <w:pPr>
              <w:spacing w:before="0" w:after="0" w:line="220" w:lineRule="auto"/>
            </w:pPr>
            <w:r>
              <w:rPr>
                <w:sz w:val="14"/>
                <w:szCs w:val="14"/>
              </w:rPr>
              <w:t>Dimensionam furos, ranhuras e conectores flexíveis; não são medidas corporais</w:t>
            </w:r>
          </w:p>
        </w:tc>
      </w:tr>
      <w:tr>
        <w:trPr>
          <w:cantSplit/>
        </w:trPr>
        <w:tc>
          <w:tcPr>
            <w:tcW w:w="1650" w:type="dxa"/>
          </w:tcPr>
          <w:p>
            <w:pPr>
              <w:spacing w:before="0" w:after="0" w:line="220" w:lineRule="auto"/>
            </w:pPr>
            <w:r>
              <w:rPr>
                <w:sz w:val="14"/>
                <w:szCs w:val="14"/>
              </w:rPr>
              <w:t>Flexy Beast — gauntlet_width_mm; gauntlet_length_mm; gauntlet_wall_mm</w:t>
            </w:r>
          </w:p>
        </w:tc>
        <w:tc>
          <w:tcPr>
            <w:tcW w:w="1950" w:type="dxa"/>
          </w:tcPr>
          <w:p>
            <w:pPr>
              <w:spacing w:before="0" w:after="0" w:line="220" w:lineRule="auto"/>
            </w:pPr>
            <w:r>
              <w:rPr>
                <w:sz w:val="14"/>
                <w:szCs w:val="14"/>
              </w:rPr>
              <w:t>Largura, comprimento e parede da braçadeira</w:t>
            </w:r>
          </w:p>
        </w:tc>
        <w:tc>
          <w:tcPr>
            <w:tcW w:w="900" w:type="dxa"/>
          </w:tcPr>
          <w:p>
            <w:pPr>
              <w:spacing w:before="0" w:after="0" w:line="220" w:lineRule="auto"/>
            </w:pPr>
            <w:r>
              <w:rPr>
                <w:sz w:val="14"/>
                <w:szCs w:val="14"/>
              </w:rPr>
              <w:t>60; 108; 3</w:t>
            </w:r>
          </w:p>
        </w:tc>
        <w:tc>
          <w:tcPr>
            <w:tcW w:w="1500" w:type="dxa"/>
          </w:tcPr>
          <w:p>
            <w:pPr>
              <w:spacing w:before="0" w:after="0" w:line="220" w:lineRule="auto"/>
            </w:pPr>
            <w:r>
              <w:rPr>
                <w:sz w:val="14"/>
                <w:szCs w:val="14"/>
              </w:rPr>
              <w:t>40–90; 1; 70–150; 1; 2–5; 0,5</w:t>
            </w:r>
          </w:p>
        </w:tc>
        <w:tc>
          <w:tcPr>
            <w:tcW w:w="3100" w:type="dxa"/>
          </w:tcPr>
          <w:p>
            <w:pPr>
              <w:spacing w:before="0" w:after="0" w:line="220" w:lineRule="auto"/>
            </w:pPr>
            <w:r>
              <w:rPr>
                <w:sz w:val="14"/>
                <w:szCs w:val="14"/>
              </w:rPr>
              <w:t>Escala e espessura da braçadeira; a largura pode derivar do punho com folga</w:t>
            </w:r>
          </w:p>
        </w:tc>
      </w:tr>
      <w:tr>
        <w:trPr>
          <w:cantSplit/>
        </w:trPr>
        <w:tc>
          <w:tcPr>
            <w:tcW w:w="1650" w:type="dxa"/>
          </w:tcPr>
          <w:p>
            <w:pPr>
              <w:spacing w:before="0" w:after="0" w:line="220" w:lineRule="auto"/>
            </w:pPr>
            <w:r>
              <w:rPr>
                <w:sz w:val="14"/>
                <w:szCs w:val="14"/>
              </w:rPr>
              <w:t>Flexy Beast — gauntlet_pos_adjust; strap_splay_adjust</w:t>
            </w:r>
          </w:p>
        </w:tc>
        <w:tc>
          <w:tcPr>
            <w:tcW w:w="1950" w:type="dxa"/>
          </w:tcPr>
          <w:p>
            <w:pPr>
              <w:spacing w:before="0" w:after="0" w:line="220" w:lineRule="auto"/>
            </w:pPr>
            <w:r>
              <w:rPr>
                <w:sz w:val="14"/>
                <w:szCs w:val="14"/>
              </w:rPr>
              <w:t>Ajuste longitudinal e afastamento das abas</w:t>
            </w:r>
          </w:p>
        </w:tc>
        <w:tc>
          <w:tcPr>
            <w:tcW w:w="900" w:type="dxa"/>
          </w:tcPr>
          <w:p>
            <w:pPr>
              <w:spacing w:before="0" w:after="0" w:line="220" w:lineRule="auto"/>
            </w:pPr>
            <w:r>
              <w:rPr>
                <w:sz w:val="14"/>
                <w:szCs w:val="14"/>
              </w:rPr>
              <w:t>0; 0</w:t>
            </w:r>
          </w:p>
        </w:tc>
        <w:tc>
          <w:tcPr>
            <w:tcW w:w="1500" w:type="dxa"/>
          </w:tcPr>
          <w:p>
            <w:pPr>
              <w:spacing w:before="0" w:after="0" w:line="220" w:lineRule="auto"/>
            </w:pPr>
            <w:r>
              <w:rPr>
                <w:sz w:val="14"/>
                <w:szCs w:val="14"/>
              </w:rPr>
              <w:t>−25–25; 1; −8–8; 0,5</w:t>
            </w:r>
          </w:p>
        </w:tc>
        <w:tc>
          <w:tcPr>
            <w:tcW w:w="3100" w:type="dxa"/>
          </w:tcPr>
          <w:p>
            <w:pPr>
              <w:spacing w:before="0" w:after="0" w:line="220" w:lineRule="auto"/>
            </w:pPr>
            <w:r>
              <w:rPr>
                <w:sz w:val="14"/>
                <w:szCs w:val="14"/>
              </w:rPr>
              <w:t>Correcções locais de posição e compatibilidade; introdução manual</w:t>
            </w:r>
          </w:p>
        </w:tc>
      </w:tr>
      <w:tr>
        <w:trPr>
          <w:cantSplit/>
        </w:trPr>
        <w:tc>
          <w:tcPr>
            <w:tcW w:w="1650" w:type="dxa"/>
          </w:tcPr>
          <w:p>
            <w:pPr>
              <w:spacing w:before="0" w:after="0" w:line="220" w:lineRule="auto"/>
            </w:pPr>
            <w:r>
              <w:rPr>
                <w:sz w:val="14"/>
                <w:szCs w:val="14"/>
              </w:rPr>
              <w:t>Flexy Beast — wrist_pin_dia; wrist_pin_clearance</w:t>
            </w:r>
          </w:p>
        </w:tc>
        <w:tc>
          <w:tcPr>
            <w:tcW w:w="1950" w:type="dxa"/>
          </w:tcPr>
          <w:p>
            <w:pPr>
              <w:spacing w:before="0" w:after="0" w:line="220" w:lineRule="auto"/>
            </w:pPr>
            <w:r>
              <w:rPr>
                <w:sz w:val="14"/>
                <w:szCs w:val="14"/>
              </w:rPr>
              <w:t>Diâmetro do pino do punho e folga de rotação</w:t>
            </w:r>
          </w:p>
        </w:tc>
        <w:tc>
          <w:tcPr>
            <w:tcW w:w="900" w:type="dxa"/>
          </w:tcPr>
          <w:p>
            <w:pPr>
              <w:spacing w:before="0" w:after="0" w:line="220" w:lineRule="auto"/>
            </w:pPr>
            <w:r>
              <w:rPr>
                <w:sz w:val="14"/>
                <w:szCs w:val="14"/>
              </w:rPr>
              <w:t>7; 0,35</w:t>
            </w:r>
          </w:p>
        </w:tc>
        <w:tc>
          <w:tcPr>
            <w:tcW w:w="1500" w:type="dxa"/>
          </w:tcPr>
          <w:p>
            <w:pPr>
              <w:spacing w:before="0" w:after="0" w:line="220" w:lineRule="auto"/>
            </w:pPr>
            <w:r>
              <w:rPr>
                <w:sz w:val="14"/>
                <w:szCs w:val="14"/>
              </w:rPr>
              <w:t>3–8; 0,5; 0,10–0,80; 0,05</w:t>
            </w:r>
          </w:p>
        </w:tc>
        <w:tc>
          <w:tcPr>
            <w:tcW w:w="3100" w:type="dxa"/>
          </w:tcPr>
          <w:p>
            <w:pPr>
              <w:spacing w:before="0" w:after="0" w:line="220" w:lineRule="auto"/>
            </w:pPr>
            <w:r>
              <w:rPr>
                <w:sz w:val="14"/>
                <w:szCs w:val="14"/>
              </w:rPr>
              <w:t>Dimensionam a interface articulada entre palma e braçadeira</w:t>
            </w:r>
          </w:p>
        </w:tc>
      </w:tr>
      <w:tr>
        <w:trPr>
          <w:cantSplit/>
        </w:trPr>
        <w:tc>
          <w:tcPr>
            <w:tcW w:w="1650" w:type="dxa"/>
          </w:tcPr>
          <w:p>
            <w:pPr>
              <w:spacing w:before="0" w:after="0" w:line="220" w:lineRule="auto"/>
            </w:pPr>
            <w:r>
              <w:rPr>
                <w:sz w:val="14"/>
                <w:szCs w:val="14"/>
              </w:rPr>
              <w:t>Paraglider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overall_scale = valor / 66,4; palma escalada uniformemente</w:t>
            </w:r>
          </w:p>
        </w:tc>
      </w:tr>
      <w:tr>
        <w:trPr>
          <w:cantSplit/>
        </w:trPr>
        <w:tc>
          <w:tcPr>
            <w:tcW w:w="1650" w:type="dxa"/>
          </w:tcPr>
          <w:p>
            <w:pPr>
              <w:spacing w:before="0" w:after="0" w:line="220" w:lineRule="auto"/>
            </w:pPr>
            <w:r>
              <w:rPr>
                <w:sz w:val="14"/>
                <w:szCs w:val="14"/>
              </w:rPr>
              <w:t>Paraglider — palm_length_mm; palm_thickness_mm</w:t>
            </w:r>
          </w:p>
        </w:tc>
        <w:tc>
          <w:tcPr>
            <w:tcW w:w="1950" w:type="dxa"/>
          </w:tcPr>
          <w:p>
            <w:pPr>
              <w:spacing w:before="0" w:after="0" w:line="220" w:lineRule="auto"/>
            </w:pPr>
            <w:r>
              <w:rPr>
                <w:sz w:val="14"/>
                <w:szCs w:val="14"/>
              </w:rPr>
              <w:t>Comprimento e espessura da palma</w:t>
            </w:r>
          </w:p>
        </w:tc>
        <w:tc>
          <w:tcPr>
            <w:tcW w:w="900" w:type="dxa"/>
          </w:tcPr>
          <w:p>
            <w:pPr>
              <w:spacing w:before="0" w:after="0" w:line="220" w:lineRule="auto"/>
            </w:pPr>
            <w:r>
              <w:rPr>
                <w:sz w:val="14"/>
                <w:szCs w:val="14"/>
              </w:rPr>
              <w:t>95; 32</w:t>
            </w:r>
          </w:p>
        </w:tc>
        <w:tc>
          <w:tcPr>
            <w:tcW w:w="1500" w:type="dxa"/>
          </w:tcPr>
          <w:p>
            <w:pPr>
              <w:spacing w:before="0" w:after="0" w:line="220" w:lineRule="auto"/>
            </w:pPr>
            <w:r>
              <w:rPr>
                <w:sz w:val="14"/>
                <w:szCs w:val="14"/>
              </w:rPr>
              <w:t>60–140; 1; 18–50; 1</w:t>
            </w:r>
          </w:p>
        </w:tc>
        <w:tc>
          <w:tcPr>
            <w:tcW w:w="3100" w:type="dxa"/>
          </w:tcPr>
          <w:p>
            <w:pPr>
              <w:spacing w:before="0" w:after="0" w:line="220" w:lineRule="auto"/>
            </w:pPr>
            <w:r>
              <w:rPr>
                <w:sz w:val="14"/>
                <w:szCs w:val="14"/>
              </w:rPr>
              <w:t>Informação contextual para a IA; não deforma independentemente a palma</w:t>
            </w:r>
          </w:p>
        </w:tc>
      </w:tr>
      <w:tr>
        <w:trPr>
          <w:cantSplit/>
        </w:trPr>
        <w:tc>
          <w:tcPr>
            <w:tcW w:w="1650" w:type="dxa"/>
          </w:tcPr>
          <w:p>
            <w:pPr>
              <w:spacing w:before="0" w:after="0" w:line="220" w:lineRule="auto"/>
            </w:pPr>
            <w:r>
              <w:rPr>
                <w:sz w:val="14"/>
                <w:szCs w:val="14"/>
              </w:rPr>
              <w:t>Paraglider — index_finger_length_mm; middle_finger_length_mm; ring_finger_length_mm</w:t>
            </w:r>
          </w:p>
        </w:tc>
        <w:tc>
          <w:tcPr>
            <w:tcW w:w="1950" w:type="dxa"/>
          </w:tcPr>
          <w:p>
            <w:pPr>
              <w:spacing w:before="0" w:after="0" w:line="220" w:lineRule="auto"/>
            </w:pPr>
            <w:r>
              <w:rPr>
                <w:sz w:val="14"/>
                <w:szCs w:val="14"/>
              </w:rPr>
              <w:t>Comprimentos totais do indicador, médio e anelar</w:t>
            </w:r>
          </w:p>
        </w:tc>
        <w:tc>
          <w:tcPr>
            <w:tcW w:w="900" w:type="dxa"/>
          </w:tcPr>
          <w:p>
            <w:pPr>
              <w:spacing w:before="0" w:after="0" w:line="220" w:lineRule="auto"/>
            </w:pPr>
            <w:r>
              <w:rPr>
                <w:sz w:val="14"/>
                <w:szCs w:val="14"/>
              </w:rPr>
              <w:t>68; 72;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Escalas próprias dos dedos; o médio define a escala-base digital</w:t>
            </w:r>
          </w:p>
        </w:tc>
      </w:tr>
      <w:tr>
        <w:trPr>
          <w:cantSplit/>
        </w:trPr>
        <w:tc>
          <w:tcPr>
            <w:tcW w:w="1650" w:type="dxa"/>
          </w:tcPr>
          <w:p>
            <w:pPr>
              <w:spacing w:before="0" w:after="0" w:line="220" w:lineRule="auto"/>
            </w:pPr>
            <w:r>
              <w:rPr>
                <w:sz w:val="14"/>
                <w:szCs w:val="14"/>
              </w:rPr>
              <w:t>Paraglider — pinky_finger_length_mm; thumb_length_mm</w:t>
            </w:r>
          </w:p>
        </w:tc>
        <w:tc>
          <w:tcPr>
            <w:tcW w:w="1950" w:type="dxa"/>
          </w:tcPr>
          <w:p>
            <w:pPr>
              <w:spacing w:before="0" w:after="0" w:line="220" w:lineRule="auto"/>
            </w:pPr>
            <w:r>
              <w:rPr>
                <w:sz w:val="14"/>
                <w:szCs w:val="14"/>
              </w:rPr>
              <w:t>Comprimentos totais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O mindinho recebe escala própria; o polegar acompanha a escala-base</w:t>
            </w:r>
          </w:p>
        </w:tc>
      </w:tr>
      <w:tr>
        <w:trPr>
          <w:cantSplit/>
        </w:trPr>
        <w:tc>
          <w:tcPr>
            <w:tcW w:w="1650" w:type="dxa"/>
          </w:tcPr>
          <w:p>
            <w:pPr>
              <w:spacing w:before="0" w:after="0" w:line="220" w:lineRule="auto"/>
            </w:pPr>
            <w:r>
              <w:rPr>
                <w:sz w:val="14"/>
                <w:szCs w:val="14"/>
              </w:rPr>
              <w:t>Paraglider — string_channel_scale; elastic_channel_scale</w:t>
            </w:r>
          </w:p>
        </w:tc>
        <w:tc>
          <w:tcPr>
            <w:tcW w:w="1950" w:type="dxa"/>
          </w:tcPr>
          <w:p>
            <w:pPr>
              <w:spacing w:before="0" w:after="0" w:line="220" w:lineRule="auto"/>
            </w:pPr>
            <w:r>
              <w:rPr>
                <w:sz w:val="14"/>
                <w:szCs w:val="14"/>
              </w:rPr>
              <w:t>Escala relativa dos canais de tracção e de elástico</w:t>
            </w:r>
          </w:p>
        </w:tc>
        <w:tc>
          <w:tcPr>
            <w:tcW w:w="900" w:type="dxa"/>
          </w:tcPr>
          <w:p>
            <w:pPr>
              <w:spacing w:before="0" w:after="0" w:line="220" w:lineRule="auto"/>
            </w:pPr>
            <w:r>
              <w:rPr>
                <w:sz w:val="14"/>
                <w:szCs w:val="14"/>
              </w:rPr>
              <w:t>0,9; 0,9</w:t>
            </w:r>
          </w:p>
        </w:tc>
        <w:tc>
          <w:tcPr>
            <w:tcW w:w="1500" w:type="dxa"/>
          </w:tcPr>
          <w:p>
            <w:pPr>
              <w:spacing w:before="0" w:after="0" w:line="220" w:lineRule="auto"/>
            </w:pPr>
            <w:r>
              <w:rPr>
                <w:sz w:val="14"/>
                <w:szCs w:val="14"/>
              </w:rPr>
              <w:t>0,50–1,00; 0,05; 0,50–1,50; 0,05</w:t>
            </w:r>
          </w:p>
        </w:tc>
        <w:tc>
          <w:tcPr>
            <w:tcW w:w="3100" w:type="dxa"/>
          </w:tcPr>
          <w:p>
            <w:pPr>
              <w:spacing w:before="0" w:after="0" w:line="220" w:lineRule="auto"/>
            </w:pPr>
            <w:r>
              <w:rPr>
                <w:sz w:val="14"/>
                <w:szCs w:val="14"/>
              </w:rPr>
              <w:t>Razões adimensionais aplicadas aos canais mecânicos</w:t>
            </w:r>
          </w:p>
        </w:tc>
      </w:tr>
      <w:tr>
        <w:trPr>
          <w:cantSplit/>
        </w:trPr>
        <w:tc>
          <w:tcPr>
            <w:tcW w:w="1650" w:type="dxa"/>
          </w:tcPr>
          <w:p>
            <w:pPr>
              <w:spacing w:before="0" w:after="0" w:line="220" w:lineRule="auto"/>
            </w:pPr>
            <w:r>
              <w:rPr>
                <w:sz w:val="14"/>
                <w:szCs w:val="14"/>
              </w:rPr>
              <w:t>Paraglider — ARM_HandLen; ARM_ForearmLen; ARM_BicepCircum; ARM_CuffLength</w:t>
            </w:r>
          </w:p>
        </w:tc>
        <w:tc>
          <w:tcPr>
            <w:tcW w:w="1950" w:type="dxa"/>
          </w:tcPr>
          <w:p>
            <w:pPr>
              <w:spacing w:before="0" w:after="0" w:line="220" w:lineRule="auto"/>
            </w:pPr>
            <w:r>
              <w:rPr>
                <w:sz w:val="14"/>
                <w:szCs w:val="14"/>
              </w:rPr>
              <w:t>Mão, antebraço, circunferência do braço e braçadeira</w:t>
            </w:r>
          </w:p>
        </w:tc>
        <w:tc>
          <w:tcPr>
            <w:tcW w:w="900" w:type="dxa"/>
          </w:tcPr>
          <w:p>
            <w:pPr>
              <w:spacing w:before="0" w:after="0" w:line="220" w:lineRule="auto"/>
            </w:pPr>
            <w:r>
              <w:rPr>
                <w:sz w:val="14"/>
                <w:szCs w:val="14"/>
              </w:rPr>
              <w:t>135; 140; 160; 65</w:t>
            </w:r>
          </w:p>
        </w:tc>
        <w:tc>
          <w:tcPr>
            <w:tcW w:w="1500" w:type="dxa"/>
          </w:tcPr>
          <w:p>
            <w:pPr>
              <w:spacing w:before="0" w:after="0" w:line="220" w:lineRule="auto"/>
            </w:pPr>
            <w:r>
              <w:rPr>
                <w:sz w:val="14"/>
                <w:szCs w:val="14"/>
              </w:rPr>
              <w:t>135–230; 120–315; 110–350; 65–90; inc. 1</w:t>
            </w:r>
          </w:p>
        </w:tc>
        <w:tc>
          <w:tcPr>
            <w:tcW w:w="3100" w:type="dxa"/>
          </w:tcPr>
          <w:p>
            <w:pPr>
              <w:spacing w:before="0" w:after="0" w:line="220" w:lineRule="auto"/>
            </w:pPr>
            <w:r>
              <w:rPr>
                <w:sz w:val="14"/>
                <w:szCs w:val="14"/>
              </w:rPr>
              <w:t>Dimensionam a extensão opcional do braço; não entraram na comparação da mão</w:t>
            </w:r>
          </w:p>
        </w:tc>
      </w:tr>
      <w:tr>
        <w:trPr>
          <w:cantSplit/>
        </w:trPr>
        <w:tc>
          <w:tcPr>
            <w:tcW w:w="1650" w:type="dxa"/>
          </w:tcPr>
          <w:p>
            <w:pPr>
              <w:spacing w:before="0" w:after="0" w:line="220" w:lineRule="auto"/>
            </w:pPr>
            <w:r>
              <w:rPr>
                <w:sz w:val="14"/>
                <w:szCs w:val="14"/>
              </w:rPr>
              <w:t>Paraglider — ARM_PinHoleDia</w:t>
            </w:r>
          </w:p>
        </w:tc>
        <w:tc>
          <w:tcPr>
            <w:tcW w:w="1950" w:type="dxa"/>
          </w:tcPr>
          <w:p>
            <w:pPr>
              <w:spacing w:before="0" w:after="0" w:line="220" w:lineRule="auto"/>
            </w:pPr>
            <w:r>
              <w:rPr>
                <w:sz w:val="14"/>
                <w:szCs w:val="14"/>
              </w:rPr>
              <w:t>Diâmetro dos furos das articulações do braço</w:t>
            </w:r>
          </w:p>
        </w:tc>
        <w:tc>
          <w:tcPr>
            <w:tcW w:w="900" w:type="dxa"/>
          </w:tcPr>
          <w:p>
            <w:pPr>
              <w:spacing w:before="0" w:after="0" w:line="220" w:lineRule="auto"/>
            </w:pPr>
            <w:r>
              <w:rPr>
                <w:sz w:val="14"/>
                <w:szCs w:val="14"/>
              </w:rPr>
              <w:t>3</w:t>
            </w:r>
          </w:p>
        </w:tc>
        <w:tc>
          <w:tcPr>
            <w:tcW w:w="1500" w:type="dxa"/>
          </w:tcPr>
          <w:p>
            <w:pPr>
              <w:spacing w:before="0" w:after="0" w:line="220" w:lineRule="auto"/>
            </w:pPr>
            <w:r>
              <w:rPr>
                <w:sz w:val="14"/>
                <w:szCs w:val="14"/>
              </w:rPr>
              <w:t>3–6; 1</w:t>
            </w:r>
          </w:p>
        </w:tc>
        <w:tc>
          <w:tcPr>
            <w:tcW w:w="3100" w:type="dxa"/>
          </w:tcPr>
          <w:p>
            <w:pPr>
              <w:spacing w:before="0" w:after="0" w:line="220" w:lineRule="auto"/>
            </w:pPr>
            <w:r>
              <w:rPr>
                <w:sz w:val="14"/>
                <w:szCs w:val="14"/>
              </w:rPr>
              <w:t>Interface mecânica da extensão opcional do braço</w:t>
            </w:r>
          </w:p>
        </w:tc>
      </w:tr>
      <w:tr>
        <w:trPr>
          <w:cantSplit/>
        </w:trPr>
        <w:tc>
          <w:tcPr>
            <w:tcW w:w="1650" w:type="dxa"/>
          </w:tcPr>
          <w:p>
            <w:pPr>
              <w:spacing w:before="0" w:after="0" w:line="220" w:lineRule="auto"/>
            </w:pPr>
            <w:r>
              <w:rPr>
                <w:sz w:val="14"/>
                <w:szCs w:val="14"/>
              </w:rPr>
              <w:t>UnLimbited Phoenix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82</w:t>
            </w:r>
          </w:p>
        </w:tc>
        <w:tc>
          <w:tcPr>
            <w:tcW w:w="1500" w:type="dxa"/>
          </w:tcPr>
          <w:p>
            <w:pPr>
              <w:spacing w:before="0" w:after="0" w:line="220" w:lineRule="auto"/>
            </w:pPr>
            <w:r>
              <w:rPr>
                <w:sz w:val="14"/>
                <w:szCs w:val="14"/>
              </w:rPr>
              <w:t>82–131; 1</w:t>
            </w:r>
          </w:p>
        </w:tc>
        <w:tc>
          <w:tcPr>
            <w:tcW w:w="3100" w:type="dxa"/>
          </w:tcPr>
          <w:p>
            <w:pPr>
              <w:spacing w:before="0" w:after="0" w:line="220" w:lineRule="auto"/>
            </w:pPr>
            <w:r>
              <w:rPr>
                <w:sz w:val="14"/>
                <w:szCs w:val="14"/>
              </w:rPr>
              <w:t>HandPerc = valor / 82 × 100, limitado a 100%–160%</w:t>
            </w:r>
          </w:p>
        </w:tc>
      </w:tr>
      <w:tr>
        <w:trPr>
          <w:cantSplit/>
        </w:trPr>
        <w:tc>
          <w:tcPr>
            <w:tcW w:w="1650" w:type="dxa"/>
          </w:tcPr>
          <w:p>
            <w:pPr>
              <w:spacing w:before="0" w:after="0" w:line="220" w:lineRule="auto"/>
            </w:pPr>
            <w:r>
              <w:rPr>
                <w:sz w:val="14"/>
                <w:szCs w:val="14"/>
              </w:rPr>
              <w:t>UnLimbited Phoenix — HandPerc_override</w:t>
            </w:r>
          </w:p>
        </w:tc>
        <w:tc>
          <w:tcPr>
            <w:tcW w:w="1950" w:type="dxa"/>
          </w:tcPr>
          <w:p>
            <w:pPr>
              <w:spacing w:before="0" w:after="0" w:line="220" w:lineRule="auto"/>
            </w:pPr>
            <w:r>
              <w:rPr>
                <w:sz w:val="14"/>
                <w:szCs w:val="14"/>
              </w:rPr>
              <w:t>Substituição manual da percentagem de escala</w:t>
            </w:r>
          </w:p>
        </w:tc>
        <w:tc>
          <w:tcPr>
            <w:tcW w:w="900" w:type="dxa"/>
          </w:tcPr>
          <w:p>
            <w:pPr>
              <w:spacing w:before="0" w:after="0" w:line="220" w:lineRule="auto"/>
            </w:pPr>
            <w:r>
              <w:rPr>
                <w:sz w:val="14"/>
                <w:szCs w:val="14"/>
              </w:rPr>
              <w:t>0</w:t>
            </w:r>
          </w:p>
        </w:tc>
        <w:tc>
          <w:tcPr>
            <w:tcW w:w="1500" w:type="dxa"/>
          </w:tcPr>
          <w:p>
            <w:pPr>
              <w:spacing w:before="0" w:after="0" w:line="220" w:lineRule="auto"/>
            </w:pPr>
            <w:r>
              <w:rPr>
                <w:sz w:val="14"/>
                <w:szCs w:val="14"/>
              </w:rPr>
              <w:t>0–160; 1</w:t>
            </w:r>
          </w:p>
        </w:tc>
        <w:tc>
          <w:tcPr>
            <w:tcW w:w="3100" w:type="dxa"/>
          </w:tcPr>
          <w:p>
            <w:pPr>
              <w:spacing w:before="0" w:after="0" w:line="220" w:lineRule="auto"/>
            </w:pPr>
            <w:r>
              <w:rPr>
                <w:sz w:val="14"/>
                <w:szCs w:val="14"/>
              </w:rPr>
              <w:t>Zero deriva a escala; valores positivos continuam sujeitos ao piso de 100%</w:t>
            </w:r>
          </w:p>
        </w:tc>
      </w:tr>
      <w:tr>
        <w:trPr>
          <w:cantSplit/>
        </w:trPr>
        <w:tc>
          <w:tcPr>
            <w:tcW w:w="1650" w:type="dxa"/>
          </w:tcPr>
          <w:p>
            <w:pPr>
              <w:spacing w:before="0" w:after="0" w:line="220" w:lineRule="auto"/>
            </w:pPr>
            <w:r>
              <w:rPr>
                <w:sz w:val="14"/>
                <w:szCs w:val="14"/>
              </w:rPr>
              <w:t>UnLimbited Phoenix — index_; middle_; ring_; pinky_finger_length_mm</w:t>
            </w:r>
          </w:p>
        </w:tc>
        <w:tc>
          <w:tcPr>
            <w:tcW w:w="1950" w:type="dxa"/>
          </w:tcPr>
          <w:p>
            <w:pPr>
              <w:spacing w:before="0" w:after="0" w:line="220" w:lineRule="auto"/>
            </w:pPr>
            <w:r>
              <w:rPr>
                <w:sz w:val="14"/>
                <w:szCs w:val="14"/>
              </w:rPr>
              <w:t>Comprimentos totais dos quatro dedos</w:t>
            </w:r>
          </w:p>
        </w:tc>
        <w:tc>
          <w:tcPr>
            <w:tcW w:w="900" w:type="dxa"/>
          </w:tcPr>
          <w:p>
            <w:pPr>
              <w:spacing w:before="0" w:after="0" w:line="220" w:lineRule="auto"/>
            </w:pPr>
            <w:r>
              <w:rPr>
                <w:sz w:val="14"/>
                <w:szCs w:val="14"/>
              </w:rPr>
              <w:t>72 cada</w:t>
            </w:r>
          </w:p>
        </w:tc>
        <w:tc>
          <w:tcPr>
            <w:tcW w:w="1500" w:type="dxa"/>
          </w:tcPr>
          <w:p>
            <w:pPr>
              <w:spacing w:before="0" w:after="0" w:line="220" w:lineRule="auto"/>
            </w:pPr>
            <w:r>
              <w:rPr>
                <w:sz w:val="14"/>
                <w:szCs w:val="14"/>
              </w:rPr>
              <w:t>55–115; 1</w:t>
            </w:r>
          </w:p>
        </w:tc>
        <w:tc>
          <w:tcPr>
            <w:tcW w:w="3100" w:type="dxa"/>
          </w:tcPr>
          <w:p>
            <w:pPr>
              <w:spacing w:before="0" w:after="0" w:line="220" w:lineRule="auto"/>
            </w:pPr>
            <w:r>
              <w:rPr>
                <w:sz w:val="14"/>
                <w:szCs w:val="14"/>
              </w:rPr>
              <w:t>Alongamento dos segmentos, preservando a circularidade dos furos</w:t>
            </w:r>
          </w:p>
        </w:tc>
      </w:tr>
      <w:tr>
        <w:trPr>
          <w:cantSplit/>
        </w:trPr>
        <w:tc>
          <w:tcPr>
            <w:tcW w:w="1650" w:type="dxa"/>
          </w:tcPr>
          <w:p>
            <w:pPr>
              <w:spacing w:before="0" w:after="0" w:line="220" w:lineRule="auto"/>
            </w:pPr>
            <w:r>
              <w:rPr>
                <w:sz w:val="14"/>
                <w:szCs w:val="14"/>
              </w:rPr>
              <w:t>UnLimbited Phoenix — index_; middle_; ring_; pinky_base_length_mm</w:t>
            </w:r>
          </w:p>
        </w:tc>
        <w:tc>
          <w:tcPr>
            <w:tcW w:w="1950" w:type="dxa"/>
          </w:tcPr>
          <w:p>
            <w:pPr>
              <w:spacing w:before="0" w:after="0" w:line="220" w:lineRule="auto"/>
            </w:pPr>
            <w:r>
              <w:rPr>
                <w:sz w:val="14"/>
                <w:szCs w:val="14"/>
              </w:rPr>
              <w:t>Comprimentos dos segmentos proximais</w:t>
            </w:r>
          </w:p>
        </w:tc>
        <w:tc>
          <w:tcPr>
            <w:tcW w:w="900" w:type="dxa"/>
          </w:tcPr>
          <w:p>
            <w:pPr>
              <w:spacing w:before="0" w:after="0" w:line="220" w:lineRule="auto"/>
            </w:pPr>
            <w:r>
              <w:rPr>
                <w:sz w:val="14"/>
                <w:szCs w:val="14"/>
              </w:rPr>
              <w:t>31 cada</w:t>
            </w:r>
          </w:p>
        </w:tc>
        <w:tc>
          <w:tcPr>
            <w:tcW w:w="1500" w:type="dxa"/>
          </w:tcPr>
          <w:p>
            <w:pPr>
              <w:spacing w:before="0" w:after="0" w:line="220" w:lineRule="auto"/>
            </w:pPr>
            <w:r>
              <w:rPr>
                <w:sz w:val="14"/>
                <w:szCs w:val="14"/>
              </w:rPr>
              <w:t>18–55; 1</w:t>
            </w:r>
          </w:p>
        </w:tc>
        <w:tc>
          <w:tcPr>
            <w:tcW w:w="3100" w:type="dxa"/>
          </w:tcPr>
          <w:p>
            <w:pPr>
              <w:spacing w:before="0" w:after="0" w:line="220" w:lineRule="auto"/>
            </w:pPr>
            <w:r>
              <w:rPr>
                <w:sz w:val="14"/>
                <w:szCs w:val="14"/>
              </w:rPr>
              <w:t>Divide o comprimento total entre segmento proximal e ponta</w:t>
            </w:r>
          </w:p>
        </w:tc>
      </w:tr>
      <w:tr>
        <w:trPr>
          <w:cantSplit/>
        </w:trPr>
        <w:tc>
          <w:tcPr>
            <w:tcW w:w="1650" w:type="dxa"/>
          </w:tcPr>
          <w:p>
            <w:pPr>
              <w:spacing w:before="0" w:after="0" w:line="220" w:lineRule="auto"/>
            </w:pPr>
            <w:r>
              <w:rPr>
                <w:sz w:val="14"/>
                <w:szCs w:val="14"/>
              </w:rPr>
              <w:t>UnLimbited Phoenix — thumb_length_mm; thumb_base_length_mm</w:t>
            </w:r>
          </w:p>
        </w:tc>
        <w:tc>
          <w:tcPr>
            <w:tcW w:w="1950" w:type="dxa"/>
          </w:tcPr>
          <w:p>
            <w:pPr>
              <w:spacing w:before="0" w:after="0" w:line="220" w:lineRule="auto"/>
            </w:pPr>
            <w:r>
              <w:rPr>
                <w:sz w:val="14"/>
                <w:szCs w:val="14"/>
              </w:rPr>
              <w:t>Comprimento total e proximal do polegar</w:t>
            </w:r>
          </w:p>
        </w:tc>
        <w:tc>
          <w:tcPr>
            <w:tcW w:w="900" w:type="dxa"/>
          </w:tcPr>
          <w:p>
            <w:pPr>
              <w:spacing w:before="0" w:after="0" w:line="220" w:lineRule="auto"/>
            </w:pPr>
            <w:r>
              <w:rPr>
                <w:sz w:val="14"/>
                <w:szCs w:val="14"/>
              </w:rPr>
              <w:t>72; 31</w:t>
            </w:r>
          </w:p>
        </w:tc>
        <w:tc>
          <w:tcPr>
            <w:tcW w:w="1500" w:type="dxa"/>
          </w:tcPr>
          <w:p>
            <w:pPr>
              <w:spacing w:before="0" w:after="0" w:line="220" w:lineRule="auto"/>
            </w:pPr>
            <w:r>
              <w:rPr>
                <w:sz w:val="14"/>
                <w:szCs w:val="14"/>
              </w:rPr>
              <w:t>45–80; 1; 18–50; 1</w:t>
            </w:r>
          </w:p>
        </w:tc>
        <w:tc>
          <w:tcPr>
            <w:tcW w:w="3100" w:type="dxa"/>
          </w:tcPr>
          <w:p>
            <w:pPr>
              <w:spacing w:before="0" w:after="0" w:line="220" w:lineRule="auto"/>
            </w:pPr>
            <w:r>
              <w:rPr>
                <w:sz w:val="14"/>
                <w:szCs w:val="14"/>
              </w:rPr>
              <w:t>Alongamento do polegar e divisão proximal–distal</w:t>
            </w:r>
          </w:p>
        </w:tc>
      </w:tr>
    </w:tbl>
    <w:p>
      <w:pPr>
        <w:pStyle w:val="TextoNormal-IPCA"/>
      </w:pPr>
      <w: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Cabealho3"/>
        <w:numPr>
          <w:ilvl w:val="2"/>
          <w:numId w:val="0"/>
        </w:numPr>
      </w:pPr>
      <w:r>
        <w:t>4.3.5 Exemplo numérico completo: perfil infantil no Flexy Beast</w:t>
      </w:r>
    </w:p>
    <w:p>
      <w:pPr>
        <w:pStyle w:val="TextoNormal-IPCA"/>
      </w:pPr>
      <w:r>
        <w:t>A Tabela 4.10 apresenta um percurso integral preservado na campanha de 8 de Julho de 2026. Para isolar a transformação geométrica, a entrada efectiva é o vector de medidas aplicado ao modelo, e não a nacionalidade ou a escolha da referência populacional. O perfil simulado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Legenda"/>
      </w:pPr>
      <w:r>
        <w:t>Tabela 4.10 — Percurso numérico do vector antropométrico até às malhas do Flexy Beast</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50"/>
        <w:gridCol w:w="3650"/>
        <w:gridCol w:w="4100"/>
      </w:tblGrid>
      <w:tr>
        <w:trPr>
          <w:tblHeader/>
          <w:cantSplit/>
        </w:trPr>
        <w:tc>
          <w:tcPr>
            <w:tcW w:w="1350" w:type="dxa"/>
          </w:tcPr>
          <w:p>
            <w:pPr>
              <w:spacing w:before="0" w:after="0" w:line="220" w:lineRule="auto"/>
            </w:pPr>
            <w:r>
              <w:rPr>
                <w:b/>
                <w:sz w:val="16"/>
                <w:szCs w:val="16"/>
              </w:rPr>
              <w:t>Etapa</w:t>
            </w:r>
          </w:p>
        </w:tc>
        <w:tc>
          <w:tcPr>
            <w:tcW w:w="3650" w:type="dxa"/>
          </w:tcPr>
          <w:p>
            <w:pPr>
              <w:spacing w:before="0" w:after="0" w:line="220" w:lineRule="auto"/>
            </w:pPr>
            <w:r>
              <w:rPr>
                <w:b/>
                <w:sz w:val="16"/>
                <w:szCs w:val="16"/>
              </w:rPr>
              <w:t>Operação ou evidência</w:t>
            </w:r>
          </w:p>
        </w:tc>
        <w:tc>
          <w:tcPr>
            <w:tcW w:w="4100" w:type="dxa"/>
          </w:tcPr>
          <w:p>
            <w:pPr>
              <w:spacing w:before="0" w:after="0" w:line="220" w:lineRule="auto"/>
            </w:pPr>
            <w:r>
              <w:rPr>
                <w:b/>
                <w:sz w:val="16"/>
                <w:szCs w:val="16"/>
              </w:rPr>
              <w:t>Valor obtido</w:t>
            </w:r>
          </w:p>
        </w:tc>
      </w:tr>
      <w:tr>
        <w:trPr>
          <w:cantSplit/>
        </w:trPr>
        <w:tc>
          <w:tcPr>
            <w:tcW w:w="1350" w:type="dxa"/>
          </w:tcPr>
          <w:p>
            <w:pPr>
              <w:spacing w:before="0" w:after="0" w:line="220" w:lineRule="auto"/>
            </w:pPr>
            <w:r>
              <w:rPr>
                <w:sz w:val="16"/>
                <w:szCs w:val="16"/>
              </w:rPr>
              <w:t>1. Vector aplicado</w:t>
            </w:r>
          </w:p>
        </w:tc>
        <w:tc>
          <w:tcPr>
            <w:tcW w:w="3650" w:type="dxa"/>
          </w:tcPr>
          <w:p>
            <w:pPr>
              <w:spacing w:before="0" w:after="0" w:line="220" w:lineRule="auto"/>
            </w:pPr>
            <w:r>
              <w:rPr>
                <w:sz w:val="16"/>
                <w:szCs w:val="16"/>
              </w:rPr>
              <w:t>Palma; indicador; médio; anelar; mindinho; polegar</w:t>
            </w:r>
          </w:p>
        </w:tc>
        <w:tc>
          <w:tcPr>
            <w:tcW w:w="4100" w:type="dxa"/>
          </w:tcPr>
          <w:p>
            <w:pPr>
              <w:spacing w:before="0" w:after="0" w:line="220" w:lineRule="auto"/>
            </w:pPr>
            <w:r>
              <w:rPr>
                <w:sz w:val="16"/>
                <w:szCs w:val="16"/>
              </w:rPr>
              <w:t>64; 57; 60; 57; 46; 50 mm</w:t>
            </w:r>
          </w:p>
        </w:tc>
      </w:tr>
      <w:tr>
        <w:trPr>
          <w:cantSplit/>
        </w:trPr>
        <w:tc>
          <w:tcPr>
            <w:tcW w:w="1350" w:type="dxa"/>
          </w:tcPr>
          <w:p>
            <w:pPr>
              <w:spacing w:before="0" w:after="0" w:line="220" w:lineRule="auto"/>
            </w:pPr>
            <w:r>
              <w:rPr>
                <w:sz w:val="16"/>
                <w:szCs w:val="16"/>
              </w:rPr>
              <w:t>2. Verificação pelo esquema</w:t>
            </w:r>
          </w:p>
        </w:tc>
        <w:tc>
          <w:tcPr>
            <w:tcW w:w="3650" w:type="dxa"/>
          </w:tcPr>
          <w:p>
            <w:pPr>
              <w:spacing w:before="0" w:after="0" w:line="220" w:lineRule="auto"/>
            </w:pPr>
            <w:r>
              <w:rPr>
                <w:sz w:val="16"/>
                <w:szCs w:val="16"/>
              </w:rPr>
              <w:t>Comparação com os intervalos da Tabela 4.9</w:t>
            </w:r>
          </w:p>
        </w:tc>
        <w:tc>
          <w:tcPr>
            <w:tcW w:w="4100" w:type="dxa"/>
          </w:tcPr>
          <w:p>
            <w:pPr>
              <w:spacing w:before="0" w:after="0" w:line="220" w:lineRule="auto"/>
            </w:pPr>
            <w:r>
              <w:rPr>
                <w:sz w:val="16"/>
                <w:szCs w:val="16"/>
              </w:rPr>
              <w:t>Seis valores dentro dos intervalos; sem limitação</w:t>
            </w:r>
          </w:p>
        </w:tc>
      </w:tr>
      <w:tr>
        <w:trPr>
          <w:cantSplit/>
        </w:trPr>
        <w:tc>
          <w:tcPr>
            <w:tcW w:w="1350" w:type="dxa"/>
          </w:tcPr>
          <w:p>
            <w:pPr>
              <w:spacing w:before="0" w:after="0" w:line="220" w:lineRule="auto"/>
            </w:pPr>
            <w:r>
              <w:rPr>
                <w:sz w:val="16"/>
                <w:szCs w:val="16"/>
              </w:rPr>
              <w:t>3. Escala global</w:t>
            </w:r>
          </w:p>
        </w:tc>
        <w:tc>
          <w:tcPr>
            <w:tcW w:w="3650" w:type="dxa"/>
          </w:tcPr>
          <w:p>
            <w:pPr>
              <w:spacing w:before="0" w:after="0" w:line="220" w:lineRule="auto"/>
            </w:pPr>
            <w:r>
              <w:rPr>
                <w:sz w:val="16"/>
                <w:szCs w:val="16"/>
              </w:rPr>
              <w:t>xScaleFactor = (64 + 5) / 55</w:t>
            </w:r>
          </w:p>
        </w:tc>
        <w:tc>
          <w:tcPr>
            <w:tcW w:w="4100" w:type="dxa"/>
          </w:tcPr>
          <w:p>
            <w:pPr>
              <w:spacing w:before="0" w:after="0" w:line="220" w:lineRule="auto"/>
            </w:pPr>
            <w:r>
              <w:rPr>
                <w:sz w:val="16"/>
                <w:szCs w:val="16"/>
              </w:rPr>
              <w:t>1,254545</w:t>
            </w:r>
          </w:p>
        </w:tc>
      </w:tr>
      <w:tr>
        <w:trPr>
          <w:cantSplit/>
        </w:trPr>
        <w:tc>
          <w:tcPr>
            <w:tcW w:w="1350" w:type="dxa"/>
          </w:tcPr>
          <w:p>
            <w:pPr>
              <w:spacing w:before="0" w:after="0" w:line="220" w:lineRule="auto"/>
            </w:pPr>
            <w:r>
              <w:rPr>
                <w:sz w:val="16"/>
                <w:szCs w:val="16"/>
              </w:rPr>
              <w:t>4. Multiplicador mestre</w:t>
            </w:r>
          </w:p>
        </w:tc>
        <w:tc>
          <w:tcPr>
            <w:tcW w:w="3650" w:type="dxa"/>
          </w:tcPr>
          <w:p>
            <w:pPr>
              <w:spacing w:before="0" w:after="0" w:line="220" w:lineRule="auto"/>
            </w:pPr>
            <w:r>
              <w:rPr>
                <w:sz w:val="16"/>
                <w:szCs w:val="16"/>
              </w:rPr>
              <w:t>fingerLength = 60 / (37 × 1,254545)</w:t>
            </w:r>
          </w:p>
        </w:tc>
        <w:tc>
          <w:tcPr>
            <w:tcW w:w="4100" w:type="dxa"/>
          </w:tcPr>
          <w:p>
            <w:pPr>
              <w:spacing w:before="0" w:after="0" w:line="220" w:lineRule="auto"/>
            </w:pPr>
            <w:r>
              <w:rPr>
                <w:sz w:val="16"/>
                <w:szCs w:val="16"/>
              </w:rPr>
              <w:t>1,292597</w:t>
            </w:r>
          </w:p>
        </w:tc>
      </w:tr>
      <w:tr>
        <w:trPr>
          <w:cantSplit/>
        </w:trPr>
        <w:tc>
          <w:tcPr>
            <w:tcW w:w="1350" w:type="dxa"/>
          </w:tcPr>
          <w:p>
            <w:pPr>
              <w:spacing w:before="0" w:after="0" w:line="220" w:lineRule="auto"/>
            </w:pPr>
            <w:r>
              <w:rPr>
                <w:sz w:val="16"/>
                <w:szCs w:val="16"/>
              </w:rPr>
              <w:t>5. Proporções digitais</w:t>
            </w:r>
          </w:p>
        </w:tc>
        <w:tc>
          <w:tcPr>
            <w:tcW w:w="3650" w:type="dxa"/>
          </w:tcPr>
          <w:p>
            <w:pPr>
              <w:spacing w:before="0" w:after="0" w:line="220" w:lineRule="auto"/>
            </w:pPr>
            <w:r>
              <w:rPr>
                <w:sz w:val="16"/>
                <w:szCs w:val="16"/>
              </w:rPr>
              <w:t>Indicador/60; médio/60; anelar/60; mindinho/60; polegar/60</w:t>
            </w:r>
          </w:p>
        </w:tc>
        <w:tc>
          <w:tcPr>
            <w:tcW w:w="4100" w:type="dxa"/>
          </w:tcPr>
          <w:p>
            <w:pPr>
              <w:spacing w:before="0" w:after="0" w:line="220" w:lineRule="auto"/>
            </w:pPr>
            <w:r>
              <w:rPr>
                <w:sz w:val="16"/>
                <w:szCs w:val="16"/>
              </w:rPr>
              <w:t>0,950000; 1,000000; 0,950000; 0,766667; 0,833333</w:t>
            </w:r>
          </w:p>
        </w:tc>
      </w:tr>
      <w:tr>
        <w:trPr>
          <w:cantSplit/>
        </w:trPr>
        <w:tc>
          <w:tcPr>
            <w:tcW w:w="1350" w:type="dxa"/>
          </w:tcPr>
          <w:p>
            <w:pPr>
              <w:spacing w:before="0" w:after="0" w:line="220" w:lineRule="auto"/>
            </w:pPr>
            <w:r>
              <w:rPr>
                <w:sz w:val="16"/>
                <w:szCs w:val="16"/>
              </w:rPr>
              <w:t>6. Parâmetros mecânicos</w:t>
            </w:r>
          </w:p>
        </w:tc>
        <w:tc>
          <w:tcPr>
            <w:tcW w:w="3650" w:type="dxa"/>
          </w:tcPr>
          <w:p>
            <w:pPr>
              <w:spacing w:before="0" w:after="0" w:line="220" w:lineRule="auto"/>
            </w:pPr>
            <w:r>
              <w:rPr>
                <w:sz w:val="16"/>
                <w:szCs w:val="16"/>
              </w:rPr>
              <w:t>joint_dia; joint_thick; braçadeira L × C × parede; wrist_pin_dia</w:t>
            </w:r>
          </w:p>
        </w:tc>
        <w:tc>
          <w:tcPr>
            <w:tcW w:w="4100" w:type="dxa"/>
          </w:tcPr>
          <w:p>
            <w:pPr>
              <w:spacing w:before="0" w:after="0" w:line="220" w:lineRule="auto"/>
            </w:pPr>
            <w:r>
              <w:rPr>
                <w:sz w:val="16"/>
                <w:szCs w:val="16"/>
              </w:rPr>
              <w:t>5 mm; 2 mm; 47 × 80 × 2 mm; 5 mm; dentro dos limites</w:t>
            </w:r>
          </w:p>
        </w:tc>
      </w:tr>
      <w:tr>
        <w:trPr>
          <w:cantSplit/>
        </w:trPr>
        <w:tc>
          <w:tcPr>
            <w:tcW w:w="1350" w:type="dxa"/>
          </w:tcPr>
          <w:p>
            <w:pPr>
              <w:spacing w:before="0" w:after="0" w:line="220" w:lineRule="auto"/>
            </w:pPr>
            <w:r>
              <w:rPr>
                <w:sz w:val="16"/>
                <w:szCs w:val="16"/>
              </w:rPr>
              <w:t>7. Malha da palma</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97,385 × 80,103 × 37,123 mm; 51,381 cm³; 11.186 faces; fechada</w:t>
            </w:r>
          </w:p>
        </w:tc>
      </w:tr>
      <w:tr>
        <w:trPr>
          <w:cantSplit/>
        </w:trPr>
        <w:tc>
          <w:tcPr>
            <w:tcW w:w="1350" w:type="dxa"/>
          </w:tcPr>
          <w:p>
            <w:pPr>
              <w:spacing w:before="0" w:after="0" w:line="220" w:lineRule="auto"/>
            </w:pPr>
            <w:r>
              <w:rPr>
                <w:sz w:val="16"/>
                <w:szCs w:val="16"/>
              </w:rPr>
              <w:t>8. Proximal do dedo médio</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37,451 × 14,913 × 14,775 mm; 5,225 cm³; 888 faces; fechada</w:t>
            </w:r>
          </w:p>
        </w:tc>
      </w:tr>
      <w:tr>
        <w:trPr>
          <w:cantSplit/>
        </w:trPr>
        <w:tc>
          <w:tcPr>
            <w:tcW w:w="1350" w:type="dxa"/>
          </w:tcPr>
          <w:p>
            <w:pPr>
              <w:spacing w:before="0" w:after="0" w:line="220" w:lineRule="auto"/>
            </w:pPr>
            <w:r>
              <w:rPr>
                <w:sz w:val="16"/>
                <w:szCs w:val="16"/>
              </w:rPr>
              <w:t>9. Distal do dedo médio</w:t>
            </w:r>
          </w:p>
        </w:tc>
        <w:tc>
          <w:tcPr>
            <w:tcW w:w="3650" w:type="dxa"/>
          </w:tcPr>
          <w:p>
            <w:pPr>
              <w:spacing w:before="0" w:after="0" w:line="220" w:lineRule="auto"/>
            </w:pPr>
            <w:r>
              <w:rPr>
                <w:sz w:val="16"/>
                <w:szCs w:val="16"/>
              </w:rPr>
              <w:t>Caixa XYZ; faces; estanquidade</w:t>
            </w:r>
          </w:p>
        </w:tc>
        <w:tc>
          <w:tcPr>
            <w:tcW w:w="4100" w:type="dxa"/>
          </w:tcPr>
          <w:p>
            <w:pPr>
              <w:spacing w:before="0" w:after="0" w:line="220" w:lineRule="auto"/>
            </w:pPr>
            <w:r>
              <w:rPr>
                <w:sz w:val="16"/>
                <w:szCs w:val="16"/>
              </w:rPr>
              <w:t>52,183 × 14,913 × 22,697 mm; 1.198 faces; aberta</w:t>
            </w:r>
          </w:p>
        </w:tc>
      </w:tr>
    </w:tbl>
    <w:p>
      <w:pPr>
        <w:pStyle w:val="TextoNormal-IPCA"/>
      </w:pPr>
      <w: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pPr>
      <w: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pPr>
      <w:r>
        <w:t>Os ficheiros params.json, palm.3mf, middle_base.3mf, middle_tip.3mf e trace.json, os respectivos valores SHA-256 e o dicionário completo encontram-se em sources/manuscript/annexes/dicionario_parametros_v14.67.0/. O percurso é reproduzível ao nível do artefacto arquivado e do cálculo; permanece uma verificação técnica com perfil simulado, sem avaliação de conforto, função, segurança ou validade clínica.</w:t>
      </w:r>
    </w:p>
    <w:p>
      <w:pPr>
        <w:pStyle w:val="Cabealho2"/>
        <w:numPr>
          <w:ilvl w:val="1"/>
          <w:numId w:val="0"/>
        </w:numPr>
      </w:pPr>
      <w:r>
        <w:t>4.4 Iterações, refinamento e discussão intermédia</w:t>
      </w:r>
    </w:p>
    <w:p>
      <w:pPr>
        <w:pStyle w:val="TextoNormal-IPCA"/>
      </w:pPr>
      <w:r>
        <w:t>O desenvolvimento do modelo paramétrico não ocorreu, desde o início, como uma sequência linear orientada para uma solução estável e definitiva. Pelo contrário, evoluiu através de ciclos sucessivos de formulação, teste, correcção e reconfiguração, em coerência com a perspectiva de Research Through Design, segundo a qual o próprio processo projectual constitui um meio de produção de conhecimento (Zimmerman, Forlizzi, &amp; Evenson, 2007).</w:t>
      </w:r>
    </w:p>
    <w:p>
      <w:pPr>
        <w:pStyle w:val="TextoNormal-IPCA"/>
      </w:pPr>
      <w:r>
        <w:t>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TextoNormal-IPCA"/>
      </w:pPr>
      <w:r>
        <w:t>A necessidade de iteração tornou-se particularmente evidente porque a modelação paramétrica, apesar da sua aparência sistemática, depende de um equilíbrio delicado entre abstracção e concretização. Numa fase inicial, a estrutura do sistema assentou na definição de um conjunto de parâmetros julgados essenciais e numa primeira hierarquia entre variáveis de entrada, valores derivados e restrições.</w:t>
      </w:r>
    </w:p>
    <w:p>
      <w:pPr>
        <w:pStyle w:val="TextoNormal-IPCA"/>
      </w:pPr>
      <w:r>
        <w:t>À medida que o modelo foi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TextoNormal-IPCA"/>
      </w:pPr>
      <w:r>
        <w:t>Uma parte decisiva do refinamento incidiu na reorganização da arquitectura paramétrica. O objectivo passou de permitir alterações livres para garantir alterações controladas. Isto implicou reduzir redundâncias, clarificar dependências internas e distinguir os parâmetros estruturantes dos ajustamentos secundários. Procurou-se construir uma lógica hierárquica em que as relações críticas permanecessem explícitas e com origem identificável. Esta passagem favoreceu a manutenção do código e a solidez do modelo, dado que a literatura sublinha que a qualidade das relações paramétricas é determinante para famílias de produto adaptáveis e tecnicamente consistentes (Lei et al., 2016; Wiberg, Persson, &amp; Ölvander, 2019).</w:t>
      </w:r>
    </w:p>
    <w:p>
      <w:pPr>
        <w:pStyle w:val="TextoNormal-IPCA"/>
      </w:pPr>
      <w:r>
        <w:t>À medida que a estrutura geral se consolidou, o trabalho iterativo deslocou-se para a decomposição do sistema em módulos relativamente autónomos. Esta organização modular permitiu isolar problemas, testar componentes de forma localizada e introduzir alterações sem comprometer integralmente o comportamento global do modelo.</w:t>
      </w:r>
    </w:p>
    <w:p>
      <w:pPr>
        <w:pStyle w:val="TextoNormal-IPCA"/>
      </w:pPr>
      <w:r>
        <w:t>No contexto do presente projecto, esta estratégia revelou-se especialmente útil na articulação entre elementos estruturais, zonas de contacto, interfaces mecânicas e componentes de ligação. Para além de organizar o código, a divisão do modelo em módulos contribuiu para clarificar progressivamente a lógica do objecto, aproximando-o de uma estrutura configurável, mais sistemática e compatível com futuros contextos de interface ou de configuração apoiada (Nilsiam &amp; Pearce, 2017).</w:t>
      </w:r>
    </w:p>
    <w:p>
      <w:pPr>
        <w:pStyle w:val="TextoNormal-IPCA"/>
      </w:pPr>
      <w: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w:t>
      </w:r>
    </w:p>
    <w:p>
      <w:pPr>
        <w:pStyle w:val="TextoNormal-IPCA"/>
      </w:pPr>
      <w:r>
        <w:t>Nesse tipo de ensaio surgiram problemas como intersecções indevidas entre componentes, espessuras insuficientes em zonas críticas, desalinhamentos de interfaces, incompatibilidades entre dimensões derivadas e perdas localizadas de coerência proporcional. O refinamento incidiu, assim, na identificação de padrões recorrentes de instabilidade e conduziu à introdução progressiva de verificações condicionais, limites paramétricos e ajustes automáticos.</w:t>
      </w:r>
    </w:p>
    <w:p>
      <w:pPr>
        <w:pStyle w:val="TextoNormal-IPCA"/>
      </w:pPr>
      <w:r>
        <w:t>Outro eixo central do processo prendeu-se à relação entre personalização e fabrico. 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p>
    <w:p>
      <w:pPr>
        <w:pStyle w:val="TextoNormal-IPCA"/>
      </w:pPr>
      <w:r>
        <w:t>A evolução do modelo reforçou, nos casos examinados, a relevância de integrar critérios de Design for Additive Manufacturing na própria lógica paramétrica, em vez de os tratar como uma verificação externa e posterior. A literatura sobre DfAM aponta igualmente para a incorporação de tolerâncias, espessuras mínimas, orientações de fabrico e limites materiais desde a fase de concepção, reduzindo falhas e encurtando os ciclos de reimpressão e de correcção (Chtioui, Gaha, &amp; Benamara, 2023; Wiberg et al., 2019).</w:t>
      </w:r>
    </w:p>
    <w:p>
      <w:pPr>
        <w:pStyle w:val="TextoNormal-IPCA"/>
      </w:pPr>
      <w:r>
        <w:t>Em sistemas configuráveis para próteses, a coerência geométrica e a compatibilidade com o processo de impressão são insuficientes para assegurar a adequação ao uso. A articulação entre segmentos, o posicionamento relativo dos mecanismos, a distribuição de massa, as zonas sujeitas a esforço e a amplitude de movimento influenciam directamente o desempenho esperado do objecto. Por essa razão, várias versões do modelo implicaram reajustes que articularam a correcção formal da geometria com a procura de equilíbrio entre adaptação dimensional, comportamento funcional esperado e viabilidade material.</w:t>
      </w:r>
    </w:p>
    <w:p>
      <w:pPr>
        <w:pStyle w:val="TextoNormal-IPCA"/>
      </w:pPr>
      <w:r>
        <w:t>O refinamento correspondeu, assim, a uma negociação contínua entre a simplificação paramétrica e as exigências funcionais e materiais do protótipo.</w:t>
      </w:r>
    </w:p>
    <w:p>
      <w:pPr>
        <w:pStyle w:val="TextoNormal-IPCA"/>
      </w:pPr>
      <w:r>
        <w:t>Do ponto de vista metodológico, este percurso ultrapassa uma sucessão de tentativas e erros. Cada iteração reconfigurou a compreensão do problema e tornou mais explícitos aspectos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as alterações. O conhecimento produzido abrange o estado final do modelo e o processo de convergência crítica que permitiu delimitar o que pode ser parametrizado neste contexto (Zimmerman et al., 2007).</w:t>
      </w:r>
    </w:p>
    <w:p>
      <w:pPr>
        <w:pStyle w:val="TextoNormal-IPCA"/>
      </w:pPr>
      <w:r>
        <w:t>As iterações documentadas sustentam quatro observações circunscritas aos modelos avaliados. Primeiro, a modelação paramétrica baseada em código permitiu estruturar os sistemas configuráveis testados quando a arquitectura e as dependências entre parâmetros foram explicitadas. Segundo, as falhas observadas indicaram que a estabilidade paramétrica dependeu da qualidade das relações codificadas, e não apenas da quantidade de variáveis disponíveis.</w:t>
      </w:r>
    </w:p>
    <w:p>
      <w:pPr>
        <w:pStyle w:val="TextoNormal-IPCA"/>
      </w:pPr>
      <w:r>
        <w:t>Terceiro, a personalização examinada exigiu a articulação de critérios antropométricos, funcionais e produtivos, não se reduzindo a uma transformação geométrica. Por fim, a iteração funcionou como mecanismo de convergência: não encerrou definitivamente o sistema, mas estabilizou uma versão adequada às fases subsequentes de integração na plataforma e de avaliação técnica.</w:t>
      </w:r>
    </w:p>
    <w:p>
      <w:pPr>
        <w:pStyle w:val="Cabealho1"/>
        <w:pageBreakBefore/>
        <w:numPr>
          <w:ilvl w:val="0"/>
          <w:numId w:val="0"/>
        </w:numPr>
      </w:pPr>
      <w:r>
        <w:t>Capítulo 5 — Plataforma Web e Integração Digital</w:t>
      </w:r>
    </w:p>
    <w:p>
      <w:pPr>
        <w:pStyle w:val="Cabealho2"/>
        <w:numPr>
          <w:ilvl w:val="1"/>
          <w:numId w:val="0"/>
        </w:numPr>
      </w:pPr>
      <w:r>
        <w:t>5.1 Enquadramento conceptual e perfis de utilizador</w:t>
      </w:r>
    </w:p>
    <w:p>
      <w:pPr>
        <w:pStyle w:val="TextoNormal-IPCA"/>
      </w:pPr>
      <w:r>
        <w:t xml:space="preserve">A plataforma web desenvolvida no âmbito deste projecto constitui a camada de mediação entre o modelo paramétrico, os dados de entrada e a configuração digital da mão protésica. Trata-se de um protótipo de investigação funcional, alojado na branch </w:t>
      </w:r>
      <w:r>
        <w:t>staging</w:t>
      </w:r>
      <w:r>
        <w:t>, e não de um produto preparado para utilização clínica. O seu enquadramento assenta numa interface que traduz dados antropométricos, decisões de configuração e critérios de fabrico em parâmetros operacionais, evitando que a edição dependa do contacto directo com o código. Esta leitura é coerente com os estudos sobre personalização digital e personalização em massa, que descrevem os configuradores como sistemas capazes de expor uma parte controlada do espaço de variação sem comprometer as relações do modelo-base (Ozdemir, Verlinden, &amp; Cascini, 2022; Stralen, 2018).</w:t>
      </w:r>
    </w:p>
    <w:p>
      <w:pPr>
        <w:pStyle w:val="TextoNormal-IPCA"/>
      </w:pPr>
      <w:r>
        <w:t>Do ponto de vista funcional, a plataforma foi concebida para suportar um processo progressivo de personalização, no qual a definição geométrica da prótese resulta da articulação entre a recolha de dados, a selecção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TextoNormal-IPCA"/>
      </w:pPr>
      <w:r>
        <w:t>Em vez de exigir que cada interveniente compreenda a estrutura interna do ficheiro OpenSCAD, o sistema disponibiliza uma camada de interacção mais acessível, baseada em controlos paramétricos, pré-visualização tridimensional e gestão de configurações.</w:t>
      </w:r>
    </w:p>
    <w:p>
      <w:pPr>
        <w:pStyle w:val="TextoNormal-IPCA"/>
      </w:pPr>
      <w: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pPr>
      <w:r>
        <w:drawing>
          <wp:inline distT="0" distB="0" distL="0" distR="0">
            <wp:extent cx="5579745" cy="261318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r:embed="rId36"/>
                    <a:stretch>
                      <a:fillRect/>
                    </a:stretch>
                  </pic:blipFill>
                  <pic:spPr>
                    <a:xfrm>
                      <a:off x="0" y="0"/>
                      <a:ext cx="5579745" cy="2613180"/>
                    </a:xfrm>
                    <a:prstGeom prst="rect">
                      <a:avLst/>
                    </a:prstGeom>
                  </pic:spPr>
                </pic:pic>
              </a:graphicData>
            </a:graphic>
          </wp:inline>
        </w:drawing>
      </w:r>
    </w:p>
    <w:p>
      <w:pPr>
        <w:pStyle w:val="Legenda"/>
      </w:pPr>
      <w:r>
        <w:t>Figura 5.1 — Fluxo geral de produção personalizada de próteses a partir de plataforma web – Hand Fab</w:t>
      </w:r>
    </w:p>
    <w:p>
      <w:pPr>
        <w:pStyle w:val="Nota-IPCA"/>
      </w:pPr>
      <w:r>
        <w:t>Fonte: produção própria.</w:t>
      </w:r>
    </w:p>
    <w:p>
      <w:pPr>
        <w:pStyle w:val="TextoNormal-IPCA"/>
      </w:pPr>
      <w: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pPr>
      <w: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pPr>
      <w: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pPr>
      <w: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pPr>
      <w:r>
        <w:t>Deste modo, o enquadramento conceptual da plataforma articula três objectivos complementares: tornar a lógica paramétrica operável em ambiente web, estruturar a configuração como um processo progressivo e compreensível e distribuir o acesso às operações de acordo com papéis diferenciados. Nesta fase, a plataforma permite editar parâmetros à distância e reorganiza o processo como uma sequência apoiada, documentada e sujeita a análise crítica. É nessa articulação entre capacidade de configuração, mediação pela interface e organização por perfis que a secção seguinte, dedicada à arquitectura geral do sistema, encontra a sua base conceptual.</w:t>
      </w:r>
    </w:p>
    <w:p>
      <w:pPr>
        <w:pStyle w:val="Cabealho2"/>
        <w:numPr>
          <w:ilvl w:val="1"/>
          <w:numId w:val="0"/>
        </w:numPr>
      </w:pPr>
      <w:r>
        <w:t>5.2 Arquitectura geral do sistema</w:t>
      </w:r>
    </w:p>
    <w:p>
      <w:pPr>
        <w:pStyle w:val="TextoNormal-IPCA"/>
      </w:pPr>
      <w: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Legenda"/>
      </w:pPr>
      <w:r>
        <w:t>Tabela 5.1 — Fluxo de dados e responsabilidades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Etapa</w:t>
            </w:r>
          </w:p>
        </w:tc>
        <w:tc>
          <w:tcPr>
            <w:tcW w:w="0" w:type="auto"/>
          </w:tcPr>
          <w:p>
            <w:pPr>
              <w:pStyle w:val="TextoNormal-IPCA"/>
              <w:jc w:val="center"/>
            </w:pPr>
            <w:r>
              <w:rPr>
                <w:b/>
              </w:rPr>
              <w:t>Componente</w:t>
            </w:r>
          </w:p>
        </w:tc>
        <w:tc>
          <w:tcPr>
            <w:tcW w:w="0" w:type="auto"/>
          </w:tcPr>
          <w:p>
            <w:pPr>
              <w:pStyle w:val="TextoNormal-IPCA"/>
              <w:jc w:val="center"/>
            </w:pPr>
            <w:r>
              <w:rPr>
                <w:b/>
              </w:rPr>
              <w:t>Entrada e saída</w:t>
            </w:r>
          </w:p>
        </w:tc>
        <w:tc>
          <w:tcPr>
            <w:tcW w:w="0" w:type="auto"/>
          </w:tcPr>
          <w:p>
            <w:pPr>
              <w:pStyle w:val="TextoNormal-IPCA"/>
              <w:jc w:val="center"/>
            </w:pPr>
            <w:r>
              <w:rPr>
                <w:b/>
              </w:rPr>
              <w:t>Responsabilidade</w:t>
            </w:r>
          </w:p>
        </w:tc>
      </w:tr>
      <w:tr>
        <w:tc>
          <w:tcPr>
            <w:tcW w:w="0" w:type="auto"/>
          </w:tcPr>
          <w:p>
            <w:pPr>
              <w:pStyle w:val="TextoNormal-IPCA"/>
              <w:jc w:val="left"/>
            </w:pPr>
            <w:r>
              <w:t>1</w:t>
            </w:r>
          </w:p>
        </w:tc>
        <w:tc>
          <w:tcPr>
            <w:tcW w:w="0" w:type="auto"/>
          </w:tcPr>
          <w:p>
            <w:pPr>
              <w:pStyle w:val="TextoNormal-IPCA"/>
              <w:jc w:val="left"/>
            </w:pPr>
            <w:r>
              <w:t>Interface web</w:t>
            </w:r>
          </w:p>
        </w:tc>
        <w:tc>
          <w:tcPr>
            <w:tcW w:w="0" w:type="auto"/>
          </w:tcPr>
          <w:p>
            <w:pPr>
              <w:pStyle w:val="TextoNormal-IPCA"/>
              <w:jc w:val="left"/>
            </w:pPr>
            <w:r>
              <w:t>Modelo, perfil e valores editados</w:t>
            </w:r>
          </w:p>
        </w:tc>
        <w:tc>
          <w:tcPr>
            <w:tcW w:w="0" w:type="auto"/>
          </w:tcPr>
          <w:p>
            <w:pPr>
              <w:pStyle w:val="TextoNormal-IPCA"/>
              <w:jc w:val="left"/>
            </w:pPr>
            <w:r>
              <w:t>Recolher escolhas, apresentar limites e manter o estado da configuração</w:t>
            </w:r>
          </w:p>
        </w:tc>
      </w:tr>
      <w:tr>
        <w:tc>
          <w:tcPr>
            <w:tcW w:w="0" w:type="auto"/>
          </w:tcPr>
          <w:p>
            <w:pPr>
              <w:pStyle w:val="TextoNormal-IPCA"/>
              <w:jc w:val="left"/>
            </w:pPr>
            <w:r>
              <w:t>2</w:t>
            </w:r>
          </w:p>
        </w:tc>
        <w:tc>
          <w:tcPr>
            <w:tcW w:w="0" w:type="auto"/>
          </w:tcPr>
          <w:p>
            <w:pPr>
              <w:pStyle w:val="TextoNormal-IPCA"/>
              <w:jc w:val="left"/>
            </w:pPr>
            <w:r>
              <w:t>Configuração do modelo</w:t>
            </w:r>
          </w:p>
        </w:tc>
        <w:tc>
          <w:tcPr>
            <w:tcW w:w="0" w:type="auto"/>
          </w:tcPr>
          <w:p>
            <w:pPr>
              <w:pStyle w:val="TextoNormal-IPCA"/>
              <w:jc w:val="left"/>
            </w:pPr>
            <w:r>
              <w:t>models/models-config.json</w:t>
            </w:r>
          </w:p>
        </w:tc>
        <w:tc>
          <w:tcPr>
            <w:tcW w:w="0" w:type="auto"/>
          </w:tcPr>
          <w:p>
            <w:pPr>
              <w:pStyle w:val="TextoNormal-IPCA"/>
              <w:jc w:val="left"/>
            </w:pPr>
            <w:r>
              <w:t>Declarar parâmetros, tipos, intervalos, etiquetas, dependências e campos excluídos da IA</w:t>
            </w:r>
          </w:p>
        </w:tc>
      </w:tr>
      <w:tr>
        <w:tc>
          <w:tcPr>
            <w:tcW w:w="0" w:type="auto"/>
          </w:tcPr>
          <w:p>
            <w:pPr>
              <w:pStyle w:val="TextoNormal-IPCA"/>
              <w:jc w:val="left"/>
            </w:pPr>
            <w:r>
              <w:t>3</w:t>
            </w:r>
          </w:p>
        </w:tc>
        <w:tc>
          <w:tcPr>
            <w:tcW w:w="0" w:type="auto"/>
          </w:tcPr>
          <w:p>
            <w:pPr>
              <w:pStyle w:val="TextoNormal-IPCA"/>
              <w:jc w:val="left"/>
            </w:pPr>
            <w:r>
              <w:t>Serviço de IA no servidor</w:t>
            </w:r>
          </w:p>
        </w:tc>
        <w:tc>
          <w:tcPr>
            <w:tcW w:w="0" w:type="auto"/>
          </w:tcPr>
          <w:p>
            <w:pPr>
              <w:pStyle w:val="TextoNormal-IPCA"/>
              <w:jc w:val="left"/>
            </w:pPr>
            <w:r>
              <w:t>Descrição, esquema e referência populacional; resposta JSON</w:t>
            </w:r>
          </w:p>
        </w:tc>
        <w:tc>
          <w:tcPr>
            <w:tcW w:w="0" w:type="auto"/>
          </w:tcPr>
          <w:p>
            <w:pPr>
              <w:pStyle w:val="TextoNormal-IPCA"/>
              <w:jc w:val="left"/>
            </w:pPr>
            <w:r>
              <w:t>Intermediar a chamada ao fornecedor e devolver sugestões; não gera geometria</w:t>
            </w:r>
          </w:p>
        </w:tc>
      </w:tr>
      <w:tr>
        <w:tc>
          <w:tcPr>
            <w:tcW w:w="0" w:type="auto"/>
          </w:tcPr>
          <w:p>
            <w:pPr>
              <w:pStyle w:val="TextoNormal-IPCA"/>
              <w:jc w:val="left"/>
            </w:pPr>
            <w:r>
              <w:t>4</w:t>
            </w:r>
          </w:p>
        </w:tc>
        <w:tc>
          <w:tcPr>
            <w:tcW w:w="0" w:type="auto"/>
          </w:tcPr>
          <w:p>
            <w:pPr>
              <w:pStyle w:val="TextoNormal-IPCA"/>
              <w:jc w:val="left"/>
            </w:pPr>
            <w:r>
              <w:t>Web Worker</w:t>
            </w:r>
          </w:p>
        </w:tc>
        <w:tc>
          <w:tcPr>
            <w:tcW w:w="0" w:type="auto"/>
          </w:tcPr>
          <w:p>
            <w:pPr>
              <w:pStyle w:val="TextoNormal-IPCA"/>
              <w:jc w:val="left"/>
            </w:pPr>
            <w:r>
              <w:t>Código OpenSCAD e valores</w:t>
            </w:r>
          </w:p>
        </w:tc>
        <w:tc>
          <w:tcPr>
            <w:tcW w:w="0" w:type="auto"/>
          </w:tcPr>
          <w:p>
            <w:pPr>
              <w:pStyle w:val="TextoNormal-IPCA"/>
              <w:jc w:val="left"/>
            </w:pPr>
            <w:r>
              <w:t>Executar o cálculo fora da tarefa principal da interface</w:t>
            </w:r>
          </w:p>
        </w:tc>
      </w:tr>
      <w:tr>
        <w:tc>
          <w:tcPr>
            <w:tcW w:w="0" w:type="auto"/>
          </w:tcPr>
          <w:p>
            <w:pPr>
              <w:pStyle w:val="TextoNormal-IPCA"/>
              <w:jc w:val="left"/>
            </w:pPr>
            <w:r>
              <w:t>5</w:t>
            </w:r>
          </w:p>
        </w:tc>
        <w:tc>
          <w:tcPr>
            <w:tcW w:w="0" w:type="auto"/>
          </w:tcPr>
          <w:p>
            <w:pPr>
              <w:pStyle w:val="TextoNormal-IPCA"/>
              <w:jc w:val="left"/>
            </w:pPr>
            <w:r>
              <w:t>OpenSCAD em WebAssembly</w:t>
            </w:r>
          </w:p>
        </w:tc>
        <w:tc>
          <w:tcPr>
            <w:tcW w:w="0" w:type="auto"/>
          </w:tcPr>
          <w:p>
            <w:pPr>
              <w:pStyle w:val="TextoNormal-IPCA"/>
              <w:jc w:val="left"/>
            </w:pPr>
            <w:r>
              <w:t>Script e dependências; saída OFF, STL ou 3MF</w:t>
            </w:r>
          </w:p>
        </w:tc>
        <w:tc>
          <w:tcPr>
            <w:tcW w:w="0" w:type="auto"/>
          </w:tcPr>
          <w:p>
            <w:pPr>
              <w:pStyle w:val="TextoNormal-IPCA"/>
              <w:jc w:val="left"/>
            </w:pPr>
            <w:r>
              <w:t>Gerar a geometria no navegador segundo regras determinísticas</w:t>
            </w:r>
          </w:p>
        </w:tc>
      </w:tr>
      <w:tr>
        <w:tc>
          <w:tcPr>
            <w:tcW w:w="0" w:type="auto"/>
          </w:tcPr>
          <w:p>
            <w:pPr>
              <w:pStyle w:val="TextoNormal-IPCA"/>
              <w:jc w:val="left"/>
            </w:pPr>
            <w:r>
              <w:t>6</w:t>
            </w:r>
          </w:p>
        </w:tc>
        <w:tc>
          <w:tcPr>
            <w:tcW w:w="0" w:type="auto"/>
          </w:tcPr>
          <w:p>
            <w:pPr>
              <w:pStyle w:val="TextoNormal-IPCA"/>
              <w:jc w:val="left"/>
            </w:pPr>
            <w:r>
              <w:t xml:space="preserve">Conversão para GLB e </w:t>
            </w:r>
            <w:r>
              <w:t>model-viewer</w:t>
            </w:r>
          </w:p>
        </w:tc>
        <w:tc>
          <w:tcPr>
            <w:tcW w:w="0" w:type="auto"/>
          </w:tcPr>
          <w:p>
            <w:pPr>
              <w:pStyle w:val="TextoNormal-IPCA"/>
              <w:jc w:val="left"/>
            </w:pPr>
            <w:r>
              <w:t>Geometria OFF ou 3MF</w:t>
            </w:r>
          </w:p>
        </w:tc>
        <w:tc>
          <w:tcPr>
            <w:tcW w:w="0" w:type="auto"/>
          </w:tcPr>
          <w:p>
            <w:pPr>
              <w:pStyle w:val="TextoNormal-IPCA"/>
              <w:jc w:val="left"/>
            </w:pPr>
            <w:r>
              <w:t>Apresentar a pré-visualização tridimensional e as cores por peça</w:t>
            </w:r>
          </w:p>
        </w:tc>
      </w:tr>
      <w:tr>
        <w:tc>
          <w:tcPr>
            <w:tcW w:w="0" w:type="auto"/>
          </w:tcPr>
          <w:p>
            <w:pPr>
              <w:pStyle w:val="TextoNormal-IPCA"/>
              <w:jc w:val="left"/>
            </w:pPr>
            <w:r>
              <w:t>7</w:t>
            </w:r>
          </w:p>
        </w:tc>
        <w:tc>
          <w:tcPr>
            <w:tcW w:w="0" w:type="auto"/>
          </w:tcPr>
          <w:p>
            <w:pPr>
              <w:pStyle w:val="TextoNormal-IPCA"/>
              <w:jc w:val="left"/>
            </w:pPr>
            <w:r>
              <w:t>Exportação</w:t>
            </w:r>
          </w:p>
        </w:tc>
        <w:tc>
          <w:tcPr>
            <w:tcW w:w="0" w:type="auto"/>
          </w:tcPr>
          <w:p>
            <w:pPr>
              <w:pStyle w:val="TextoNormal-IPCA"/>
              <w:jc w:val="left"/>
            </w:pPr>
            <w:r>
              <w:t>Malha STL ou pacote 3MF</w:t>
            </w:r>
          </w:p>
        </w:tc>
        <w:tc>
          <w:tcPr>
            <w:tcW w:w="0" w:type="auto"/>
          </w:tcPr>
          <w:p>
            <w:pPr>
              <w:pStyle w:val="TextoNormal-IPCA"/>
              <w:jc w:val="left"/>
            </w:pPr>
            <w:r>
              <w:t>Assentar peças em Z=0, preservar milímetros no 3MF e disponibilizar ficheiros para preparação</w:t>
            </w:r>
          </w:p>
        </w:tc>
      </w:tr>
      <w:tr>
        <w:tc>
          <w:tcPr>
            <w:tcW w:w="0" w:type="auto"/>
          </w:tcPr>
          <w:p>
            <w:pPr>
              <w:pStyle w:val="TextoNormal-IPCA"/>
              <w:jc w:val="left"/>
            </w:pPr>
            <w:r>
              <w:t>8</w:t>
            </w:r>
          </w:p>
        </w:tc>
        <w:tc>
          <w:tcPr>
            <w:tcW w:w="0" w:type="auto"/>
          </w:tcPr>
          <w:p>
            <w:pPr>
              <w:pStyle w:val="TextoNormal-IPCA"/>
              <w:jc w:val="left"/>
            </w:pPr>
            <w:r>
              <w:t>Programa de preparação e impressora FFF</w:t>
            </w:r>
          </w:p>
        </w:tc>
        <w:tc>
          <w:tcPr>
            <w:tcW w:w="0" w:type="auto"/>
          </w:tcPr>
          <w:p>
            <w:pPr>
              <w:pStyle w:val="TextoNormal-IPCA"/>
              <w:jc w:val="left"/>
            </w:pPr>
            <w:r>
              <w:t>STL/3MF, perfil de impressão e filamento</w:t>
            </w:r>
          </w:p>
        </w:tc>
        <w:tc>
          <w:tcPr>
            <w:tcW w:w="0" w:type="auto"/>
          </w:tcPr>
          <w:p>
            <w:pPr>
              <w:pStyle w:val="TextoNormal-IPCA"/>
              <w:jc w:val="left"/>
            </w:pPr>
            <w:r>
              <w:t>Definir camadas, orientação, suportes e trajectórias; produzir o protótipo físico</w:t>
            </w:r>
          </w:p>
        </w:tc>
      </w:tr>
      <w:tr>
        <w:tc>
          <w:tcPr>
            <w:tcW w:w="0" w:type="auto"/>
          </w:tcPr>
          <w:p>
            <w:pPr>
              <w:pStyle w:val="TextoNormal-IPCA"/>
              <w:jc w:val="left"/>
            </w:pPr>
            <w:r>
              <w:t>9</w:t>
            </w:r>
          </w:p>
        </w:tc>
        <w:tc>
          <w:tcPr>
            <w:tcW w:w="0" w:type="auto"/>
          </w:tcPr>
          <w:p>
            <w:pPr>
              <w:pStyle w:val="TextoNormal-IPCA"/>
              <w:jc w:val="left"/>
            </w:pPr>
            <w:r>
              <w:t>Servidor Express e SQLite</w:t>
            </w:r>
          </w:p>
        </w:tc>
        <w:tc>
          <w:tcPr>
            <w:tcW w:w="0" w:type="auto"/>
          </w:tcPr>
          <w:p>
            <w:pPr>
              <w:pStyle w:val="TextoNormal-IPCA"/>
              <w:jc w:val="left"/>
            </w:pPr>
            <w:r>
              <w:t>Utilizadores, configurações e relações de acesso</w:t>
            </w:r>
          </w:p>
        </w:tc>
        <w:tc>
          <w:tcPr>
            <w:tcW w:w="0" w:type="auto"/>
          </w:tcPr>
          <w:p>
            <w:pPr>
              <w:pStyle w:val="TextoNormal-IPCA"/>
              <w:jc w:val="left"/>
            </w:pPr>
            <w:r>
              <w:t>Autenticar, aplicar permissões e guardar estados da configuração</w:t>
            </w:r>
          </w:p>
        </w:tc>
      </w:tr>
    </w:tbl>
    <w:p>
      <w:pPr>
        <w:pStyle w:val="TextoNormal-IPCA"/>
      </w:pPr>
      <w:r>
        <w:t>A Figura 5.2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pPr>
      <w:r>
        <w:drawing>
          <wp:inline distT="0" distB="0" distL="0" distR="0">
            <wp:extent cx="5579745" cy="3347847"/>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37"/>
                    <a:stretch>
                      <a:fillRect/>
                    </a:stretch>
                  </pic:blipFill>
                  <pic:spPr>
                    <a:xfrm>
                      <a:off x="0" y="0"/>
                      <a:ext cx="5579745" cy="3347847"/>
                    </a:xfrm>
                    <a:prstGeom prst="rect">
                      <a:avLst/>
                    </a:prstGeom>
                  </pic:spPr>
                </pic:pic>
              </a:graphicData>
            </a:graphic>
          </wp:inline>
        </w:drawing>
      </w:r>
    </w:p>
    <w:p>
      <w:pPr>
        <w:pStyle w:val="Legenda"/>
      </w:pPr>
      <w:r>
        <w:t>Figura 5.2 — Arquitectura da plataforma e fronteiras entre navegador, servidor, serviço externo de IA e preparação do fabrico.</w:t>
      </w:r>
    </w:p>
    <w:p>
      <w:pPr>
        <w:pStyle w:val="Nota-IPCA"/>
      </w:pPr>
      <w:r>
        <w:t>Fonte: produção própria.</w:t>
      </w:r>
    </w:p>
    <w:p>
      <w:pPr>
        <w:pStyle w:val="TextoNormal-IPCA"/>
      </w:pPr>
      <w:r>
        <w:t>A Figura 5.3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pPr>
      <w:r>
        <w:drawing>
          <wp:inline distT="0" distB="0" distL="0" distR="0">
            <wp:extent cx="5303520" cy="4607000"/>
            <wp:docPr id="34"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46"/>
                    <a:stretch>
                      <a:fillRect/>
                    </a:stretch>
                  </pic:blipFill>
                  <pic:spPr>
                    <a:xfrm>
                      <a:off x="0" y="0"/>
                      <a:ext cx="5303520" cy="4607000"/>
                    </a:xfrm>
                    <a:prstGeom prst="rect">
                      <a:avLst/>
                    </a:prstGeom>
                  </pic:spPr>
                </pic:pic>
              </a:graphicData>
            </a:graphic>
          </wp:inline>
        </w:drawing>
      </w:r>
    </w:p>
    <w:p>
      <w:pPr>
        <w:pStyle w:val="Legenda"/>
      </w:pPr>
      <w:r>
        <w:t>Figura 5.3 — Sequência de dados e decisões desde o perfil ou descrição até à sugestão, confirmação, geração determinística e exportação.</w:t>
      </w:r>
    </w:p>
    <w:p>
      <w:pPr>
        <w:pStyle w:val="Nota-IPCA"/>
      </w:pPr>
      <w:r>
        <w:t>Fonte: produção própria.</w:t>
      </w:r>
    </w:p>
    <w:p>
      <w:pPr>
        <w:pStyle w:val="TextoNormal-IPCA"/>
      </w:pPr>
      <w:r>
        <w:t>A Figura 5.4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pPr>
      <w:r>
        <w:drawing>
          <wp:inline distT="0" distB="0" distL="0" distR="0">
            <wp:extent cx="5579745" cy="3161855"/>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pic:nvPicPr>
                  <pic:blipFill>
                    <a:blip r:embed="rId38"/>
                    <a:stretch>
                      <a:fillRect/>
                    </a:stretch>
                  </pic:blipFill>
                  <pic:spPr>
                    <a:xfrm>
                      <a:off x="0" y="0"/>
                      <a:ext cx="5579745" cy="3161855"/>
                    </a:xfrm>
                    <a:prstGeom prst="rect">
                      <a:avLst/>
                    </a:prstGeom>
                  </pic:spPr>
                </pic:pic>
              </a:graphicData>
            </a:graphic>
          </wp:inline>
        </w:drawing>
      </w:r>
    </w:p>
    <w:p>
      <w:pPr>
        <w:pStyle w:val="Legenda"/>
      </w:pPr>
      <w:r>
        <w:t>Figura 5.4 — Fluxo geral de produção personalizada de próteses a partir de digitalização, CAD adaptativo e fabrico aditivo.</w:t>
      </w:r>
    </w:p>
    <w:p>
      <w:pPr>
        <w:pStyle w:val="Nota-IPCA"/>
      </w:pPr>
      <w: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pPr>
      <w: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pPr>
      <w: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pPr>
      <w:r>
        <w:t>No plano da segurança e do controlo de acesso, a arquitectura incorpora autenticação baseada em JSON Web Token (JWT), um mecanismo que permite verificar a identidade do utilizador através de credenciais digitais temporárias. A plataforma utiliza ainda tokens de actualização armazenados em cookies HttpOnly, isto é, cookies que não podem ser acedidos directamente por scripts executados no navegador, reduzindo a exposição a certos tipos de ataque. Estes mecanismos são complementados por validação de dados, limitação de pedidos e bloqueio explícito de ficheiros sensíveis.</w:t>
      </w:r>
    </w:p>
    <w:p>
      <w:pPr>
        <w:pStyle w:val="TextoNormal-IPCA"/>
      </w:pPr>
      <w:r>
        <w:t>Estes mecanismos integram o desenho do sistema, sobretudo num contexto em que múltiplos perfis de utilizador operam sobre configurações potencialmente sensíveis e a plataforma articula autonomia de uso com supervisão técnica. A literatura sobre interfaces de configuração em contexto protésico sublinha a importância de equilibrar participação, diferenciação de permissões e enquadramento seguro das operações críticas (Quintero et al., 2018; Bai et al., 2024). Neste sentido, a arquitectura estrutura os componentes segundo requisitos de personalização apoiada, gestão de vários utilizadores e evolução futura da plataforma.</w:t>
      </w:r>
    </w:p>
    <w:p>
      <w:pPr>
        <w:pStyle w:val="Cabealho2"/>
        <w:numPr>
          <w:ilvl w:val="1"/>
          <w:numId w:val="0"/>
        </w:numPr>
      </w:pPr>
      <w:r>
        <w:t>5.3 Integração OpenSCAD via WebAssembly (WASM)</w:t>
      </w:r>
    </w:p>
    <w:p>
      <w:pPr>
        <w:pStyle w:val="TextoNormal-IPCA"/>
      </w:pPr>
      <w: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directa.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Nilsiam &amp; Pearce, 2017).</w:t>
      </w:r>
    </w:p>
    <w:p>
      <w:pPr>
        <w:pStyle w:val="TextoNormal-IPCA"/>
      </w:pPr>
      <w:r>
        <w:t xml:space="preserve">Operacionalmente, a integração articula três elementos principais: os ficheiros </w:t>
      </w:r>
      <w:r>
        <w:t>.scad</w:t>
      </w:r>
      <w:r>
        <w:t>,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pPr>
      <w:r>
        <w:t>Do ponto de vista técnico, o uso de Web Workers é especialmente relevante porque impede que a renderização bloqueie a interface principal. Em modelos geometricamente mais exigentes, o cálculo pode ser intensivo; se fosse executado directamente na linha principal de execução do navegador, comprometeria a fluidez da interacção.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servidor. Esta decisão complementa a arquitectura híbrida descrita na secção anterior: o servidor conserva funções de autenticação, persistência e mediação com serviços externos, enquanto o navegador assume a computação geométrica directamente relacionada com a exploração paramétrica.</w:t>
      </w:r>
    </w:p>
    <w:p>
      <w:pPr>
        <w:pStyle w:val="TextoNormal-IPCA"/>
      </w:pPr>
      <w: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pPr>
      <w:r>
        <w:t>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O valor da solução reside, por isso, menos numa promessa de desempenho absoluto e mais na capacidade de tornar executável, em ambiente web, um núcleo paramétrico explícito, verificável e sujeito a revisão crítica.</w:t>
      </w:r>
    </w:p>
    <w:p>
      <w:pPr>
        <w:pStyle w:val="Cabealho2"/>
        <w:numPr>
          <w:ilvl w:val="1"/>
          <w:numId w:val="0"/>
        </w:numPr>
      </w:pPr>
      <w:r>
        <w:t>5.4 Estrutura funcional da plataforma</w:t>
      </w:r>
    </w:p>
    <w:p>
      <w:pPr>
        <w:pStyle w:val="TextoNormal-IPCA"/>
      </w:pPr>
      <w: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modular distribui as funcionalidades da plataforma e estrutura o processo como uma sequência clara de operações.</w:t>
      </w:r>
    </w:p>
    <w:p>
      <w:pPr>
        <w:pStyle w:val="TextoNormal-IPCA"/>
      </w:pPr>
      <w: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pPr>
      <w:r>
        <w:t>A Figura 5.5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TextoNormal-IPCA"/>
      </w:pPr>
      <w:r>
        <w:t>(Li &amp; Aflatoony, 2025).</w:t>
      </w:r>
    </w:p>
    <w:p>
      <w:pPr>
        <w:pStyle w:val="Normal"/>
        <w:jc w:val="center"/>
      </w:pPr>
      <w:r>
        <w:drawing>
          <wp:inline distT="0" distB="0" distL="0" distR="0">
            <wp:extent cx="5579745" cy="4547492"/>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r:embed="rId39"/>
                    <a:stretch>
                      <a:fillRect/>
                    </a:stretch>
                  </pic:blipFill>
                  <pic:spPr>
                    <a:xfrm>
                      <a:off x="0" y="0"/>
                      <a:ext cx="5579745" cy="4547492"/>
                    </a:xfrm>
                    <a:prstGeom prst="rect">
                      <a:avLst/>
                    </a:prstGeom>
                  </pic:spPr>
                </pic:pic>
              </a:graphicData>
            </a:graphic>
          </wp:inline>
        </w:drawing>
      </w:r>
    </w:p>
    <w:p>
      <w:pPr>
        <w:pStyle w:val="Legenda"/>
      </w:pPr>
      <w:r>
        <w:t>Figura 5.5 — Ferramenta paramétrica para configuração de ajudas técnicas com variação de dimensões, materiais e peso.</w:t>
      </w:r>
    </w:p>
    <w:p>
      <w:pPr>
        <w:pStyle w:val="Nota-IPCA"/>
      </w:pPr>
      <w: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t>O ponto de entrada do sistema é o módulo de selecção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selectores de valores dentro de intervalos definidos, caixas de selecção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TextoNormal-IPCA"/>
      </w:pPr>
      <w: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pPr>
      <w:r>
        <w:t>Esta arquitectura corrige uma fragilidade identificada numa versão anterior do sistema, em que o pedido à IA permanecia demasiado associado a um modelo já removido e podia induzir sugestões com nomes de parâmetros inexistentes. Ao ancorar a sugestão no esquema actual do modelo activo, a IA passa a operar sobre a mesma gramática paramétrica que a interface, os perfis antropométricos importados e o modelo OpenSCAD. Este módulo propõe pontos de partida compatíveis com o esquema e reduz a carga inicial de parametrização. A IA integra-se no fluxo como apoio à decisão, sob controlo humano, e não gera autonomamente a prótese.</w:t>
      </w:r>
    </w:p>
    <w:p>
      <w:pPr>
        <w:pStyle w:val="TextoNormal-IPCA"/>
      </w:pPr>
      <w: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pPr>
      <w: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pPr>
      <w:r>
        <w:t>Por fim, a plataforma inclui um módulo administrativo e de controlo de acesso que suporta a organização multi-utilizador. Este módulo assegura a criação de contas, a diferenciação de permissões, a atribuição de utilizadores a técnicos e a delimitação das acções acessíveis a cada perfil.</w:t>
      </w:r>
    </w:p>
    <w:p>
      <w:pPr>
        <w:pStyle w:val="TextoNormal-IPCA"/>
      </w:pPr>
      <w: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 enquadrando essa capacidade numa estrutura funcional mais ampla, em que configuração, supervisão e persistência coexistem como partes de um mesmo sistema operativo.</w:t>
      </w:r>
    </w:p>
    <w:p>
      <w:pPr>
        <w:pStyle w:val="TextoNormal-IPCA"/>
      </w:pPr>
      <w:r>
        <w:t xml:space="preserve">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desta dissertação abrangem os três primeiros; o Cyborg Beast foi integrado posteriormente e não entra nas tabelas comparativas. A reconstrução designada </w:t>
      </w:r>
      <w:r>
        <w:t>pec Phoenix hand</w:t>
      </w:r>
      <w:r>
        <w:t xml:space="preserve"> permanece como material de desenvolvimento no repositório e não está registada na plataforma. Esta distinção impede confundir biblioteca actual, conjunto avaliado e trabalhos exploratórios.</w:t>
      </w:r>
    </w:p>
    <w:p>
      <w:pPr>
        <w:pStyle w:val="Legenda"/>
      </w:pPr>
      <w:r>
        <w:t>Tabela 5.2 — Inventário consolidado dos modelos no fecho do estudo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1800"/>
        <w:gridCol w:w="1850"/>
        <w:gridCol w:w="1850"/>
        <w:gridCol w:w="2200"/>
      </w:tblGrid>
      <w:tr>
        <w:trPr>
          <w:tblHeader/>
        </w:trPr>
        <w:tc>
          <w:tcPr>
            <w:tcW w:w="1500" w:type="dxa"/>
          </w:tcPr>
          <w:p>
            <w:r>
              <w:rPr>
                <w:b/>
                <w:sz w:val="15"/>
                <w:szCs w:val="15"/>
              </w:rPr>
              <w:t>Modelo, versão e estado</w:t>
            </w:r>
          </w:p>
        </w:tc>
        <w:tc>
          <w:tcPr>
            <w:tcW w:w="1800" w:type="dxa"/>
          </w:tcPr>
          <w:p>
            <w:r>
              <w:rPr>
                <w:b/>
                <w:sz w:val="15"/>
                <w:szCs w:val="15"/>
              </w:rPr>
              <w:t>Origem e licença</w:t>
            </w:r>
          </w:p>
        </w:tc>
        <w:tc>
          <w:tcPr>
            <w:tcW w:w="1850" w:type="dxa"/>
          </w:tcPr>
          <w:p>
            <w:r>
              <w:rPr>
                <w:b/>
                <w:sz w:val="15"/>
                <w:szCs w:val="15"/>
              </w:rPr>
              <w:t>Parâmetros configuráveis</w:t>
            </w:r>
          </w:p>
        </w:tc>
        <w:tc>
          <w:tcPr>
            <w:tcW w:w="1850" w:type="dxa"/>
          </w:tcPr>
          <w:p>
            <w:r>
              <w:rPr>
                <w:b/>
                <w:sz w:val="15"/>
                <w:szCs w:val="15"/>
              </w:rPr>
              <w:t>Mecanismo de escala implementado</w:t>
            </w:r>
          </w:p>
        </w:tc>
        <w:tc>
          <w:tcPr>
            <w:tcW w:w="2200" w:type="dxa"/>
          </w:tcPr>
          <w:p>
            <w:r>
              <w:rPr>
                <w:b/>
                <w:sz w:val="15"/>
                <w:szCs w:val="15"/>
              </w:rPr>
              <w:t>Ensaios e evidência no estudo</w:t>
            </w:r>
          </w:p>
        </w:tc>
      </w:tr>
      <w:tr>
        <w:tc>
          <w:tcPr>
            <w:tcW w:w="1500" w:type="dxa"/>
          </w:tcPr>
          <w:p>
            <w:r>
              <w:rPr>
                <w:sz w:val="15"/>
                <w:szCs w:val="15"/>
              </w:rPr>
              <w:t>Flexy Beast; plataforma 14.67.0; activo</w:t>
            </w:r>
          </w:p>
        </w:tc>
        <w:tc>
          <w:tcPr>
            <w:tcW w:w="1800" w:type="dxa"/>
          </w:tcPr>
          <w:p>
            <w:r>
              <w:t>Adaptação do Flexy-Beast de daprice, combinação do Parametric Cyborg Beast e do Flexy Hand; CC BY-SA 4.0, indicada no ficheiro-fonte</w:t>
            </w:r>
          </w:p>
        </w:tc>
        <w:tc>
          <w:tcPr>
            <w:tcW w:w="1850" w:type="dxa"/>
          </w:tcPr>
          <w:p>
            <w:r>
              <w:rPr>
                <w:sz w:val="15"/>
                <w:szCs w:val="15"/>
              </w:rPr>
              <w:t>51 declarações; 15 numéricas: palma, dedos, articulações, braçadeira e pino</w:t>
            </w:r>
          </w:p>
        </w:tc>
        <w:tc>
          <w:tcPr>
            <w:tcW w:w="1850" w:type="dxa"/>
          </w:tcPr>
          <w:p>
            <w:r>
              <w:rPr>
                <w:sz w:val="15"/>
                <w:szCs w:val="15"/>
              </w:rPr>
              <w:t>(largura da palma + 5) / 55; dedos independentes</w:t>
            </w:r>
          </w:p>
        </w:tc>
        <w:tc>
          <w:tcPr>
            <w:tcW w:w="2200" w:type="dxa"/>
          </w:tcPr>
          <w:p>
            <w:r>
              <w:rPr>
                <w:sz w:val="15"/>
                <w:szCs w:val="15"/>
              </w:rPr>
              <w:t>Dimensional, IA, exportação, malha, projecto Bambu A1 e série física</w:t>
            </w:r>
          </w:p>
        </w:tc>
      </w:tr>
      <w:tr>
        <w:tc>
          <w:tcPr>
            <w:tcW w:w="1500" w:type="dxa"/>
          </w:tcPr>
          <w:p>
            <w:r>
              <w:rPr>
                <w:sz w:val="15"/>
                <w:szCs w:val="15"/>
              </w:rPr>
              <w:t>Paraglider/Flexible Flyer; plataforma 14.67.0; activo</w:t>
            </w:r>
          </w:p>
        </w:tc>
        <w:tc>
          <w:tcPr>
            <w:tcW w:w="1800" w:type="dxa"/>
          </w:tcPr>
          <w:p>
            <w:r>
              <w:rPr>
                <w:sz w:val="15"/>
                <w:szCs w:val="15"/>
              </w:rPr>
              <w:t>M. Mendenhall (2020), CC BY-SA 4.0; dependências CC BY 3.0 e CC BY-NC-SA 4.0</w:t>
            </w:r>
          </w:p>
        </w:tc>
        <w:tc>
          <w:tcPr>
            <w:tcW w:w="1850" w:type="dxa"/>
          </w:tcPr>
          <w:p>
            <w:r>
              <w:rPr>
                <w:sz w:val="15"/>
                <w:szCs w:val="15"/>
              </w:rPr>
              <w:t>42 declarações; 15 numéricas: palma, dedos, canais e braço</w:t>
            </w:r>
          </w:p>
        </w:tc>
        <w:tc>
          <w:tcPr>
            <w:tcW w:w="1850" w:type="dxa"/>
          </w:tcPr>
          <w:p>
            <w:r>
              <w:rPr>
                <w:sz w:val="15"/>
                <w:szCs w:val="15"/>
              </w:rPr>
              <w:t>Palma uniforme para preservar furos; dedos independentes</w:t>
            </w:r>
          </w:p>
        </w:tc>
        <w:tc>
          <w:tcPr>
            <w:tcW w:w="2200" w:type="dxa"/>
          </w:tcPr>
          <w:p>
            <w:r>
              <w:rPr>
                <w:sz w:val="15"/>
                <w:szCs w:val="15"/>
              </w:rPr>
              <w:t>Dimensional, IA, exportação, malha, projecto Prusa MINI e série física</w:t>
            </w:r>
          </w:p>
        </w:tc>
      </w:tr>
      <w:tr>
        <w:tc>
          <w:tcPr>
            <w:tcW w:w="1500" w:type="dxa"/>
          </w:tcPr>
          <w:p>
            <w:r>
              <w:rPr>
                <w:sz w:val="15"/>
                <w:szCs w:val="15"/>
              </w:rPr>
              <w:t>UnLimbited Phoenix V1.0; plataforma 14.67.0; activo</w:t>
            </w:r>
          </w:p>
        </w:tc>
        <w:tc>
          <w:tcPr>
            <w:tcW w:w="1800" w:type="dxa"/>
          </w:tcPr>
          <w:p>
            <w:r>
              <w:rPr>
                <w:sz w:val="15"/>
                <w:szCs w:val="15"/>
              </w:rPr>
              <w:t>UnLimbited/e-NABLE; CC BY-NC-SA 4.0</w:t>
            </w:r>
          </w:p>
        </w:tc>
        <w:tc>
          <w:tcPr>
            <w:tcW w:w="1850" w:type="dxa"/>
          </w:tcPr>
          <w:p>
            <w:r>
              <w:rPr>
                <w:sz w:val="15"/>
                <w:szCs w:val="15"/>
              </w:rPr>
              <w:t>31 declarações; 12 numéricas: palma, escala e segmentos digitais</w:t>
            </w:r>
          </w:p>
        </w:tc>
        <w:tc>
          <w:tcPr>
            <w:tcW w:w="1850" w:type="dxa"/>
          </w:tcPr>
          <w:p>
            <w:r>
              <w:rPr>
                <w:sz w:val="15"/>
                <w:szCs w:val="15"/>
              </w:rPr>
              <w:t>Referência de 82 mm; escala uniforme limitada a 100%–160%</w:t>
            </w:r>
          </w:p>
        </w:tc>
        <w:tc>
          <w:tcPr>
            <w:tcW w:w="2200" w:type="dxa"/>
          </w:tcPr>
          <w:p>
            <w:r>
              <w:rPr>
                <w:sz w:val="15"/>
                <w:szCs w:val="15"/>
              </w:rPr>
              <w:t>Dimensional, IA, exportação, malha e projecto Bambu A1</w:t>
            </w:r>
          </w:p>
        </w:tc>
      </w:tr>
      <w:tr>
        <w:tc>
          <w:tcPr>
            <w:tcW w:w="1500" w:type="dxa"/>
          </w:tcPr>
          <w:p>
            <w:r>
              <w:rPr>
                <w:sz w:val="15"/>
                <w:szCs w:val="15"/>
              </w:rPr>
              <w:t>Cyborg Beast; plataforma 14.67.0; activo</w:t>
            </w:r>
          </w:p>
        </w:tc>
        <w:tc>
          <w:tcPr>
            <w:tcW w:w="1800" w:type="dxa"/>
          </w:tcPr>
          <w:p>
            <w:r>
              <w:rPr>
                <w:sz w:val="15"/>
                <w:szCs w:val="15"/>
              </w:rPr>
              <w:t>MakerBlock/e-NABLE; licença não explicitada no pacote local</w:t>
            </w:r>
          </w:p>
        </w:tc>
        <w:tc>
          <w:tcPr>
            <w:tcW w:w="1850" w:type="dxa"/>
          </w:tcPr>
          <w:p>
            <w:r>
              <w:rPr>
                <w:sz w:val="15"/>
                <w:szCs w:val="15"/>
              </w:rPr>
              <w:t>50 declarações; 17 numéricas: palma, dedos, punho, braçadeira e pino</w:t>
            </w:r>
          </w:p>
        </w:tc>
        <w:tc>
          <w:tcPr>
            <w:tcW w:w="1850" w:type="dxa"/>
          </w:tcPr>
          <w:p>
            <w:r>
              <w:rPr>
                <w:sz w:val="15"/>
                <w:szCs w:val="15"/>
              </w:rPr>
              <w:t>(largura da palma + 5) / 55; segmentos digitais independentes</w:t>
            </w:r>
          </w:p>
        </w:tc>
        <w:tc>
          <w:tcPr>
            <w:tcW w:w="2200" w:type="dxa"/>
          </w:tcPr>
          <w:p>
            <w:r>
              <w:rPr>
                <w:sz w:val="15"/>
                <w:szCs w:val="15"/>
              </w:rPr>
              <w:t>Integração e renderização; excluído da comparação e das séries físicas</w:t>
            </w:r>
          </w:p>
        </w:tc>
      </w:tr>
      <w:tr>
        <w:tc>
          <w:tcPr>
            <w:tcW w:w="1500" w:type="dxa"/>
          </w:tcPr>
          <w:p>
            <w:r>
              <w:rPr>
                <w:sz w:val="15"/>
                <w:szCs w:val="15"/>
              </w:rPr>
              <w:t>pec Phoenix hand; desenvolvimento; não registado</w:t>
            </w:r>
          </w:p>
        </w:tc>
        <w:tc>
          <w:tcPr>
            <w:tcW w:w="1800" w:type="dxa"/>
          </w:tcPr>
          <w:p>
            <w:r>
              <w:rPr>
                <w:sz w:val="15"/>
                <w:szCs w:val="15"/>
              </w:rPr>
              <w:t>Reconstrução baseada na linhagem Phoenix; licença do derivado não formalizada</w:t>
            </w:r>
          </w:p>
        </w:tc>
        <w:tc>
          <w:tcPr>
            <w:tcW w:w="1850" w:type="dxa"/>
          </w:tcPr>
          <w:p>
            <w:r>
              <w:rPr>
                <w:sz w:val="15"/>
                <w:szCs w:val="15"/>
              </w:rPr>
              <w:t>Sem contrato consolidado em models-config.json</w:t>
            </w:r>
          </w:p>
        </w:tc>
        <w:tc>
          <w:tcPr>
            <w:tcW w:w="1850" w:type="dxa"/>
          </w:tcPr>
          <w:p>
            <w:r>
              <w:rPr>
                <w:sz w:val="15"/>
                <w:szCs w:val="15"/>
              </w:rPr>
              <w:t>Mecanismo não estabilizado na configuração comum</w:t>
            </w:r>
          </w:p>
        </w:tc>
        <w:tc>
          <w:tcPr>
            <w:tcW w:w="2200" w:type="dxa"/>
          </w:tcPr>
          <w:p>
            <w:r>
              <w:rPr>
                <w:sz w:val="15"/>
                <w:szCs w:val="15"/>
              </w:rPr>
              <w:t>Material exploratório; excluído dos ensaios comparativos</w:t>
            </w:r>
          </w:p>
        </w:tc>
      </w:tr>
    </w:tbl>
    <w:p>
      <w:pPr>
        <w:pStyle w:val="TextoNormal-IPCA"/>
      </w:pPr>
      <w: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pPr>
      <w:r>
        <w:t>As contagens referem-se às declarações presentes em models/models-config.json no estado versionado da plataforma 14.67.0. O total inclui selectores, opções de visualização e controlos não geométricos; a contagem numérica identifica os campos do tipo number, sem pressupor que todos representam medidas antropométricas. A ausência de licença explícita no pacote local do Cyborg Beast é registada como lacuna documental e não como afirmação de inexistência de licença na fonte original.</w:t>
      </w:r>
    </w:p>
    <w:p>
      <w:pPr>
        <w:pStyle w:val="TextoNormal-IPCA"/>
      </w:pPr>
      <w: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pPr>
      <w: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pPr>
      <w: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Cabealho2"/>
        <w:numPr>
          <w:ilvl w:val="1"/>
          <w:numId w:val="0"/>
        </w:numPr>
      </w:pPr>
      <w:r>
        <w:t>5.5 Gestão de parâmetros, versões e expansão</w:t>
      </w:r>
    </w:p>
    <w:p>
      <w:pPr>
        <w:pStyle w:val="TextoNormal-IPCA"/>
      </w:pPr>
      <w: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formaliza a relação entre o código OpenSCAD, o espaço de alteração permitido e os mecanismos de controlo disponibilizados ao utilizador. Em termos metodológicos, esta opção aproxima-se da lógica descrita na literatura sobre configuradores e personalização digital, segundo a qual a eficácia do sistema depende da capacidade de expor parâmetros relevantes dentro de limites claros e controlados, preservando a coerência interna do modelo-base (Ozdemir et al., 2022; Lei et al., 2016).</w:t>
      </w:r>
    </w:p>
    <w:p>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pPr>
      <w: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pPr>
      <w: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pPr>
      <w:r>
        <w:t>Quanto à capacidade de expansão, a plataforma beneficia de uma arquitectura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Ozdemir et al., 2022).</w:t>
      </w:r>
    </w:p>
    <w:p>
      <w:pPr>
        <w:pStyle w:val="TextoNormal-IPCA"/>
      </w:pPr>
      <w:r>
        <w:t>Todavia, esta lógica de expansão deve ser analisada criticamente.</w:t>
      </w:r>
    </w:p>
    <w:p>
      <w:pPr>
        <w:pStyle w:val="TextoNormal-IPCA"/>
      </w:pPr>
      <w:r>
        <w:t>O recurso ao SQLite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registo e sincronização.</w:t>
      </w:r>
    </w:p>
    <w:p>
      <w:pPr>
        <w:pStyle w:val="TextoNormal-IPCA"/>
      </w:pPr>
      <w:r>
        <w:t>De forma semelhante, a renderização local através de WASM depende do desempenho do dispositivo do utilizador, o que pode originar diferenças na experiência e limita a complexidade geométrica. A expansão da plataforma depende da capacidade de integrar novas funções e modelos sem comprometer a clareza da organização interna, o desempenho, a segurança e a facilidade de manutenção.</w:t>
      </w:r>
    </w:p>
    <w:p>
      <w:pPr>
        <w:pStyle w:val="TextoNormal-IPCA"/>
      </w:pPr>
      <w:r>
        <w:t>Neste sentido, a secção confirma uma conclusão importante para o projecto: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Cabealho1"/>
        <w:pageBreakBefore/>
        <w:numPr>
          <w:ilvl w:val="0"/>
          <w:numId w:val="0"/>
        </w:numPr>
      </w:pPr>
      <w:r>
        <w:t>Capítulo 6 — Integração da Inteligência Artificial</w:t>
      </w:r>
    </w:p>
    <w:p>
      <w:pPr>
        <w:pStyle w:val="Cabealho2"/>
        <w:numPr>
          <w:ilvl w:val="1"/>
          <w:numId w:val="0"/>
        </w:numPr>
      </w:pPr>
      <w:r>
        <w:t>6.1 Papel da IA no sistema proposto</w:t>
      </w:r>
    </w:p>
    <w:p>
      <w:pPr>
        <w:pStyle w:val="TextoNormal-IPCA"/>
      </w:pPr>
      <w: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pPr>
      <w: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pPr>
      <w: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pPr>
      <w: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pPr>
      <w: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Cabealho2"/>
        <w:numPr>
          <w:ilvl w:val="1"/>
          <w:numId w:val="0"/>
        </w:numPr>
      </w:pPr>
      <w:r>
        <w:t>6.2 IA na parametrização, personalização e apoio à decisão</w:t>
      </w:r>
    </w:p>
    <w:p>
      <w:pPr>
        <w:pStyle w:val="TextoNormal-IPCA"/>
      </w:pPr>
      <w: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pPr>
      <w: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pPr>
      <w: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pPr>
      <w: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pPr>
      <w: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pPr>
      <w: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Legenda"/>
      </w:pPr>
      <w:r>
        <w:t>Tabela 6.1 — Especificação técnica dos modelos de IA e do contrato de sugestão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Elemento</w:t>
            </w:r>
          </w:p>
        </w:tc>
        <w:tc>
          <w:tcPr>
            <w:tcW w:w="0" w:type="auto"/>
          </w:tcPr>
          <w:p>
            <w:r>
              <w:rPr>
                <w:b/>
              </w:rPr>
              <w:t>Especificação no protótipo</w:t>
            </w:r>
          </w:p>
        </w:tc>
      </w:tr>
      <w:tr>
        <w:trPr>
          <w:cantSplit/>
        </w:trPr>
        <w:tc>
          <w:tcPr>
            <w:tcW w:w="0" w:type="auto"/>
          </w:tcPr>
          <w:p>
            <w:r>
              <w:t>Função da IA</w:t>
            </w:r>
          </w:p>
        </w:tc>
        <w:tc>
          <w:tcPr>
            <w:tcW w:w="0" w:type="auto"/>
          </w:tcPr>
          <w:p>
            <w:r>
              <w:t>Sugestão inicial de parâmetros antropométricos e geométricos a partir de descrições em linguagem natural; não gera autonomamente a geometria final nem valida clinicamente a prótese.</w:t>
            </w:r>
          </w:p>
        </w:tc>
      </w:tr>
      <w:tr>
        <w:trPr>
          <w:cantSplit/>
        </w:trPr>
        <w:tc>
          <w:tcPr>
            <w:tcW w:w="0" w:type="auto"/>
          </w:tcPr>
          <w:p>
            <w:r>
              <w:t>Ponto de integração</w:t>
            </w:r>
          </w:p>
        </w:tc>
        <w:tc>
          <w:tcPr>
            <w:tcW w:w="0" w:type="auto"/>
          </w:tcPr>
          <w:p>
            <w:r>
              <w:t>POST /api/ai/suggest, através de chamada autenticada e limitada por frequência, com as chaves de API mantidas no servidor.</w:t>
            </w:r>
          </w:p>
        </w:tc>
      </w:tr>
      <w:tr>
        <w:trPr>
          <w:cantSplit/>
        </w:trPr>
        <w:tc>
          <w:tcPr>
            <w:tcW w:w="0" w:type="auto"/>
          </w:tcPr>
          <w:p>
            <w:r>
              <w:t>Fornecedor e modelo usados na avaliação inicial</w:t>
            </w:r>
          </w:p>
        </w:tc>
        <w:tc>
          <w:tcPr>
            <w:tcW w:w="0" w:type="auto"/>
          </w:tcPr>
          <w:p>
            <w:r>
              <w:t>Anthropic, com o modelo claude-sonnet-4-6, definido como opção predefinida no servidor do protótipo.</w:t>
            </w:r>
          </w:p>
        </w:tc>
      </w:tr>
      <w:tr>
        <w:trPr>
          <w:cantSplit/>
        </w:trPr>
        <w:tc>
          <w:tcPr>
            <w:tcW w:w="0" w:type="auto"/>
          </w:tcPr>
          <w:p>
            <w:r>
              <w:t>Modelo alternativo disponibilizado</w:t>
            </w:r>
          </w:p>
        </w:tc>
        <w:tc>
          <w:tcPr>
            <w:tcW w:w="0" w:type="auto"/>
          </w:tcPr>
          <w:p>
            <w:r>
              <w:t>OpenAI, com o modelo gpt-4, acessível através do mesmo percurso de sugestão paramétrica.</w:t>
            </w:r>
          </w:p>
        </w:tc>
      </w:tr>
      <w:tr>
        <w:trPr>
          <w:cantSplit/>
        </w:trPr>
        <w:tc>
          <w:tcPr>
            <w:tcW w:w="0" w:type="auto"/>
          </w:tcPr>
          <w:p>
            <w:r>
              <w:t>Selecção do fornecedor</w:t>
            </w:r>
          </w:p>
        </w:tc>
        <w:tc>
          <w:tcPr>
            <w:tcW w:w="0" w:type="auto"/>
          </w:tcPr>
          <w:p>
            <w:r>
              <w:t>A interface permite escolher entre Anthropic (Claude) e OpenAI (GPT-4); o pedido enviado ao servidor identifica o fornecedor.</w:t>
            </w:r>
          </w:p>
        </w:tc>
      </w:tr>
      <w:tr>
        <w:trPr>
          <w:cantSplit/>
        </w:trPr>
        <w:tc>
          <w:tcPr>
            <w:tcW w:w="0" w:type="auto"/>
          </w:tcPr>
          <w:p>
            <w:r>
              <w:t>Condições da chamada avaliada</w:t>
            </w:r>
          </w:p>
        </w:tc>
        <w:tc>
          <w:tcPr>
            <w:tcW w:w="0" w:type="auto"/>
          </w:tcPr>
          <w:p>
            <w:r>
              <w:t>Máximo de 1024 tokens; o código não fixa a temperatura na chamada ao claude-sonnet-4-6. O percurso OpenAI fixa temperatura de 0,7, mas não integra a avaliação reportada.</w:t>
            </w:r>
          </w:p>
        </w:tc>
      </w:tr>
      <w:tr>
        <w:trPr>
          <w:cantSplit/>
        </w:trPr>
        <w:tc>
          <w:tcPr>
            <w:tcW w:w="0" w:type="auto"/>
          </w:tcPr>
          <w:p>
            <w:r>
              <w:t>Contrato de resposta</w:t>
            </w:r>
          </w:p>
        </w:tc>
        <w:tc>
          <w:tcPr>
            <w:tcW w:w="0" w:type="auto"/>
          </w:tcPr>
          <w:p>
            <w:r>
              <w:t>Objecto JSON simples no formato parâmetro–valor. A lateralidade é ignorada e os campos desconhecidos não são aplicados. Os testes revelaram que a verificação de tipos e intervalos ainda não é uniforme em todas as entradas.</w:t>
            </w:r>
          </w:p>
        </w:tc>
      </w:tr>
      <w:tr>
        <w:trPr>
          <w:cantSplit/>
        </w:trPr>
        <w:tc>
          <w:tcPr>
            <w:tcW w:w="0" w:type="auto"/>
          </w:tcPr>
          <w:p>
            <w:r>
              <w:t>Enquadramento dos dados</w:t>
            </w:r>
          </w:p>
        </w:tc>
        <w:tc>
          <w:tcPr>
            <w:tcW w:w="0" w:type="auto"/>
          </w:tcPr>
          <w:p>
            <w:r>
              <w:t>O pedido inclui o esquema do modelo, limites mínimos e máximos, valores correntes, legendas dos parâmetros e, quando disponível, médias de perfis antropométricos populacionais.</w:t>
            </w:r>
          </w:p>
        </w:tc>
      </w:tr>
      <w:tr>
        <w:trPr>
          <w:cantSplit/>
        </w:trPr>
        <w:tc>
          <w:tcPr>
            <w:tcW w:w="0" w:type="auto"/>
          </w:tcPr>
          <w:p>
            <w:r>
              <w:t>Versões examinadas</w:t>
            </w:r>
          </w:p>
        </w:tc>
        <w:tc>
          <w:tcPr>
            <w:tcW w:w="0" w:type="auto"/>
          </w:tcPr>
          <w:p>
            <w:r>
              <w:t>A avaliação inicial incidiu sobre a versão 14.67.0. A campanha complementar de controlo da interface e das entradas foi executada na versão 14.69.0.</w:t>
            </w:r>
          </w:p>
        </w:tc>
      </w:tr>
      <w:tr>
        <w:trPr>
          <w:cantSplit/>
        </w:trPr>
        <w:tc>
          <w:tcPr>
            <w:tcW w:w="0" w:type="auto"/>
          </w:tcPr>
          <w:p>
            <w:r>
              <w:t>Modelos CAD abrangidos</w:t>
            </w:r>
          </w:p>
        </w:tc>
        <w:tc>
          <w:tcPr>
            <w:tcW w:w="0" w:type="auto"/>
          </w:tcPr>
          <w:p>
            <w:r>
              <w:t>Flexy Beast, Paraglider Hand, UnLimbited Phoenix e Cyborg Beast estavam registados; a avaliação dimensional e de geração repetida abrangeu os três primeiros.</w:t>
            </w:r>
          </w:p>
        </w:tc>
      </w:tr>
    </w:tbl>
    <w:p>
      <w:pPr>
        <w:pStyle w:val="TextoNormal-IPCA"/>
      </w:pPr>
      <w: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Cabealho2"/>
        <w:numPr>
          <w:ilvl w:val="1"/>
          <w:numId w:val="0"/>
        </w:numPr>
      </w:pPr>
      <w:r>
        <w:t>6.3 Avaliação das sugestões paramétricas apoiadas por IA</w:t>
      </w:r>
    </w:p>
    <w:p>
      <w:pPr>
        <w:pStyle w:val="TextoNormal-IPCA"/>
      </w:pPr>
      <w: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pPr>
      <w:r>
        <w:t>O protocolo executado em 28 e 29 de Junho de 2026 usou o fornecedor Anthropic e o modelo claude-sonnet-4-6.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Foram conservados o modelo utilizado, as condições da chamada, as entradas, as saídas e as decisões de correcção relevantes.</w:t>
      </w:r>
    </w:p>
    <w:p>
      <w:pPr>
        <w:pStyle w:val="TextoNormal-IPCA"/>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pPr>
      <w: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pPr>
      <w:r>
        <w:t>Em 14 de Julho de 2026 foi executada uma campanha complementar com respostas de IA simuladas e previamente controladas. Esta campanha não contactou um modelo de linguagem e, por isso, não mede variabilidade, repetibilidade ou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pPr>
      <w:r>
        <w:t>A cadeia contém operações determinísticas e uma operação gerada por modelo de linguagem. A distinção é sintetizada na Tabela 6.2.</w:t>
      </w:r>
    </w:p>
    <w:p>
      <w:pPr>
        <w:pStyle w:val="Legenda"/>
      </w:pPr>
      <w:r>
        <w:t>Tabela 6.2 — Distribuição de tarefas entre regras, IA e supervisão humana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Tarefa</w:t>
            </w:r>
          </w:p>
        </w:tc>
        <w:tc>
          <w:tcPr>
            <w:tcW w:w="0" w:type="auto"/>
          </w:tcPr>
          <w:p>
            <w:r>
              <w:rPr>
                <w:b/>
              </w:rPr>
              <w:t>Mecanismo</w:t>
            </w:r>
          </w:p>
        </w:tc>
        <w:tc>
          <w:tcPr>
            <w:tcW w:w="0" w:type="auto"/>
          </w:tcPr>
          <w:p>
            <w:r>
              <w:rPr>
                <w:b/>
              </w:rPr>
              <w:t>Resultado</w:t>
            </w:r>
          </w:p>
        </w:tc>
      </w:tr>
      <w:tr>
        <w:trPr>
          <w:cantSplit/>
        </w:trPr>
        <w:tc>
          <w:tcPr>
            <w:tcW w:w="0" w:type="auto"/>
          </w:tcPr>
          <w:p>
            <w:r>
              <w:t>Identificar sexo e idade explícitos</w:t>
            </w:r>
          </w:p>
        </w:tc>
        <w:tc>
          <w:tcPr>
            <w:tcW w:w="0" w:type="auto"/>
          </w:tcPr>
          <w:p>
            <w:r>
              <w:t>Analisador de texto e, quando faltam campos, extracção opcional por claude-haiku-4-5-20251001 a temperatura 0</w:t>
            </w:r>
          </w:p>
        </w:tc>
        <w:tc>
          <w:tcPr>
            <w:tcW w:w="0" w:type="auto"/>
          </w:tcPr>
          <w:p>
            <w:r>
              <w:t>Atributos para procurar uma referência populacional</w:t>
            </w:r>
          </w:p>
        </w:tc>
      </w:tr>
      <w:tr>
        <w:trPr>
          <w:cantSplit/>
        </w:trPr>
        <w:tc>
          <w:tcPr>
            <w:tcW w:w="0" w:type="auto"/>
          </w:tcPr>
          <w:p>
            <w:r>
              <w:t>Escolher o perfil disponível mais próximo</w:t>
            </w:r>
          </w:p>
        </w:tc>
        <w:tc>
          <w:tcPr>
            <w:tcW w:w="0" w:type="auto"/>
          </w:tcPr>
          <w:p>
            <w:r>
              <w:t>Pontuação por sexo, grupo etário, idade e país, com critérios secundários de qualidade</w:t>
            </w:r>
          </w:p>
        </w:tc>
        <w:tc>
          <w:tcPr>
            <w:tcW w:w="0" w:type="auto"/>
          </w:tcPr>
          <w:p>
            <w:r>
              <w:t>Referência quantitativa; não corresponde a diagnóstico nem a correspondência nacional garantida</w:t>
            </w:r>
          </w:p>
        </w:tc>
      </w:tr>
      <w:tr>
        <w:trPr>
          <w:cantSplit/>
        </w:trPr>
        <w:tc>
          <w:tcPr>
            <w:tcW w:w="0" w:type="auto"/>
          </w:tcPr>
          <w:p>
            <w:r>
              <w:t>Sugerir campos em falta</w:t>
            </w:r>
          </w:p>
        </w:tc>
        <w:tc>
          <w:tcPr>
            <w:tcW w:w="0" w:type="auto"/>
          </w:tcPr>
          <w:p>
            <w:r>
              <w:t>claude-sonnet-4-6</w:t>
            </w:r>
          </w:p>
        </w:tc>
        <w:tc>
          <w:tcPr>
            <w:tcW w:w="0" w:type="auto"/>
          </w:tcPr>
          <w:p>
            <w:r>
              <w:t>Ponto de partida sujeito a alterações entre execuções</w:t>
            </w:r>
          </w:p>
        </w:tc>
      </w:tr>
      <w:tr>
        <w:trPr>
          <w:cantSplit/>
        </w:trPr>
        <w:tc>
          <w:tcPr>
            <w:tcW w:w="0" w:type="auto"/>
          </w:tcPr>
          <w:p>
            <w:r>
              <w:t>Declarar tipos e limites</w:t>
            </w:r>
          </w:p>
        </w:tc>
        <w:tc>
          <w:tcPr>
            <w:tcW w:w="0" w:type="auto"/>
          </w:tcPr>
          <w:p>
            <w:r>
              <w:t>Ficheiro de configuração do modelo</w:t>
            </w:r>
          </w:p>
        </w:tc>
        <w:tc>
          <w:tcPr>
            <w:tcW w:w="0" w:type="auto"/>
          </w:tcPr>
          <w:p>
            <w:r>
              <w:t>Intervalos e tipos disponíveis para a interface, para o pedido e para a verificação</w:t>
            </w:r>
          </w:p>
        </w:tc>
      </w:tr>
      <w:tr>
        <w:trPr>
          <w:cantSplit/>
        </w:trPr>
        <w:tc>
          <w:tcPr>
            <w:tcW w:w="0" w:type="auto"/>
          </w:tcPr>
          <w:p>
            <w:r>
              <w:t>Verificar a resposta antes da aplicação</w:t>
            </w:r>
          </w:p>
        </w:tc>
        <w:tc>
          <w:tcPr>
            <w:tcW w:w="0" w:type="auto"/>
          </w:tcPr>
          <w:p>
            <w:r>
              <w:t>Interpretação do JSON e confronto com o modelo activo</w:t>
            </w:r>
          </w:p>
        </w:tc>
        <w:tc>
          <w:tcPr>
            <w:tcW w:w="0" w:type="auto"/>
          </w:tcPr>
          <w:p>
            <w:r>
              <w:t>Campos desconhecidos e lateralidade excluídos; controlo de tipos e intervalos ainda incompleto na versão avaliada</w:t>
            </w:r>
          </w:p>
        </w:tc>
      </w:tr>
      <w:tr>
        <w:trPr>
          <w:cantSplit/>
        </w:trPr>
        <w:tc>
          <w:tcPr>
            <w:tcW w:w="0" w:type="auto"/>
          </w:tcPr>
          <w:p>
            <w:r>
              <w:t>Definir lateralidade</w:t>
            </w:r>
          </w:p>
        </w:tc>
        <w:tc>
          <w:tcPr>
            <w:tcW w:w="0" w:type="auto"/>
          </w:tcPr>
          <w:p>
            <w:r>
              <w:t>Controlo da interface com a função laterality</w:t>
            </w:r>
          </w:p>
        </w:tc>
        <w:tc>
          <w:tcPr>
            <w:tcW w:w="0" w:type="auto"/>
          </w:tcPr>
          <w:p>
            <w:r>
              <w:t>Escolha fixa excluída das sugestões</w:t>
            </w:r>
          </w:p>
        </w:tc>
      </w:tr>
      <w:tr>
        <w:trPr>
          <w:cantSplit/>
        </w:trPr>
        <w:tc>
          <w:tcPr>
            <w:tcW w:w="0" w:type="auto"/>
          </w:tcPr>
          <w:p>
            <w:r>
              <w:t>Gerar a geometria</w:t>
            </w:r>
          </w:p>
        </w:tc>
        <w:tc>
          <w:tcPr>
            <w:tcW w:w="0" w:type="auto"/>
          </w:tcPr>
          <w:p>
            <w:r>
              <w:t>Regras OpenSCAD executadas em WebAssembly</w:t>
            </w:r>
          </w:p>
        </w:tc>
        <w:tc>
          <w:tcPr>
            <w:tcW w:w="0" w:type="auto"/>
          </w:tcPr>
          <w:p>
            <w:r>
              <w:t>Forma determinística para um mesmo conjunto de parâmetros e versão de código</w:t>
            </w:r>
          </w:p>
        </w:tc>
      </w:tr>
      <w:tr>
        <w:trPr>
          <w:cantSplit/>
        </w:trPr>
        <w:tc>
          <w:tcPr>
            <w:tcW w:w="0" w:type="auto"/>
          </w:tcPr>
          <w:p>
            <w:r>
              <w:t>Aceitar, corrigir ou rejeitar a configuração</w:t>
            </w:r>
          </w:p>
        </w:tc>
        <w:tc>
          <w:tcPr>
            <w:tcW w:w="0" w:type="auto"/>
          </w:tcPr>
          <w:p>
            <w:r>
              <w:t>Designer ou técnico responsável</w:t>
            </w:r>
          </w:p>
        </w:tc>
        <w:tc>
          <w:tcPr>
            <w:tcW w:w="0" w:type="auto"/>
          </w:tcPr>
          <w:p>
            <w:r>
              <w:t>Decisão humana antes da exportação e de qualquer utilização posterior</w:t>
            </w:r>
          </w:p>
        </w:tc>
      </w:tr>
    </w:tbl>
    <w:p>
      <w:pPr>
        <w:pStyle w:val="TextoNormal-IPCA"/>
      </w:pPr>
      <w:r>
        <w:t>O protocolo não mede exactidão clínica da IA, porque não existe uma referência individual para cada cenário. Também não compara fornecedores, modelos de linguagem, temperaturas ou estratégias de pedido. Como a campanha complementar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Cabealho2"/>
        <w:numPr>
          <w:ilvl w:val="1"/>
          <w:numId w:val="0"/>
        </w:numPr>
      </w:pPr>
      <w:r>
        <w:t>6.4 Ajuste, verificação e limitações éticas e técnicas</w:t>
      </w:r>
    </w:p>
    <w:p>
      <w:pPr>
        <w:pStyle w:val="TextoNormal-IPCA"/>
      </w:pPr>
      <w: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pPr>
      <w:r>
        <w:t>Os riscos técnicos relevantes são respostas plausíveis para perfis pouco representados, campos sem fundamento suficiente e combinações que parecem respeitar parâmetros isolados, mas falham na geometria completa. A versão avaliada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pPr>
      <w:r>
        <w:t>A Figura 6.1 sintetiza esta tensão entre desafios de explicabilidade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pPr>
      <w:r>
        <w:drawing>
          <wp:inline distT="0" distB="0" distL="0" distR="0">
            <wp:extent cx="5579745" cy="195291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r:embed="rId40"/>
                    <a:stretch>
                      <a:fillRect/>
                    </a:stretch>
                  </pic:blipFill>
                  <pic:spPr>
                    <a:xfrm>
                      <a:off x="0" y="0"/>
                      <a:ext cx="5579745" cy="1952910"/>
                    </a:xfrm>
                    <a:prstGeom prst="rect">
                      <a:avLst/>
                    </a:prstGeom>
                  </pic:spPr>
                </pic:pic>
              </a:graphicData>
            </a:graphic>
          </wp:inline>
        </w:drawing>
      </w:r>
    </w:p>
    <w:p>
      <w:pPr>
        <w:pStyle w:val="Legenda"/>
      </w:pPr>
      <w:r>
        <w:t>Figura 6.1 — Relação entre desafios de explicabilidade e princípios de IA responsável.</w:t>
      </w:r>
    </w:p>
    <w:p>
      <w:pPr>
        <w:pStyle w:val="TextoNormal-IPCA"/>
      </w:pPr>
      <w: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pPr>
      <w: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p>
    <w:p>
      <w:pPr>
        <w:pStyle w:val="Cabealho1"/>
        <w:pageBreakBefore/>
        <w:numPr>
          <w:ilvl w:val="0"/>
          <w:numId w:val="0"/>
        </w:numPr>
      </w:pPr>
      <w:r>
        <w:t>Capítulo 7 — Princípios de Interface e Decisões de Interacção</w:t>
      </w:r>
    </w:p>
    <w:p>
      <w:pPr>
        <w:pStyle w:val="Cabealho2"/>
        <w:numPr>
          <w:ilvl w:val="1"/>
          <w:numId w:val="0"/>
        </w:numPr>
      </w:pPr>
      <w:r>
        <w:t>7.1 Estratégia de interacção e decisões de UI/UX</w:t>
      </w:r>
    </w:p>
    <w:p>
      <w:pPr>
        <w:pStyle w:val="TextoNormal-IPCA"/>
      </w:pPr>
      <w: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pPr>
      <w: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pPr>
      <w:r>
        <w:t>O espaço de configuração apresentado não é ilimitado. A interface expõe apenas os campos declarados para o modelo, aplica os intervalos existentes e exclui decisões como a lateralidade do pedido enviado à IA. Esta contenção corresponde a uma salvaguarda implementada; o seu efeito na compreensão ou na confiança permanece por medir.</w:t>
      </w:r>
    </w:p>
    <w:p>
      <w:pPr>
        <w:pStyle w:val="TextoNormal-IPCA"/>
      </w:pPr>
      <w:r>
        <w:t>A pré-visualização é calculada localmente por OpenSCAD em WebAssembly. O Web Worker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pPr>
      <w:r>
        <w:t>Assim, esta secção descreve uma especificação projectual e as funções efectivamente disponíveis. Clareza, carga cognitiva, aprendizagem e adequação aos diferentes perfis permanecem hipóteses para avaliação futura.</w:t>
      </w:r>
    </w:p>
    <w:p>
      <w:pPr>
        <w:pStyle w:val="Cabealho2"/>
        <w:numPr>
          <w:ilvl w:val="1"/>
          <w:numId w:val="0"/>
        </w:numPr>
      </w:pPr>
      <w:r>
        <w:t>7.2 Papéis previstos e distribuição de decisões</w:t>
      </w:r>
    </w:p>
    <w:p>
      <w:pPr>
        <w:pStyle w:val="TextoNormal-IPCA"/>
      </w:pPr>
      <w: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pPr>
      <w: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pPr>
      <w: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pPr>
      <w: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pPr>
      <w: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pPr>
      <w:r>
        <w:drawing>
          <wp:inline distT="0" distB="0" distL="0" distR="0">
            <wp:extent cx="5038725" cy="4724400"/>
            <wp:docPr id="2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Image 20"/>
                    <pic:cNvPicPr/>
                  </pic:nvPicPr>
                  <pic:blipFill>
                    <a:blip r:embed="rId41"/>
                    <a:stretch>
                      <a:fillRect/>
                    </a:stretch>
                  </pic:blipFill>
                  <pic:spPr>
                    <a:xfrm>
                      <a:off x="0" y="0"/>
                      <a:ext cx="5038725" cy="4724400"/>
                    </a:xfrm>
                    <a:prstGeom prst="rect">
                      <a:avLst/>
                    </a:prstGeom>
                  </pic:spPr>
                </pic:pic>
              </a:graphicData>
            </a:graphic>
          </wp:inline>
        </w:drawing>
      </w:r>
    </w:p>
    <w:p>
      <w:pPr>
        <w:pStyle w:val="Legenda"/>
      </w:pPr>
      <w:r>
        <w:t>Figura 7.1 — Exemplo publicado de teste de uma prótese impressa em 3D com um utilizador; esta actividade não integrou a avaliação da presente dissertação.</w:t>
      </w:r>
    </w:p>
    <w:p>
      <w:pPr>
        <w:pStyle w:val="Nota-IPCA"/>
      </w:pPr>
      <w:r>
        <w:t>Reproduzido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7.3 Mediação do processo de design e reflexão crítica</w:t>
      </w:r>
    </w:p>
    <w:p>
      <w:pPr>
        <w:pStyle w:val="TextoNormal-IPCA"/>
      </w:pPr>
      <w: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pPr>
      <w:r>
        <w:t>Quatro mecanismos concretizam essa função: exposição selectiva dos parâmetros; apresentação dos respectivos limites; diferenciação de permissões; e separação visual entre sugestão, configuração e geometria gerada. Em conjunto, estes mecanismos tornam parte das dependências auditável, mas também condicionam o conjunto de alternativas que pode ser explorado (Bai et al., 2024; Peixoto et al., 2025; Quintero et al., 2018).</w:t>
      </w:r>
    </w:p>
    <w:p>
      <w:pPr>
        <w:pStyle w:val="TextoNormal-IPCA"/>
      </w:pPr>
      <w:r>
        <w:t>Esta condição impede considerar a interface neutra. Um valor apresentado como sugestão pode adquirir aparência de validade, mesmo quando resulta de uma referência populacional incompleta ou de uma saída probabilística. Por isso, a proveniência, a incerteza e o estatuto de cada valor devem permanecer visíveis; a versão avaliada implementa apenas parte dessa comunicação.</w:t>
      </w:r>
    </w:p>
    <w:p>
      <w:pPr>
        <w:pStyle w:val="TextoNormal-IPCA"/>
      </w:pPr>
      <w:r>
        <w:t>A evidência disponível permite descrever a organização das decisões e identificar as salvaguardas incorporadas. Não permite concluir que os diferentes perfis compreendem os limites, tomam melhores decisões ou utilizam a plataforma com menor esforço. Essas questões exigem observação de tarefas com participantes.</w:t>
      </w:r>
    </w:p>
    <w:p>
      <w:pPr>
        <w:pStyle w:val="TextoNormal-IPCA"/>
      </w:pPr>
      <w: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p>
    <w:p>
      <w:pPr>
        <w:pStyle w:val="Cabealho1"/>
        <w:pageBreakBefore/>
        <w:numPr>
          <w:ilvl w:val="0"/>
          <w:numId w:val="0"/>
        </w:numPr>
      </w:pPr>
      <w:r>
        <w:t>Capítulo 8 — Avaliação e Discussão</w:t>
      </w:r>
    </w:p>
    <w:p>
      <w:pPr>
        <w:pStyle w:val="Cabealho2"/>
        <w:numPr>
          <w:ilvl w:val="1"/>
          <w:numId w:val="0"/>
        </w:numPr>
      </w:pPr>
      <w:r>
        <w:t>8.1 Estratégia e critérios de avaliação</w:t>
      </w:r>
    </w:p>
    <w:p>
      <w:pPr>
        <w:pStyle w:val="TextoNormal-IPCA"/>
      </w:pPr>
      <w: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Cabealho3"/>
        <w:numPr>
          <w:ilvl w:val="2"/>
          <w:numId w:val="0"/>
        </w:numPr>
      </w:pPr>
      <w:r>
        <w:t>8.1.1 Verificação técnica da plataforma</w:t>
      </w:r>
    </w:p>
    <w:p>
      <w:pPr>
        <w:pStyle w:val="TextoNormal-IPCA"/>
      </w:pPr>
      <w:r>
        <w:t xml:space="preserve">A versão 14.67.0 da branch </w:t>
      </w:r>
      <w:r>
        <w:t>staging</w:t>
      </w:r>
      <w:r>
        <w:t xml:space="preserve">, commit </w:t>
      </w:r>
      <w:r>
        <w:t>d5b6f0d5a41950663d54c70b9ab9bad7f8c2d53b</w:t>
      </w:r>
      <w:r>
        <w:t>, foi inspeccionada no fecho do estudo. A Tabela 8.1 distingue resultados executados nesta verificação, dados observados na base local e ensaios arquivados de versões anteriores.</w:t>
      </w:r>
    </w:p>
    <w:p>
      <w:pPr>
        <w:pStyle w:val="Legenda"/>
      </w:pPr>
      <w:r>
        <w:t>Tabela 8.1 — Evidência técnica do funcionamento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Componente</w:t>
            </w:r>
          </w:p>
        </w:tc>
        <w:tc>
          <w:tcPr>
            <w:tcW w:w="0" w:type="auto"/>
          </w:tcPr>
          <w:p>
            <w:pPr>
              <w:pStyle w:val="TextoNormal-IPCA"/>
              <w:jc w:val="center"/>
            </w:pPr>
            <w:r>
              <w:rPr>
                <w:b/>
              </w:rPr>
              <w:t>Procedimento</w:t>
            </w:r>
          </w:p>
        </w:tc>
        <w:tc>
          <w:tcPr>
            <w:tcW w:w="0" w:type="auto"/>
          </w:tcPr>
          <w:p>
            <w:pPr>
              <w:pStyle w:val="TextoNormal-IPCA"/>
              <w:jc w:val="center"/>
            </w:pPr>
            <w:r>
              <w:rPr>
                <w:b/>
              </w:rPr>
              <w:t>Resultado</w:t>
            </w:r>
          </w:p>
        </w:tc>
        <w:tc>
          <w:tcPr>
            <w:tcW w:w="0" w:type="auto"/>
          </w:tcPr>
          <w:p>
            <w:pPr>
              <w:pStyle w:val="TextoNormal-IPCA"/>
              <w:jc w:val="center"/>
            </w:pPr>
            <w:r>
              <w:rPr>
                <w:b/>
              </w:rPr>
              <w:t>Limite da evidência</w:t>
            </w:r>
          </w:p>
        </w:tc>
      </w:tr>
      <w:tr>
        <w:tc>
          <w:tcPr>
            <w:tcW w:w="0" w:type="auto"/>
          </w:tcPr>
          <w:p>
            <w:pPr>
              <w:pStyle w:val="TextoNormal-IPCA"/>
              <w:jc w:val="left"/>
            </w:pPr>
            <w:r>
              <w:t>Correspondência de perfis</w:t>
            </w:r>
          </w:p>
        </w:tc>
        <w:tc>
          <w:tcPr>
            <w:tcW w:w="0" w:type="auto"/>
          </w:tcPr>
          <w:p>
            <w:pPr>
              <w:pStyle w:val="TextoNormal-IPCA"/>
              <w:jc w:val="left"/>
            </w:pPr>
            <w:r>
              <w:t>npm run test:unit</w:t>
            </w:r>
            <w:r>
              <w:t>, 13 de Julho de 2026</w:t>
            </w:r>
          </w:p>
        </w:tc>
        <w:tc>
          <w:tcPr>
            <w:tcW w:w="0" w:type="auto"/>
          </w:tcPr>
          <w:p>
            <w:pPr>
              <w:pStyle w:val="TextoNormal-IPCA"/>
              <w:jc w:val="left"/>
            </w:pPr>
            <w:r>
              <w:t>10 testes aprovados, 0 falhas</w:t>
            </w:r>
          </w:p>
        </w:tc>
        <w:tc>
          <w:tcPr>
            <w:tcW w:w="0" w:type="auto"/>
          </w:tcPr>
          <w:p>
            <w:pPr>
              <w:pStyle w:val="TextoNormal-IPCA"/>
              <w:jc w:val="left"/>
            </w:pPr>
            <w:r>
              <w:t>Abrange análise de sexo, idade, grupos etários e selecção de perfil; não cobre a interface completa</w:t>
            </w:r>
          </w:p>
        </w:tc>
      </w:tr>
      <w:tr>
        <w:tc>
          <w:tcPr>
            <w:tcW w:w="0" w:type="auto"/>
          </w:tcPr>
          <w:p>
            <w:pPr>
              <w:pStyle w:val="TextoNormal-IPCA"/>
              <w:jc w:val="left"/>
            </w:pPr>
            <w:r>
              <w:t>Catálogo de modelos</w:t>
            </w:r>
          </w:p>
        </w:tc>
        <w:tc>
          <w:tcPr>
            <w:tcW w:w="0" w:type="auto"/>
          </w:tcPr>
          <w:p>
            <w:pPr>
              <w:pStyle w:val="TextoNormal-IPCA"/>
              <w:jc w:val="left"/>
            </w:pPr>
            <w:r>
              <w:t xml:space="preserve">Inspecção de </w:t>
            </w:r>
            <w:r>
              <w:t>models/models-config.json</w:t>
            </w:r>
          </w:p>
        </w:tc>
        <w:tc>
          <w:tcPr>
            <w:tcW w:w="0" w:type="auto"/>
          </w:tcPr>
          <w:p>
            <w:pPr>
              <w:pStyle w:val="TextoNormal-IPCA"/>
              <w:jc w:val="left"/>
            </w:pPr>
            <w:r>
              <w:t>Quatro modelos registados e respectivos parâmetros carregáveis por configuração</w:t>
            </w:r>
          </w:p>
        </w:tc>
        <w:tc>
          <w:tcPr>
            <w:tcW w:w="0" w:type="auto"/>
          </w:tcPr>
          <w:p>
            <w:pPr>
              <w:pStyle w:val="TextoNormal-IPCA"/>
              <w:jc w:val="left"/>
            </w:pPr>
            <w:r>
              <w:t>Confirma a declaração dos modelos; três integram a comparação dimensional</w:t>
            </w:r>
          </w:p>
        </w:tc>
      </w:tr>
      <w:tr>
        <w:tc>
          <w:tcPr>
            <w:tcW w:w="0" w:type="auto"/>
          </w:tcPr>
          <w:p>
            <w:pPr>
              <w:pStyle w:val="TextoNormal-IPCA"/>
              <w:jc w:val="left"/>
            </w:pPr>
            <w:r>
              <w:t>Base antropométrica da aplicação</w:t>
            </w:r>
          </w:p>
        </w:tc>
        <w:tc>
          <w:tcPr>
            <w:tcW w:w="0" w:type="auto"/>
          </w:tcPr>
          <w:p>
            <w:pPr>
              <w:pStyle w:val="TextoNormal-IPCA"/>
              <w:jc w:val="left"/>
            </w:pPr>
            <w:r>
              <w:t xml:space="preserve">Consulta de </w:t>
            </w:r>
            <w:r>
              <w:t>data/app.db</w:t>
            </w:r>
          </w:p>
        </w:tc>
        <w:tc>
          <w:tcPr>
            <w:tcW w:w="0" w:type="auto"/>
          </w:tcPr>
          <w:p>
            <w:pPr>
              <w:pStyle w:val="TextoNormal-IPCA"/>
              <w:jc w:val="left"/>
            </w:pPr>
            <w:r>
              <w:t>100 perfis: 97 importados em lote, dois por CSV e um manual</w:t>
            </w:r>
          </w:p>
        </w:tc>
        <w:tc>
          <w:tcPr>
            <w:tcW w:w="0" w:type="auto"/>
          </w:tcPr>
          <w:p>
            <w:pPr>
              <w:pStyle w:val="TextoNormal-IPCA"/>
              <w:jc w:val="left"/>
            </w:pPr>
            <w:r>
              <w:t>O número de perfis da aplicação difere do número de linhas dos CSV de origem, porque cada perfil agrega várias medições</w:t>
            </w:r>
          </w:p>
        </w:tc>
      </w:tr>
      <w:tr>
        <w:tc>
          <w:tcPr>
            <w:tcW w:w="0" w:type="auto"/>
          </w:tcPr>
          <w:p>
            <w:pPr>
              <w:pStyle w:val="TextoNormal-IPCA"/>
              <w:jc w:val="left"/>
            </w:pPr>
            <w:r>
              <w:t>Persistência</w:t>
            </w:r>
          </w:p>
        </w:tc>
        <w:tc>
          <w:tcPr>
            <w:tcW w:w="0" w:type="auto"/>
          </w:tcPr>
          <w:p>
            <w:pPr>
              <w:pStyle w:val="TextoNormal-IPCA"/>
              <w:jc w:val="left"/>
            </w:pPr>
            <w:r>
              <w:t>Consulta da estrutura e dos registos de teste</w:t>
            </w:r>
          </w:p>
        </w:tc>
        <w:tc>
          <w:tcPr>
            <w:tcW w:w="0" w:type="auto"/>
          </w:tcPr>
          <w:p>
            <w:pPr>
              <w:pStyle w:val="TextoNormal-IPCA"/>
              <w:jc w:val="left"/>
            </w:pPr>
            <w:r>
              <w:t>Tabelas de utilizadores, configurações, perfis e atribuições técnicas presentes; uma configuração guardada no estado consultado</w:t>
            </w:r>
          </w:p>
        </w:tc>
        <w:tc>
          <w:tcPr>
            <w:tcW w:w="0" w:type="auto"/>
          </w:tcPr>
          <w:p>
            <w:pPr>
              <w:pStyle w:val="TextoNormal-IPCA"/>
              <w:jc w:val="left"/>
            </w:pPr>
            <w:r>
              <w:t>Confirma dados existentes, sem ensaio de carga ou acessos simultâneos</w:t>
            </w:r>
          </w:p>
        </w:tc>
      </w:tr>
      <w:tr>
        <w:tc>
          <w:tcPr>
            <w:tcW w:w="0" w:type="auto"/>
          </w:tcPr>
          <w:p>
            <w:pPr>
              <w:pStyle w:val="TextoNormal-IPCA"/>
              <w:jc w:val="left"/>
            </w:pPr>
            <w:r>
              <w:t>Renderização e exportação</w:t>
            </w:r>
          </w:p>
        </w:tc>
        <w:tc>
          <w:tcPr>
            <w:tcW w:w="0" w:type="auto"/>
          </w:tcPr>
          <w:p>
            <w:pPr>
              <w:pStyle w:val="TextoNormal-IPCA"/>
              <w:jc w:val="left"/>
            </w:pPr>
            <w:r>
              <w:t>Relatórios e testes end-to-end arquivados no registo de alterações</w:t>
            </w:r>
          </w:p>
        </w:tc>
        <w:tc>
          <w:tcPr>
            <w:tcW w:w="0" w:type="auto"/>
          </w:tcPr>
          <w:p>
            <w:pPr>
              <w:pStyle w:val="TextoNormal-IPCA"/>
              <w:jc w:val="left"/>
            </w:pPr>
            <w:r>
              <w:t>Geração em WebAssembly, conversão para GLB e exportação STL/3MF documentadas nas versões correspondentes</w:t>
            </w:r>
          </w:p>
        </w:tc>
        <w:tc>
          <w:tcPr>
            <w:tcW w:w="0" w:type="auto"/>
          </w:tcPr>
          <w:p>
            <w:pPr>
              <w:pStyle w:val="TextoNormal-IPCA"/>
              <w:jc w:val="left"/>
            </w:pPr>
            <w:r>
              <w:t>A bateria Playwright da versão 14.67.0 não foi repetida no ambiente desta revisão</w:t>
            </w:r>
          </w:p>
        </w:tc>
      </w:tr>
      <w:tr>
        <w:tc>
          <w:tcPr>
            <w:tcW w:w="0" w:type="auto"/>
          </w:tcPr>
          <w:p>
            <w:pPr>
              <w:pStyle w:val="TextoNormal-IPCA"/>
              <w:jc w:val="left"/>
            </w:pPr>
            <w:r>
              <w:t>Serviço de IA</w:t>
            </w:r>
          </w:p>
        </w:tc>
        <w:tc>
          <w:tcPr>
            <w:tcW w:w="0" w:type="auto"/>
          </w:tcPr>
          <w:p>
            <w:pPr>
              <w:pStyle w:val="TextoNormal-IPCA"/>
              <w:jc w:val="left"/>
            </w:pPr>
            <w:r>
              <w:t>Inspecção das rotas e dos serviços</w:t>
            </w:r>
          </w:p>
        </w:tc>
        <w:tc>
          <w:tcPr>
            <w:tcW w:w="0" w:type="auto"/>
          </w:tcPr>
          <w:p>
            <w:pPr>
              <w:pStyle w:val="TextoNormal-IPCA"/>
              <w:jc w:val="left"/>
            </w:pPr>
            <w:r>
              <w:t>Chamada autenticada, escolha de fornecedor, limite de frequência, referência populacional e resposta textual implementados</w:t>
            </w:r>
          </w:p>
        </w:tc>
        <w:tc>
          <w:tcPr>
            <w:tcW w:w="0" w:type="auto"/>
          </w:tcPr>
          <w:p>
            <w:pPr>
              <w:pStyle w:val="TextoNormal-IPCA"/>
              <w:jc w:val="left"/>
            </w:pPr>
            <w:r>
              <w:t>A disponibilidade depende de chaves e serviços externos</w:t>
            </w:r>
          </w:p>
        </w:tc>
      </w:tr>
    </w:tbl>
    <w:p>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pPr>
        <w:pStyle w:val="Cabealho3"/>
        <w:numPr>
          <w:ilvl w:val="2"/>
          <w:numId w:val="0"/>
        </w:numPr>
      </w:pPr>
      <w:r>
        <w:t>8.1.2 Avaliação complementar da previsibilidade, recuperação e acessibilidade</w:t>
      </w:r>
    </w:p>
    <w:p>
      <w:pPr>
        <w:pStyle w:val="TextoNormal-IPCA"/>
      </w:pPr>
      <w: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repetibilidade.</w:t>
      </w:r>
    </w:p>
    <w:p>
      <w:pPr>
        <w:pStyle w:val="TextoNormal-IPCA"/>
      </w:pPr>
      <w: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pPr>
      <w:r>
        <w:t>Os cenários de recuperação abrangeram valores nos limites, entradas inválidas, ausência de cobertura populacional directa, incompatibilidade entre perfil e modelo, indisponibilidade do serviço de IA, falha de renderização e tentativa de exportação sem geometria. A maioria dos percursos rejeitou a entrada, preservou o último estado válido ou permitiu nova tentativa. Foram, contudo, identificadas duas fragilidades relevantes para o design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pPr>
      <w: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pPr>
      <w:r>
        <w:t>Em termos de Design Industrial, estas campanhas acrescentam três aprendizagens ao desenvolvimento do artefacto. A previsibilidade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Cabealho3"/>
        <w:numPr>
          <w:ilvl w:val="2"/>
          <w:numId w:val="0"/>
        </w:numPr>
      </w:pPr>
      <w:r>
        <w:t>8.1.3 Preparação para impressão e protótipos físicos</w:t>
      </w:r>
    </w:p>
    <w:p>
      <w:pPr>
        <w:pStyle w:val="TextoNormal-IPCA"/>
      </w:pPr>
      <w:r>
        <w:t>A evidência de fabrico inclui 116 ficheiros 3MF gerados para três modelos e quatro idades, quatro projectos com parâmetros de preparação e fotografias de peças físicas. Os 116 ficheiros representam exportações digitais, distribuídas por placas combinadas e peças individuais; esse total não corresponde a 116 impressões físicas. Os quatro projectos encontram-se em docs/print-validation/bambulaba1_flexy_beast_teen_15_print.3mf, docs/print-validation/bambulaba1_unlimbed_phoenix_hand_teen_15_print_project.3mf, docs/print-validation/unlimbed_phoenix_hand_teen_15_print_project_PETG.3mf e docs/print-validation/prusa_mini_paraglider_15_teen_print_profile.3mf. Cada projecto identifica um caso adolescente de 15 anos, o material configurado e a impressora usada. Os parâmetros comparáveis foram mantidos nas restantes impressões, segundo os registos disponíveis.</w:t>
      </w:r>
    </w:p>
    <w:p>
      <w:pPr>
        <w:pStyle w:val="Legenda"/>
      </w:pPr>
      <w:r>
        <w:t>Tabela 8.2 — Projectos de preparação para impressão arquivados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pPr>
              <w:pStyle w:val="TextoNormal-IPCA"/>
              <w:jc w:val="center"/>
            </w:pPr>
            <w:r>
              <w:rPr>
                <w:b/>
              </w:rPr>
              <w:t>Modelo e cenário</w:t>
            </w:r>
          </w:p>
        </w:tc>
        <w:tc>
          <w:tcPr>
            <w:tcW w:w="0" w:type="auto"/>
          </w:tcPr>
          <w:p>
            <w:pPr>
              <w:pStyle w:val="TextoNormal-IPCA"/>
              <w:jc w:val="center"/>
            </w:pPr>
            <w:r>
              <w:rPr>
                <w:b/>
              </w:rPr>
              <w:t>Impressora e programa</w:t>
            </w:r>
          </w:p>
        </w:tc>
        <w:tc>
          <w:tcPr>
            <w:tcW w:w="0" w:type="auto"/>
          </w:tcPr>
          <w:p>
            <w:pPr>
              <w:pStyle w:val="TextoNormal-IPCA"/>
              <w:jc w:val="center"/>
            </w:pPr>
            <w:r>
              <w:rPr>
                <w:b/>
              </w:rPr>
              <w:t>Parâmetros principais</w:t>
            </w:r>
          </w:p>
        </w:tc>
        <w:tc>
          <w:tcPr>
            <w:tcW w:w="0" w:type="auto"/>
          </w:tcPr>
          <w:p>
            <w:pPr>
              <w:pStyle w:val="TextoNormal-IPCA"/>
              <w:jc w:val="center"/>
            </w:pPr>
            <w:r>
              <w:rPr>
                <w:b/>
              </w:rPr>
              <w:t>Evidência observada</w:t>
            </w:r>
          </w:p>
        </w:tc>
      </w:tr>
      <w:tr>
        <w:trPr>
          <w:cantSplit/>
        </w:trPr>
        <w:tc>
          <w:tcPr>
            <w:tcW w:w="0" w:type="auto"/>
          </w:tcPr>
          <w:p>
            <w:pPr>
              <w:pStyle w:val="TextoNormal-IPCA"/>
              <w:jc w:val="left"/>
            </w:pPr>
            <w:r>
              <w:t>Flexy Beast, 15 anos</w:t>
            </w:r>
          </w:p>
        </w:tc>
        <w:tc>
          <w:tcPr>
            <w:tcW w:w="0" w:type="auto"/>
          </w:tcPr>
          <w:p>
            <w:pPr>
              <w:pStyle w:val="TextoNormal-IPCA"/>
              <w:jc w:val="left"/>
            </w:pPr>
            <w:r>
              <w:t>Bambu Lab A1, Bambu Studio 1.10.02.76</w:t>
            </w:r>
          </w:p>
        </w:tc>
        <w:tc>
          <w:tcPr>
            <w:tcW w:w="0" w:type="auto"/>
          </w:tcPr>
          <w:p>
            <w:pPr>
              <w:pStyle w:val="TextoNormal-IPCA"/>
              <w:jc w:val="left"/>
            </w:pPr>
            <w:r>
              <w:t>Camada 0,24 mm; duas paredes; enchimento 15% em grelha; suporte em árvore; aba 5 mm; objectos atribuídos ao extrusor PLA</w:t>
            </w:r>
          </w:p>
        </w:tc>
        <w:tc>
          <w:tcPr>
            <w:tcW w:w="0" w:type="auto"/>
          </w:tcPr>
          <w:p>
            <w:pPr>
              <w:pStyle w:val="TextoNormal-IPCA"/>
              <w:jc w:val="left"/>
            </w:pPr>
            <w:r>
              <w:t>Dez segmentos digitais importados; programa regista 0 arestas corrigidas e 0 faces degeneradas</w:t>
            </w:r>
          </w:p>
        </w:tc>
      </w:tr>
      <w:tr>
        <w:trPr>
          <w:cantSplit/>
        </w:trPr>
        <w:tc>
          <w:tcPr>
            <w:tcW w:w="0" w:type="auto"/>
          </w:tcPr>
          <w:p>
            <w:pPr>
              <w:pStyle w:val="TextoNormal-IPCA"/>
              <w:jc w:val="left"/>
            </w:pPr>
            <w:r>
              <w:t>UnLimbited Phoenix, 15 anos</w:t>
            </w:r>
          </w:p>
        </w:tc>
        <w:tc>
          <w:tcPr>
            <w:tcW w:w="0" w:type="auto"/>
          </w:tcPr>
          <w:p>
            <w:pPr>
              <w:pStyle w:val="TextoNormal-IPCA"/>
              <w:jc w:val="left"/>
            </w:pPr>
            <w:r>
              <w:t>Bambu Lab A1, Bambu Studio 1.10.02.76</w:t>
            </w:r>
          </w:p>
        </w:tc>
        <w:tc>
          <w:tcPr>
            <w:tcW w:w="0" w:type="auto"/>
          </w:tcPr>
          <w:p>
            <w:pPr>
              <w:pStyle w:val="TextoNormal-IPCA"/>
              <w:jc w:val="left"/>
            </w:pPr>
            <w:r>
              <w:t>Dois projectos com camada de 0,24 mm, duas paredes e 15% de enchimento: peças atribuídas, respectivamente, a PLA e a Bambu PETG Basic; no PETG, bico a 255 °C e mesa a 70 °C</w:t>
            </w:r>
          </w:p>
        </w:tc>
        <w:tc>
          <w:tcPr>
            <w:tcW w:w="0" w:type="auto"/>
          </w:tcPr>
          <w:p>
            <w:pPr>
              <w:pStyle w:val="TextoNormal-IPCA"/>
              <w:jc w:val="left"/>
            </w:pPr>
            <w:r>
              <w:t>Oito conjuntos de peças em cada projecto; programa regista 0 arestas corrigidas e 0 faces degeneradas</w:t>
            </w:r>
          </w:p>
        </w:tc>
      </w:tr>
      <w:tr>
        <w:trPr>
          <w:cantSplit/>
        </w:trPr>
        <w:tc>
          <w:tcPr>
            <w:tcW w:w="0" w:type="auto"/>
          </w:tcPr>
          <w:p>
            <w:pPr>
              <w:pStyle w:val="TextoNormal-IPCA"/>
              <w:jc w:val="left"/>
            </w:pPr>
            <w:r>
              <w:t>Paraglider Hand, 15 anos</w:t>
            </w:r>
          </w:p>
        </w:tc>
        <w:tc>
          <w:tcPr>
            <w:tcW w:w="0" w:type="auto"/>
          </w:tcPr>
          <w:p>
            <w:pPr>
              <w:pStyle w:val="TextoNormal-IPCA"/>
              <w:jc w:val="left"/>
            </w:pPr>
            <w:r>
              <w:t>Prusa MINI, PrusaSlicer 2.8.1</w:t>
            </w:r>
          </w:p>
        </w:tc>
        <w:tc>
          <w:tcPr>
            <w:tcW w:w="0" w:type="auto"/>
          </w:tcPr>
          <w:p>
            <w:pPr>
              <w:pStyle w:val="TextoNormal-IPCA"/>
              <w:jc w:val="left"/>
            </w:pPr>
            <w:r>
              <w:t>Camada 0,20 mm; duas paredes; enchimento 15% em grelha; PLA; bico 0,4 mm; mesa 60 °C; suporte e aba desactivados</w:t>
            </w:r>
          </w:p>
        </w:tc>
        <w:tc>
          <w:tcPr>
            <w:tcW w:w="0" w:type="auto"/>
          </w:tcPr>
          <w:p>
            <w:pPr>
              <w:pStyle w:val="TextoNormal-IPCA"/>
              <w:jc w:val="left"/>
            </w:pPr>
            <w:r>
              <w:t>Projecto 3MF com configuração da impressora, do filamento e da placa</w:t>
            </w:r>
          </w:p>
        </w:tc>
      </w:tr>
    </w:tbl>
    <w:p>
      <w:pPr>
        <w:pStyle w:val="TextoNormal-IPCA"/>
      </w:pPr>
      <w:r>
        <w:t>Foram produzidos exemplares em PLA e PETG, e os projectos preservados identificam o material atribuído às peças preparadas. No caso da UnLimbited Phoenix, o projecto PETG atribui os oito conjuntos de peças ao perfil Bambu PETG Basic. Esta evidência documenta duas condições de produção, mas não constitui uma comparação controlada entre materiais, porque não foram definidos corpos de prova equivalentes, repetições, medições dimensionais ou ensaios mecânicos comparáveis. Não se retiram, portanto, conclusões sobre resistência, fragilidade ou durabilidade relativas de PLA e PETG.</w:t>
      </w:r>
    </w:p>
    <w:p>
      <w:pPr>
        <w:pStyle w:val="TextoNormal-IPCA"/>
      </w:pPr>
      <w: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pPr>
      <w:r>
        <w:t>A utilização da Bambu Lab A1 e da Prusa MINI documenta a execução do fluxo em dois ambientes de fabrico, mas não constitui uma comparação entre equipamentos. Os modelos, os programas de fatiamento e parte das definições de preparação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pPr>
      <w:r>
        <w:t xml:space="preserve">Uma inspecção complementar com </w:t>
      </w:r>
      <w:r>
        <w:t>trimesh</w:t>
      </w:r>
      <w:r>
        <w:t>, arquivada com os cenários de 29 de Junho de 2026, examinou peças da configuração infantil. Os critérios foram fecho da superfície, carácter múltiplo da geometria, número de corpos e faces de área nula. A Tabela 8.3 mostra que a preparação aceite pelo programa de fatiamento não implica que a malha de origem seja um sólido fechado sem defeitos.</w:t>
      </w:r>
    </w:p>
    <w:p>
      <w:pPr>
        <w:pStyle w:val="Legenda"/>
      </w:pPr>
      <w:r>
        <w:t>Tabela 8.3 — Inspecção computacional de malhas na configuração infantil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220"/>
        <w:gridCol w:w="850"/>
        <w:gridCol w:w="1050"/>
        <w:gridCol w:w="720"/>
        <w:gridCol w:w="800"/>
        <w:gridCol w:w="1760"/>
      </w:tblGrid>
      <w:tr>
        <w:trPr>
          <w:tblHeader/>
          <w:cantSplit/>
        </w:trPr>
        <w:tc>
          <w:tcPr>
            <w:tcW w:w="1220" w:type="dxa"/>
          </w:tcPr>
          <w:p>
            <w:pPr>
              <w:pStyle w:val="TextoNormal-IPCA"/>
              <w:jc w:val="center"/>
            </w:pPr>
            <w:r>
              <w:rPr>
                <w:b/>
                <w:sz w:val="18"/>
                <w:szCs w:val="18"/>
              </w:rPr>
              <w:t>Modelo e peça</w:t>
            </w:r>
          </w:p>
        </w:tc>
        <w:tc>
          <w:tcPr>
            <w:tcW w:w="850" w:type="dxa"/>
          </w:tcPr>
          <w:p>
            <w:pPr>
              <w:pStyle w:val="TextoNormal-IPCA"/>
              <w:jc w:val="center"/>
            </w:pPr>
            <w:r>
              <w:rPr>
                <w:b/>
                <w:sz w:val="18"/>
                <w:szCs w:val="18"/>
              </w:rPr>
              <w:t>Fecho</w:t>
            </w:r>
          </w:p>
        </w:tc>
        <w:tc>
          <w:tcPr>
            <w:tcW w:w="1050" w:type="dxa"/>
          </w:tcPr>
          <w:p>
            <w:pPr>
              <w:pStyle w:val="TextoNormal-IPCA"/>
              <w:jc w:val="center"/>
            </w:pPr>
            <w:r>
              <w:rPr>
                <w:b/>
                <w:sz w:val="18"/>
                <w:szCs w:val="18"/>
              </w:rPr>
              <w:t>Múltiplos corpos</w:t>
            </w:r>
          </w:p>
        </w:tc>
        <w:tc>
          <w:tcPr>
            <w:tcW w:w="720" w:type="dxa"/>
          </w:tcPr>
          <w:p>
            <w:pPr>
              <w:pStyle w:val="TextoNormal-IPCA"/>
              <w:jc w:val="center"/>
            </w:pPr>
            <w:r>
              <w:rPr>
                <w:b/>
                <w:sz w:val="18"/>
                <w:szCs w:val="18"/>
              </w:rPr>
              <w:t>N.º de corpos</w:t>
            </w:r>
          </w:p>
        </w:tc>
        <w:tc>
          <w:tcPr>
            <w:tcW w:w="800" w:type="dxa"/>
          </w:tcPr>
          <w:p>
            <w:pPr>
              <w:pStyle w:val="TextoNormal-IPCA"/>
              <w:jc w:val="center"/>
            </w:pPr>
            <w:r>
              <w:rPr>
                <w:b/>
                <w:sz w:val="18"/>
                <w:szCs w:val="18"/>
              </w:rPr>
              <w:t>Faces nulas</w:t>
            </w:r>
          </w:p>
        </w:tc>
        <w:tc>
          <w:tcPr>
            <w:tcW w:w="1760" w:type="dxa"/>
          </w:tcPr>
          <w:p>
            <w:pPr>
              <w:pStyle w:val="TextoNormal-IPCA"/>
              <w:jc w:val="center"/>
            </w:pPr>
            <w:r>
              <w:rPr>
                <w:b/>
                <w:sz w:val="18"/>
                <w:szCs w:val="18"/>
              </w:rPr>
              <w:t>Interpretação</w:t>
            </w:r>
          </w:p>
        </w:tc>
      </w:tr>
      <w:tr>
        <w:trPr>
          <w:cantSplit/>
        </w:trPr>
        <w:tc>
          <w:tcPr>
            <w:tcW w:w="1220" w:type="dxa"/>
          </w:tcPr>
          <w:p>
            <w:pPr>
              <w:pStyle w:val="TextoNormal-IPCA"/>
              <w:jc w:val="left"/>
            </w:pPr>
            <w:r>
              <w:rPr>
                <w:sz w:val="18"/>
                <w:szCs w:val="18"/>
              </w:rPr>
              <w:t>Flexy Beast,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Malha fechada segundo os critérios usados</w:t>
            </w:r>
          </w:p>
        </w:tc>
      </w:tr>
      <w:tr>
        <w:trPr>
          <w:cantSplit/>
        </w:trPr>
        <w:tc>
          <w:tcPr>
            <w:tcW w:w="1220" w:type="dxa"/>
          </w:tcPr>
          <w:p>
            <w:pPr>
              <w:pStyle w:val="TextoNormal-IPCA"/>
              <w:jc w:val="left"/>
            </w:pPr>
            <w:r>
              <w:rPr>
                <w:sz w:val="18"/>
                <w:szCs w:val="18"/>
              </w:rPr>
              <w:t>Flexy Beast, dedo médio</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3</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Três corpos fechados, coerentes com a construção segmentada</w:t>
            </w:r>
          </w:p>
        </w:tc>
      </w:tr>
      <w:tr>
        <w:trPr>
          <w:cantSplit/>
        </w:trPr>
        <w:tc>
          <w:tcPr>
            <w:tcW w:w="1220" w:type="dxa"/>
          </w:tcPr>
          <w:p>
            <w:pPr>
              <w:pStyle w:val="TextoNormal-IPCA"/>
              <w:jc w:val="left"/>
            </w:pPr>
            <w:r>
              <w:rPr>
                <w:sz w:val="18"/>
                <w:szCs w:val="18"/>
              </w:rPr>
              <w:t>Paraglider Hand,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142</w:t>
            </w:r>
          </w:p>
        </w:tc>
        <w:tc>
          <w:tcPr>
            <w:tcW w:w="1760" w:type="dxa"/>
          </w:tcPr>
          <w:p>
            <w:pPr>
              <w:pStyle w:val="TextoNormal-IPCA"/>
              <w:jc w:val="left"/>
            </w:pPr>
            <w:r>
              <w:rPr>
                <w:sz w:val="18"/>
                <w:szCs w:val="18"/>
              </w:rPr>
              <w:t>O fatiamento pode aceitar a peça, mas a malha contém faces degeneradas</w:t>
            </w:r>
          </w:p>
        </w:tc>
      </w:tr>
      <w:tr>
        <w:trPr>
          <w:cantSplit/>
        </w:trPr>
        <w:tc>
          <w:tcPr>
            <w:tcW w:w="1220" w:type="dxa"/>
          </w:tcPr>
          <w:p>
            <w:pPr>
              <w:pStyle w:val="TextoNormal-IPCA"/>
              <w:jc w:val="left"/>
            </w:pPr>
            <w:r>
              <w:rPr>
                <w:sz w:val="18"/>
                <w:szCs w:val="18"/>
              </w:rPr>
              <w:t>Paraglider Hand, dedo médio</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4</w:t>
            </w:r>
          </w:p>
        </w:tc>
        <w:tc>
          <w:tcPr>
            <w:tcW w:w="800" w:type="dxa"/>
          </w:tcPr>
          <w:p>
            <w:pPr>
              <w:pStyle w:val="TextoNormal-IPCA"/>
              <w:jc w:val="left"/>
            </w:pPr>
            <w:r>
              <w:rPr>
                <w:sz w:val="18"/>
                <w:szCs w:val="18"/>
              </w:rPr>
              <w:t>26</w:t>
            </w:r>
          </w:p>
        </w:tc>
        <w:tc>
          <w:tcPr>
            <w:tcW w:w="1760" w:type="dxa"/>
          </w:tcPr>
          <w:p>
            <w:pPr>
              <w:pStyle w:val="TextoNormal-IPCA"/>
              <w:jc w:val="left"/>
            </w:pPr>
            <w:r>
              <w:rPr>
                <w:sz w:val="18"/>
                <w:szCs w:val="18"/>
              </w:rPr>
              <w:t>Requer inspecção ou reparação antes de uma conclusão sobre qualidade geométrica</w:t>
            </w:r>
          </w:p>
        </w:tc>
      </w:tr>
      <w:tr>
        <w:trPr>
          <w:cantSplit/>
        </w:trPr>
        <w:tc>
          <w:tcPr>
            <w:tcW w:w="1220" w:type="dxa"/>
          </w:tcPr>
          <w:p>
            <w:pPr>
              <w:pStyle w:val="TextoNormal-IPCA"/>
              <w:jc w:val="left"/>
            </w:pPr>
            <w:r>
              <w:rPr>
                <w:sz w:val="18"/>
                <w:szCs w:val="18"/>
              </w:rPr>
              <w:t>UnLimbited Phoenix, palma</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Não</w:t>
            </w:r>
          </w:p>
        </w:tc>
        <w:tc>
          <w:tcPr>
            <w:tcW w:w="720" w:type="dxa"/>
          </w:tcPr>
          <w:p>
            <w:pPr>
              <w:pStyle w:val="TextoNormal-IPCA"/>
              <w:jc w:val="left"/>
            </w:pPr>
            <w:r>
              <w:rPr>
                <w:sz w:val="18"/>
                <w:szCs w:val="18"/>
              </w:rPr>
              <w:t>5</w:t>
            </w:r>
          </w:p>
        </w:tc>
        <w:tc>
          <w:tcPr>
            <w:tcW w:w="800" w:type="dxa"/>
          </w:tcPr>
          <w:p>
            <w:pPr>
              <w:pStyle w:val="TextoNormal-IPCA"/>
              <w:jc w:val="left"/>
            </w:pPr>
            <w:r>
              <w:rPr>
                <w:sz w:val="18"/>
                <w:szCs w:val="18"/>
              </w:rPr>
              <w:t>6</w:t>
            </w:r>
          </w:p>
        </w:tc>
        <w:tc>
          <w:tcPr>
            <w:tcW w:w="1760" w:type="dxa"/>
          </w:tcPr>
          <w:p>
            <w:pPr>
              <w:pStyle w:val="TextoNormal-IPCA"/>
              <w:jc w:val="left"/>
            </w:pPr>
            <w:r>
              <w:rPr>
                <w:sz w:val="18"/>
                <w:szCs w:val="18"/>
              </w:rPr>
              <w:t>A malha original contém descontinuidades que o redimensionamento não elimina</w:t>
            </w:r>
          </w:p>
        </w:tc>
      </w:tr>
    </w:tbl>
    <w:p>
      <w:pPr>
        <w:pStyle w:val="TextoNormal-IPCA"/>
      </w:pPr>
      <w:r>
        <w:t xml:space="preserve">Os projectos Bambu registam zero arestas corrigidas e zero faces degeneradas nas peças importadas. Esse indicador pertence ao diagnóstico do Bambu Studio para os ficheiros concretos do projecto e usa um procedimento distinto do </w:t>
      </w:r>
      <w:r>
        <w:t>trimesh</w:t>
      </w:r>
      <w:r>
        <w:t>. A diferença entre os registos deve ser mantida, pois nenhum dos resultados autoriza a concluir que todas as variantes de cada modelo possuem a mesma qualidade de malha.</w:t>
      </w:r>
    </w:p>
    <w:p>
      <w:pPr>
        <w:pStyle w:val="Normal"/>
        <w:jc w:val="center"/>
      </w:pPr>
      <w:r>
        <w:drawing>
          <wp:inline distT="0" distB="0" distL="0" distR="0">
            <wp:extent cx="5579745" cy="9922646"/>
            <wp:docPr id="21" name="Image 21" descr="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Image 21"/>
                    <pic:cNvPicPr/>
                  </pic:nvPicPr>
                  <pic:blipFill>
                    <a:blip r:embed="rId42"/>
                    <a:stretch>
                      <a:fillRect/>
                    </a:stretch>
                  </pic:blipFill>
                  <pic:spPr>
                    <a:xfrm>
                      <a:off x="0" y="0"/>
                      <a:ext cx="5579745" cy="9922646"/>
                    </a:xfrm>
                    <a:prstGeom prst="rect">
                      <a:avLst/>
                    </a:prstGeom>
                  </pic:spPr>
                </pic:pic>
              </a:graphicData>
            </a:graphic>
          </wp:inline>
        </w:drawing>
      </w:r>
    </w:p>
    <w:p>
      <w:pPr>
        <w:pStyle w:val="Legenda"/>
      </w:pPr>
      <w:r>
        <w:t>Figura 8.1 — Segmentos do Flexy Beast produzidos e assentes na plataforma da Bambu Lab A1.</w:t>
      </w:r>
    </w:p>
    <w:p>
      <w:pPr>
        <w:pStyle w:val="Nota-IPCA"/>
      </w:pPr>
      <w:r>
        <w:t>Fonte: produção própria.</w:t>
      </w:r>
    </w:p>
    <w:p>
      <w:pPr>
        <w:pStyle w:val="Normal"/>
        <w:jc w:val="center"/>
      </w:pPr>
      <w:r>
        <w:drawing>
          <wp:inline distT="0" distB="0" distL="0" distR="0">
            <wp:extent cx="5579745" cy="3133956"/>
            <wp:docPr id="22" name="Image 22" descr="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Image 22"/>
                    <pic:cNvPicPr/>
                  </pic:nvPicPr>
                  <pic:blipFill>
                    <a:blip r:embed="rId43"/>
                    <a:stretch>
                      <a:fillRect/>
                    </a:stretch>
                  </pic:blipFill>
                  <pic:spPr>
                    <a:xfrm>
                      <a:off x="0" y="0"/>
                      <a:ext cx="5579745" cy="3133956"/>
                    </a:xfrm>
                    <a:prstGeom prst="rect">
                      <a:avLst/>
                    </a:prstGeom>
                  </pic:spPr>
                </pic:pic>
              </a:graphicData>
            </a:graphic>
          </wp:inline>
        </w:drawing>
      </w:r>
    </w:p>
    <w:p>
      <w:pPr>
        <w:pStyle w:val="Legenda"/>
      </w:pPr>
      <w:r>
        <w:t>Figura 8.2 — Série física de segmentos Flexy Beast identificados pelas idades simuladas de 8, 15, 28 e 70 anos. A imagem permite comparar escala e conclusão das peças, sem constituir medição dimensional ou ensaio mecânico.</w:t>
      </w:r>
    </w:p>
    <w:p>
      <w:pPr>
        <w:pStyle w:val="Nota-IPCA"/>
      </w:pPr>
      <w:r>
        <w:t>Fonte: produção própria.</w:t>
      </w:r>
    </w:p>
    <w:p>
      <w:pPr>
        <w:pStyle w:val="Normal"/>
        <w:jc w:val="center"/>
      </w:pPr>
      <w:r>
        <w:drawing>
          <wp:inline distT="0" distB="0" distL="0" distR="0">
            <wp:extent cx="5579745" cy="3133956"/>
            <wp:docPr id="23" name="Image 23" descr="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Image 23"/>
                    <pic:cNvPicPr/>
                  </pic:nvPicPr>
                  <pic:blipFill>
                    <a:blip r:embed="rId44"/>
                    <a:stretch>
                      <a:fillRect/>
                    </a:stretch>
                  </pic:blipFill>
                  <pic:spPr>
                    <a:xfrm>
                      <a:off x="0" y="0"/>
                      <a:ext cx="5579745" cy="3133956"/>
                    </a:xfrm>
                    <a:prstGeom prst="rect">
                      <a:avLst/>
                    </a:prstGeom>
                  </pic:spPr>
                </pic:pic>
              </a:graphicData>
            </a:graphic>
          </wp:inline>
        </w:drawing>
      </w:r>
    </w:p>
    <w:p>
      <w:pPr>
        <w:pStyle w:val="Legenda"/>
      </w:pPr>
      <w:r>
        <w:t>Figura 8.3 — Série física de segmentos Paraglider Hand identificados pelas idades simuladas de 8, 15, 28 e 70 anos. A imagem documenta a transição para peças físicas e não demonstra ajuste anatómico.</w:t>
      </w:r>
    </w:p>
    <w:p>
      <w:pPr>
        <w:pStyle w:val="Nota-IPCA"/>
      </w:pPr>
      <w:r>
        <w:t>Fonte: produção própria.</w:t>
      </w:r>
    </w:p>
    <w:p>
      <w:pPr>
        <w:pStyle w:val="TextoNormal-IPCA"/>
      </w:pPr>
      <w:r>
        <w:t>A Figura 8.4 apresenta um precedente de avaliação funcional baseado em tarefas quotidianas. No presente trabalho, funciona como enquadramento de uma etapa futura posterior à verificação técnica e material (Romero et al., 2025).</w:t>
      </w:r>
    </w:p>
    <w:p>
      <w:pPr>
        <w:pStyle w:val="Normal"/>
        <w:jc w:val="center"/>
      </w:pPr>
      <w:r>
        <w:drawing>
          <wp:inline distT="0" distB="0" distL="0" distR="0">
            <wp:extent cx="5579745" cy="3487340"/>
            <wp:docPr id="24" name="Image 24" descr="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Image 24"/>
                    <pic:cNvPicPr/>
                  </pic:nvPicPr>
                  <pic:blipFill>
                    <a:blip r:embed="rId45"/>
                    <a:stretch>
                      <a:fillRect/>
                    </a:stretch>
                  </pic:blipFill>
                  <pic:spPr>
                    <a:xfrm>
                      <a:off x="0" y="0"/>
                      <a:ext cx="5579745" cy="3487340"/>
                    </a:xfrm>
                    <a:prstGeom prst="rect">
                      <a:avLst/>
                    </a:prstGeom>
                  </pic:spPr>
                </pic:pic>
              </a:graphicData>
            </a:graphic>
          </wp:inline>
        </w:drawing>
      </w:r>
    </w:p>
    <w:p>
      <w:pPr>
        <w:pStyle w:val="Legenda"/>
      </w:pPr>
      <w:r>
        <w:t>Figura 8.4 — Tarefas funcionais usadas em avaliação de prótese personalizada de membro superior.</w:t>
      </w:r>
    </w:p>
    <w:p>
      <w:pPr>
        <w:pStyle w:val="Nota-IPCA"/>
      </w:pPr>
      <w: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Cabealho2"/>
        <w:numPr>
          <w:ilvl w:val="1"/>
          <w:numId w:val="0"/>
        </w:numPr>
      </w:pPr>
      <w:r>
        <w:t>8.2 Avaliação da coerência das sugestões de IA</w:t>
      </w:r>
    </w:p>
    <w:p>
      <w:pPr>
        <w:pStyle w:val="TextoNormal-IPCA"/>
      </w:pPr>
      <w:r>
        <w:t>O primeiro conjunto experimental incidiu sobre cinco perfis simulados,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pPr>
      <w: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Legenda"/>
      </w:pPr>
      <w:r>
        <w:t>Tabela 8.4 — Entradas utilizadas nos cenários de avaliação da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Conjunto experimental</w:t>
            </w:r>
          </w:p>
        </w:tc>
        <w:tc>
          <w:tcPr>
            <w:tcW w:w="0" w:type="auto"/>
          </w:tcPr>
          <w:p>
            <w:pPr>
              <w:pStyle w:val="TextoNormal-IPCA"/>
              <w:jc w:val="center"/>
            </w:pPr>
            <w:r>
              <w:rPr>
                <w:b/>
              </w:rPr>
              <w:t>Tipo de perfil criado</w:t>
            </w:r>
          </w:p>
        </w:tc>
        <w:tc>
          <w:tcPr>
            <w:tcW w:w="0" w:type="auto"/>
          </w:tcPr>
          <w:p>
            <w:pPr>
              <w:pStyle w:val="TextoNormal-IPCA"/>
              <w:jc w:val="center"/>
            </w:pPr>
            <w:r>
              <w:rPr>
                <w:b/>
              </w:rPr>
              <w:t>Descrição usada como entrada</w:t>
            </w:r>
          </w:p>
        </w:tc>
        <w:tc>
          <w:tcPr>
            <w:tcW w:w="0" w:type="auto"/>
          </w:tcPr>
          <w:p>
            <w:pPr>
              <w:pStyle w:val="TextoNormal-IPCA"/>
              <w:jc w:val="center"/>
            </w:pPr>
            <w:r>
              <w:rPr>
                <w:b/>
              </w:rPr>
              <w:t>Finalidade da verificação</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dados demográficos e regionais</w:t>
            </w:r>
          </w:p>
        </w:tc>
        <w:tc>
          <w:tcPr>
            <w:tcW w:w="0" w:type="auto"/>
          </w:tcPr>
          <w:p>
            <w:pPr>
              <w:pStyle w:val="TextoNormal-IPCA"/>
              <w:jc w:val="left"/>
            </w:pPr>
            <w:r>
              <w:t>man, 28 years old, 82 kg, 180 cm height, Brazil, arm length 70 cm</w:t>
            </w:r>
          </w:p>
        </w:tc>
        <w:tc>
          <w:tcPr>
            <w:tcW w:w="0" w:type="auto"/>
          </w:tcPr>
          <w:p>
            <w:pPr>
              <w:pStyle w:val="TextoNormal-IPCA"/>
              <w:jc w:val="left"/>
            </w:pPr>
            <w:r>
              <w:t>Testar a inferência paramétrica sem medições directas da mão</w:t>
            </w:r>
          </w:p>
        </w:tc>
      </w:tr>
      <w:tr>
        <w:tc>
          <w:tcPr>
            <w:tcW w:w="0" w:type="auto"/>
          </w:tcPr>
          <w:p>
            <w:pPr>
              <w:pStyle w:val="TextoNormal-IPCA"/>
              <w:jc w:val="left"/>
            </w:pPr>
            <w:r>
              <w:t>Ensaio 1 — indicadores populacionais indiretos</w:t>
            </w:r>
          </w:p>
        </w:tc>
        <w:tc>
          <w:tcPr>
            <w:tcW w:w="0" w:type="auto"/>
          </w:tcPr>
          <w:p>
            <w:pPr>
              <w:pStyle w:val="TextoNormal-IPCA"/>
              <w:jc w:val="left"/>
            </w:pPr>
            <w:r>
              <w:t>Criança do sexo feminino, com estrutura corporal pequena</w:t>
            </w:r>
          </w:p>
        </w:tc>
        <w:tc>
          <w:tcPr>
            <w:tcW w:w="0" w:type="auto"/>
          </w:tcPr>
          <w:p>
            <w:pPr>
              <w:pStyle w:val="TextoNormal-IPCA"/>
              <w:jc w:val="left"/>
            </w:pPr>
            <w:r>
              <w:t>girl, 10 years old, 32 kg, 138 cm height, Japan, small frame</w:t>
            </w:r>
          </w:p>
        </w:tc>
        <w:tc>
          <w:tcPr>
            <w:tcW w:w="0" w:type="auto"/>
          </w:tcPr>
          <w:p>
            <w:pPr>
              <w:pStyle w:val="TextoNormal-IPCA"/>
              <w:jc w:val="left"/>
            </w:pPr>
            <w:r>
              <w:t>Examinar a redução das dimensões e dos componentes mecânicos perante uma idade inferior</w:t>
            </w:r>
          </w:p>
        </w:tc>
      </w:tr>
      <w:tr>
        <w:tc>
          <w:tcPr>
            <w:tcW w:w="0" w:type="auto"/>
          </w:tcPr>
          <w:p>
            <w:pPr>
              <w:pStyle w:val="TextoNormal-IPCA"/>
              <w:jc w:val="left"/>
            </w:pPr>
            <w:r>
              <w:t>Ensaio 1 — indicadores populacionais indiretos</w:t>
            </w:r>
          </w:p>
        </w:tc>
        <w:tc>
          <w:tcPr>
            <w:tcW w:w="0" w:type="auto"/>
          </w:tcPr>
          <w:p>
            <w:pPr>
              <w:pStyle w:val="TextoNormal-IPCA"/>
              <w:jc w:val="left"/>
            </w:pPr>
            <w:r>
              <w:t>Mulher idosa com dados demográficos e regionais</w:t>
            </w:r>
          </w:p>
        </w:tc>
        <w:tc>
          <w:tcPr>
            <w:tcW w:w="0" w:type="auto"/>
          </w:tcPr>
          <w:p>
            <w:pPr>
              <w:pStyle w:val="TextoNormal-IPCA"/>
              <w:jc w:val="left"/>
            </w:pPr>
            <w:r>
              <w:t>woman, 65 years old, 68 kg, 160 cm height, Nigeria, arm length 62 cm</w:t>
            </w:r>
          </w:p>
        </w:tc>
        <w:tc>
          <w:tcPr>
            <w:tcW w:w="0" w:type="auto"/>
          </w:tcPr>
          <w:p>
            <w:pPr>
              <w:pStyle w:val="TextoNormal-IPCA"/>
              <w:jc w:val="left"/>
            </w:pPr>
            <w:r>
              <w:t>Comparar os parâmetros com os limites do modelo num perfil adulto feminino e sénior</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indicação qualitativa de mãos largas</w:t>
            </w:r>
          </w:p>
        </w:tc>
        <w:tc>
          <w:tcPr>
            <w:tcW w:w="0" w:type="auto"/>
          </w:tcPr>
          <w:p>
            <w:pPr>
              <w:pStyle w:val="TextoNormal-IPCA"/>
              <w:jc w:val="left"/>
            </w:pPr>
            <w:r>
              <w:t>man, 50 years old, 95 kg, 175 cm height, Germany, broad hands, arm length 66 cm</w:t>
            </w:r>
          </w:p>
        </w:tc>
        <w:tc>
          <w:tcPr>
            <w:tcW w:w="0" w:type="auto"/>
          </w:tcPr>
          <w:p>
            <w:pPr>
              <w:pStyle w:val="TextoNormal-IPCA"/>
              <w:jc w:val="left"/>
            </w:pPr>
            <w:r>
              <w:t>Verificar a resposta do sistema a uma característica anatómica descrita qualitativamente</w:t>
            </w:r>
          </w:p>
        </w:tc>
      </w:tr>
      <w:tr>
        <w:tc>
          <w:tcPr>
            <w:tcW w:w="0" w:type="auto"/>
          </w:tcPr>
          <w:p>
            <w:pPr>
              <w:pStyle w:val="TextoNormal-IPCA"/>
              <w:jc w:val="left"/>
            </w:pPr>
            <w:r>
              <w:t>Ensaio 1 — indicadores populacionais indiretos</w:t>
            </w:r>
          </w:p>
        </w:tc>
        <w:tc>
          <w:tcPr>
            <w:tcW w:w="0" w:type="auto"/>
          </w:tcPr>
          <w:p>
            <w:pPr>
              <w:pStyle w:val="TextoNormal-IPCA"/>
              <w:jc w:val="left"/>
            </w:pPr>
            <w:r>
              <w:t>Adolescente masculino alto e magro</w:t>
            </w:r>
          </w:p>
        </w:tc>
        <w:tc>
          <w:tcPr>
            <w:tcW w:w="0" w:type="auto"/>
          </w:tcPr>
          <w:p>
            <w:pPr>
              <w:pStyle w:val="TextoNormal-IPCA"/>
              <w:jc w:val="left"/>
            </w:pPr>
            <w:r>
              <w:t>teenage boy, 15 years old, 60 kg, 168 cm height, India, slim build, arm length 67 cm</w:t>
            </w:r>
          </w:p>
        </w:tc>
        <w:tc>
          <w:tcPr>
            <w:tcW w:w="0" w:type="auto"/>
          </w:tcPr>
          <w:p>
            <w:pPr>
              <w:pStyle w:val="TextoNormal-IPCA"/>
              <w:jc w:val="left"/>
            </w:pPr>
            <w:r>
              <w:t>Testar a fronteira entre perfil pediátrico e dimensões próximas de adulto</w:t>
            </w:r>
          </w:p>
        </w:tc>
      </w:tr>
      <w:tr>
        <w:tc>
          <w:tcPr>
            <w:tcW w:w="0" w:type="auto"/>
          </w:tcPr>
          <w:p>
            <w:pPr>
              <w:pStyle w:val="TextoNormal-IPCA"/>
              <w:jc w:val="left"/>
            </w:pPr>
            <w:r>
              <w:t>Ensaio 2 — amputação unilateral</w:t>
            </w:r>
          </w:p>
        </w:tc>
        <w:tc>
          <w:tcPr>
            <w:tcW w:w="0" w:type="auto"/>
          </w:tcPr>
          <w:p>
            <w:pPr>
              <w:pStyle w:val="TextoNormal-IPCA"/>
              <w:jc w:val="left"/>
            </w:pPr>
            <w:r>
              <w:t>Entrada completa com medições da mão intacta</w:t>
            </w:r>
          </w:p>
        </w:tc>
        <w:tc>
          <w:tcPr>
            <w:tcW w:w="0" w:type="auto"/>
          </w:tcPr>
          <w:p>
            <w:pPr>
              <w:pStyle w:val="TextoNormal-IPCA"/>
              <w:jc w:val="left"/>
            </w:pPr>
            <w:r>
              <w:t>Medições completas da mão esquerda intacta: palma 84 mm; indicador 72 mm; médio 78 mm; anelar 75 mm; mínimo 58 mm; polegar 64 mm; prótese necessária para a mão direita</w:t>
            </w:r>
          </w:p>
        </w:tc>
        <w:tc>
          <w:tcPr>
            <w:tcW w:w="0" w:type="auto"/>
          </w:tcPr>
          <w:p>
            <w:pPr>
              <w:pStyle w:val="TextoNormal-IPCA"/>
              <w:jc w:val="left"/>
            </w:pPr>
            <w:r>
              <w:t>Confirmar a preservação dos valores fornecidos e a geração contralateral</w:t>
            </w:r>
          </w:p>
        </w:tc>
      </w:tr>
      <w:tr>
        <w:tc>
          <w:tcPr>
            <w:tcW w:w="0" w:type="auto"/>
          </w:tcPr>
          <w:p>
            <w:pPr>
              <w:pStyle w:val="TextoNormal-IPCA"/>
              <w:jc w:val="left"/>
            </w:pPr>
            <w:r>
              <w:t>Ensaio 2 — amputação unilateral</w:t>
            </w:r>
          </w:p>
        </w:tc>
        <w:tc>
          <w:tcPr>
            <w:tcW w:w="0" w:type="auto"/>
          </w:tcPr>
          <w:p>
            <w:pPr>
              <w:pStyle w:val="TextoNormal-IPCA"/>
              <w:jc w:val="left"/>
            </w:pPr>
            <w:r>
              <w:t>Entrada parcial com dados demográficos e uma medição directa</w:t>
            </w:r>
          </w:p>
        </w:tc>
        <w:tc>
          <w:tcPr>
            <w:tcW w:w="0" w:type="auto"/>
          </w:tcPr>
          <w:p>
            <w:pPr>
              <w:pStyle w:val="TextoNormal-IPCA"/>
              <w:jc w:val="left"/>
            </w:pPr>
            <w:r>
              <w:t>Homem, 40 anos; mão direita intacta; largura da palma 90 mm; prótese necessária para a mão esquerda</w:t>
            </w:r>
          </w:p>
        </w:tc>
        <w:tc>
          <w:tcPr>
            <w:tcW w:w="0" w:type="auto"/>
          </w:tcPr>
          <w:p>
            <w:pPr>
              <w:pStyle w:val="TextoNormal-IPCA"/>
              <w:jc w:val="left"/>
            </w:pPr>
            <w:r>
              <w:t>Confirmar a manutenção da medida fornecida e a estimativa proporcional dos campos em falta</w:t>
            </w:r>
          </w:p>
        </w:tc>
      </w:tr>
      <w:tr>
        <w:tc>
          <w:tcPr>
            <w:tcW w:w="0" w:type="auto"/>
          </w:tcPr>
          <w:p>
            <w:pPr>
              <w:pStyle w:val="TextoNormal-IPCA"/>
              <w:jc w:val="left"/>
            </w:pPr>
            <w:r>
              <w:t>Ensaio 2 — amputação unilateral</w:t>
            </w:r>
          </w:p>
        </w:tc>
        <w:tc>
          <w:tcPr>
            <w:tcW w:w="0" w:type="auto"/>
          </w:tcPr>
          <w:p>
            <w:pPr>
              <w:pStyle w:val="TextoNormal-IPCA"/>
              <w:jc w:val="left"/>
            </w:pPr>
            <w:r>
              <w:t>Entrada apenas demográfica</w:t>
            </w:r>
          </w:p>
        </w:tc>
        <w:tc>
          <w:tcPr>
            <w:tcW w:w="0" w:type="auto"/>
          </w:tcPr>
          <w:p>
            <w:pPr>
              <w:pStyle w:val="TextoNormal-IPCA"/>
              <w:jc w:val="left"/>
            </w:pPr>
            <w:r>
              <w:t>Mulher, 30 anos, asiática oriental, 158 cm; prótese necessária para a mão direita</w:t>
            </w:r>
          </w:p>
        </w:tc>
        <w:tc>
          <w:tcPr>
            <w:tcW w:w="0" w:type="auto"/>
          </w:tcPr>
          <w:p>
            <w:pPr>
              <w:pStyle w:val="TextoNormal-IPCA"/>
              <w:jc w:val="left"/>
            </w:pPr>
            <w:r>
              <w:t>Verificar a adaptação do sistema quando não existem medições directas da mão</w:t>
            </w:r>
          </w:p>
        </w:tc>
      </w:tr>
    </w:tbl>
    <w:p>
      <w:pPr>
        <w:pStyle w:val="Nota-IPCA"/>
      </w:pPr>
      <w:r>
        <w:t xml:space="preserve">Fonte: elaboração própria a partir dos prompts registados em </w:t>
      </w:r>
      <w:r>
        <w:t>docs/ai_anthropometric_validation.md</w:t>
      </w:r>
      <w:r>
        <w:t xml:space="preserve">, dos metadados em </w:t>
      </w:r>
      <w:r>
        <w:t>docs/flexy-beast-ai-sim/run-metadata.json</w:t>
      </w:r>
      <w:r>
        <w:t xml:space="preserve">, </w:t>
      </w:r>
      <w:r>
        <w:t>docs/paraglider-ai-sim/run-metadata.json</w:t>
      </w:r>
      <w:r>
        <w:t xml:space="preserve"> e </w:t>
      </w:r>
      <w:r>
        <w:t>docs/phoenix-ai-sim/run-metadata.json</w:t>
      </w:r>
      <w:r>
        <w:t xml:space="preserve">, e dos cenários em </w:t>
      </w:r>
      <w:r>
        <w:t>docs/ucd-ai-sim/</w:t>
      </w:r>
      <w:r>
        <w:t>. A coluna apresenta a descrição do caso simulado enviada no pedido; o pedido completo incluía o esquema actual do modelo, os intervalos permitidos e a instrução de devolver apenas JSON válido.</w:t>
      </w:r>
    </w:p>
    <w:p>
      <w:pPr>
        <w:pStyle w:val="TextoNormal-IPCA"/>
      </w:pPr>
      <w: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pPr>
      <w: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pPr>
      <w:r>
        <w:t xml:space="preserve">A lateralidade foi examinada num ensaio separado com 12 pedidos repetidos. Onze pedidos produziram resposta interpretável e um terminou por falha de análise. Nos sete pedidos de mão esquerda com resposta, o campo </w:t>
      </w:r>
      <w:r>
        <w:t>mirrored</w:t>
      </w:r>
      <w:r>
        <w:t xml:space="preserve">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Legenda"/>
      </w:pPr>
      <w:r>
        <w:t>Tabela 8.5 — Síntese da avaliação das sugestões de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Eixo avaliado</w:t>
            </w:r>
          </w:p>
        </w:tc>
        <w:tc>
          <w:tcPr>
            <w:tcW w:w="0" w:type="auto"/>
          </w:tcPr>
          <w:p>
            <w:pPr>
              <w:pStyle w:val="TextoNormal-IPCA"/>
              <w:jc w:val="center"/>
            </w:pPr>
            <w:r>
              <w:rPr>
                <w:b/>
              </w:rPr>
              <w:t>Resultado observado</w:t>
            </w:r>
          </w:p>
        </w:tc>
        <w:tc>
          <w:tcPr>
            <w:tcW w:w="0" w:type="auto"/>
          </w:tcPr>
          <w:p>
            <w:pPr>
              <w:pStyle w:val="TextoNormal-IPCA"/>
              <w:jc w:val="center"/>
            </w:pPr>
            <w:r>
              <w:rPr>
                <w:b/>
              </w:rPr>
              <w:t>Interpretação</w:t>
            </w:r>
          </w:p>
        </w:tc>
      </w:tr>
      <w:tr>
        <w:tc>
          <w:tcPr>
            <w:tcW w:w="0" w:type="auto"/>
          </w:tcPr>
          <w:p>
            <w:pPr>
              <w:pStyle w:val="TextoNormal-IPCA"/>
              <w:jc w:val="left"/>
            </w:pPr>
            <w:r>
              <w:t>Conformidade com o esquema</w:t>
            </w:r>
          </w:p>
        </w:tc>
        <w:tc>
          <w:tcPr>
            <w:tcW w:w="0" w:type="auto"/>
          </w:tcPr>
          <w:p>
            <w:pPr>
              <w:pStyle w:val="TextoNormal-IPCA"/>
              <w:jc w:val="left"/>
            </w:pPr>
            <w:r>
              <w:t>Respostas interpretáveis, campos previstos e valores dentro dos limites definidos</w:t>
            </w:r>
          </w:p>
        </w:tc>
        <w:tc>
          <w:tcPr>
            <w:tcW w:w="0" w:type="auto"/>
          </w:tcPr>
          <w:p>
            <w:pPr>
              <w:pStyle w:val="TextoNormal-IPCA"/>
              <w:jc w:val="left"/>
            </w:pPr>
            <w:r>
              <w:t>O esquema de parâmetros reduziu a ocorrência de sugestões inválidas</w:t>
            </w:r>
          </w:p>
        </w:tc>
      </w:tr>
      <w:tr>
        <w:tc>
          <w:tcPr>
            <w:tcW w:w="0" w:type="auto"/>
          </w:tcPr>
          <w:p>
            <w:pPr>
              <w:pStyle w:val="TextoNormal-IPCA"/>
              <w:jc w:val="left"/>
            </w:pPr>
            <w:r>
              <w:t>Relações dimensionais internas</w:t>
            </w:r>
          </w:p>
        </w:tc>
        <w:tc>
          <w:tcPr>
            <w:tcW w:w="0" w:type="auto"/>
          </w:tcPr>
          <w:p>
            <w:pPr>
              <w:pStyle w:val="TextoNormal-IPCA"/>
              <w:jc w:val="left"/>
            </w:pPr>
            <w:r>
              <w:t>Dedo médio mais longo, dedo mínimo mais curto e polegar inferior ao dedo médio nos casos arquivados</w:t>
            </w:r>
          </w:p>
        </w:tc>
        <w:tc>
          <w:tcPr>
            <w:tcW w:w="0" w:type="auto"/>
          </w:tcPr>
          <w:p>
            <w:pPr>
              <w:pStyle w:val="TextoNormal-IPCA"/>
              <w:jc w:val="left"/>
            </w:pPr>
            <w:r>
              <w:t>As relações definidas no protocolo foram respeitadas; o resultado não equivale a adequação anatómica individual</w:t>
            </w:r>
          </w:p>
        </w:tc>
      </w:tr>
      <w:tr>
        <w:tc>
          <w:tcPr>
            <w:tcW w:w="0" w:type="auto"/>
          </w:tcPr>
          <w:p>
            <w:pPr>
              <w:pStyle w:val="TextoNormal-IPCA"/>
              <w:jc w:val="left"/>
            </w:pPr>
            <w:r>
              <w:t>Entradas completas</w:t>
            </w:r>
          </w:p>
        </w:tc>
        <w:tc>
          <w:tcPr>
            <w:tcW w:w="0" w:type="auto"/>
          </w:tcPr>
          <w:p>
            <w:pPr>
              <w:pStyle w:val="TextoNormal-IPCA"/>
              <w:jc w:val="left"/>
            </w:pPr>
            <w:r>
              <w:t>Medições fornecidas mantidas sem alteração</w:t>
            </w:r>
          </w:p>
        </w:tc>
        <w:tc>
          <w:tcPr>
            <w:tcW w:w="0" w:type="auto"/>
          </w:tcPr>
          <w:p>
            <w:pPr>
              <w:pStyle w:val="TextoNormal-IPCA"/>
              <w:jc w:val="left"/>
            </w:pPr>
            <w:r>
              <w:t>A IA preservou os valores directamente declarados pelo utilizador</w:t>
            </w:r>
          </w:p>
        </w:tc>
      </w:tr>
      <w:tr>
        <w:tc>
          <w:tcPr>
            <w:tcW w:w="0" w:type="auto"/>
          </w:tcPr>
          <w:p>
            <w:pPr>
              <w:pStyle w:val="TextoNormal-IPCA"/>
              <w:jc w:val="left"/>
            </w:pPr>
            <w:r>
              <w:t>Entradas parciais</w:t>
            </w:r>
          </w:p>
        </w:tc>
        <w:tc>
          <w:tcPr>
            <w:tcW w:w="0" w:type="auto"/>
          </w:tcPr>
          <w:p>
            <w:pPr>
              <w:pStyle w:val="TextoNormal-IPCA"/>
              <w:jc w:val="left"/>
            </w:pPr>
            <w:r>
              <w:t>Campos em falta estimados a partir da medida fornecida</w:t>
            </w:r>
          </w:p>
        </w:tc>
        <w:tc>
          <w:tcPr>
            <w:tcW w:w="0" w:type="auto"/>
          </w:tcPr>
          <w:p>
            <w:pPr>
              <w:pStyle w:val="TextoNormal-IPCA"/>
              <w:jc w:val="left"/>
            </w:pPr>
            <w:r>
              <w:t>O sistema combinou dados explícitos com referências populacionais</w:t>
            </w:r>
          </w:p>
        </w:tc>
      </w:tr>
      <w:tr>
        <w:tc>
          <w:tcPr>
            <w:tcW w:w="0" w:type="auto"/>
          </w:tcPr>
          <w:p>
            <w:pPr>
              <w:pStyle w:val="TextoNormal-IPCA"/>
              <w:jc w:val="left"/>
            </w:pPr>
            <w:r>
              <w:t>Entradas apenas demográficas</w:t>
            </w:r>
          </w:p>
        </w:tc>
        <w:tc>
          <w:tcPr>
            <w:tcW w:w="0" w:type="auto"/>
          </w:tcPr>
          <w:p>
            <w:pPr>
              <w:pStyle w:val="TextoNormal-IPCA"/>
              <w:jc w:val="left"/>
            </w:pPr>
            <w:r>
              <w:t>Conjunto completo de parâmetros dentro dos intervalos</w:t>
            </w:r>
          </w:p>
        </w:tc>
        <w:tc>
          <w:tcPr>
            <w:tcW w:w="0" w:type="auto"/>
          </w:tcPr>
          <w:p>
            <w:pPr>
              <w:pStyle w:val="TextoNormal-IPCA"/>
              <w:jc w:val="left"/>
            </w:pPr>
            <w:r>
              <w:t>O fluxo gerou um ponto de partida que requer confirmação por medição ou por um profissional competente</w:t>
            </w:r>
          </w:p>
        </w:tc>
      </w:tr>
      <w:tr>
        <w:tc>
          <w:tcPr>
            <w:tcW w:w="0" w:type="auto"/>
          </w:tcPr>
          <w:p>
            <w:pPr>
              <w:pStyle w:val="TextoNormal-IPCA"/>
              <w:jc w:val="left"/>
            </w:pPr>
            <w:r>
              <w:t>Lateralidade antes da correcção</w:t>
            </w:r>
          </w:p>
        </w:tc>
        <w:tc>
          <w:tcPr>
            <w:tcW w:w="0" w:type="auto"/>
          </w:tcPr>
          <w:p>
            <w:pPr>
              <w:pStyle w:val="TextoNormal-IPCA"/>
              <w:jc w:val="left"/>
            </w:pPr>
            <w:r>
              <w:t>0/7 respostas correctas para pedidos de mão esquerda; 4/4 para mão direita; uma falha de análise</w:t>
            </w:r>
          </w:p>
        </w:tc>
        <w:tc>
          <w:tcPr>
            <w:tcW w:w="0" w:type="auto"/>
          </w:tcPr>
          <w:p>
            <w:pPr>
              <w:pStyle w:val="TextoNormal-IPCA"/>
              <w:jc w:val="left"/>
            </w:pPr>
            <w:r>
              <w:t>A IA não oferecia comportamento aceitável neste parâmetro</w:t>
            </w:r>
          </w:p>
        </w:tc>
      </w:tr>
      <w:tr>
        <w:tc>
          <w:tcPr>
            <w:tcW w:w="0" w:type="auto"/>
          </w:tcPr>
          <w:p>
            <w:pPr>
              <w:pStyle w:val="TextoNormal-IPCA"/>
              <w:jc w:val="left"/>
            </w:pPr>
            <w:r>
              <w:t>Lateralidade após a correcção</w:t>
            </w:r>
          </w:p>
        </w:tc>
        <w:tc>
          <w:tcPr>
            <w:tcW w:w="0" w:type="auto"/>
          </w:tcPr>
          <w:p>
            <w:pPr>
              <w:pStyle w:val="TextoNormal-IPCA"/>
              <w:jc w:val="left"/>
            </w:pPr>
            <w:r>
              <w:t>Campo omitido em 9/9 execuções</w:t>
            </w:r>
          </w:p>
        </w:tc>
        <w:tc>
          <w:tcPr>
            <w:tcW w:w="0" w:type="auto"/>
          </w:tcPr>
          <w:p>
            <w:pPr>
              <w:pStyle w:val="TextoNormal-IPCA"/>
              <w:jc w:val="left"/>
            </w:pPr>
            <w:r>
              <w:t>A escolha passou a ser determinística e independente da resposta da IA</w:t>
            </w:r>
          </w:p>
        </w:tc>
      </w:tr>
    </w:tbl>
    <w:p>
      <w:pPr>
        <w:pStyle w:val="TextoNormal-IPCA"/>
      </w:pPr>
      <w: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Cabealho2"/>
        <w:numPr>
          <w:ilvl w:val="1"/>
          <w:numId w:val="0"/>
        </w:numPr>
      </w:pPr>
      <w:r>
        <w:t>8.3 Verificação geométrica entre modelos</w:t>
      </w:r>
    </w:p>
    <w:p>
      <w:pPr>
        <w:pStyle w:val="TextoNormal-IPCA"/>
      </w:pPr>
      <w:r>
        <w:t>A verificação geométrica testou se os valores sugeridos chegavam à malha exportada em três modelos activos da plataforma: Flexy Beast, Paraglider Hand e UnLimbited Phoenix. Para cada modelo foram comparados um valor de referência por omissão e três perfis simulados: criança, mulher adulta e homem adulto. As execuções arquivadas devolveram valores dentro dos intervalos declarados. O ensaio compara a resposta dimensional das geometrias; não avalia ajuste ao corpo, conforto, função ou segurança.</w:t>
      </w:r>
    </w:p>
    <w:p>
      <w:pPr>
        <w:pStyle w:val="Legenda"/>
      </w:pPr>
      <w:r>
        <w:t>Tabela 8.6 — Modelos e mecanismos de escala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Entradas antropométricas principais</w:t>
            </w:r>
          </w:p>
        </w:tc>
        <w:tc>
          <w:tcPr>
            <w:tcW w:w="0" w:type="auto"/>
          </w:tcPr>
          <w:p>
            <w:pPr>
              <w:pStyle w:val="TextoNormal-IPCA"/>
              <w:jc w:val="center"/>
            </w:pPr>
            <w:r>
              <w:rPr>
                <w:b/>
              </w:rPr>
              <w:t>Mecanismo de escala</w:t>
            </w:r>
          </w:p>
        </w:tc>
        <w:tc>
          <w:tcPr>
            <w:tcW w:w="0" w:type="auto"/>
          </w:tcPr>
          <w:p>
            <w:pPr>
              <w:pStyle w:val="TextoNormal-IPCA"/>
              <w:jc w:val="center"/>
            </w:pPr>
            <w:r>
              <w:rPr>
                <w:b/>
              </w:rPr>
              <w:t>Implicação observada</w:t>
            </w:r>
          </w:p>
        </w:tc>
      </w:tr>
      <w:tr>
        <w:tc>
          <w:tcPr>
            <w:tcW w:w="0" w:type="auto"/>
          </w:tcPr>
          <w:p>
            <w:pPr>
              <w:pStyle w:val="TextoNormal-IPCA"/>
              <w:jc w:val="left"/>
            </w:pPr>
            <w:r>
              <w:t>Flexy Beast</w:t>
            </w:r>
          </w:p>
        </w:tc>
        <w:tc>
          <w:tcPr>
            <w:tcW w:w="0" w:type="auto"/>
          </w:tcPr>
          <w:p>
            <w:pPr>
              <w:pStyle w:val="TextoNormal-IPCA"/>
              <w:jc w:val="left"/>
            </w:pPr>
            <w:r>
              <w:t>Largura da palma e comprimentos dos cinco dedos</w:t>
            </w:r>
          </w:p>
        </w:tc>
        <w:tc>
          <w:tcPr>
            <w:tcW w:w="0" w:type="auto"/>
          </w:tcPr>
          <w:p>
            <w:pPr>
              <w:pStyle w:val="TextoNormal-IPCA"/>
              <w:jc w:val="left"/>
            </w:pPr>
            <w:r>
              <w:t>Escalas independentes para palma e dedos</w:t>
            </w:r>
          </w:p>
        </w:tc>
        <w:tc>
          <w:tcPr>
            <w:tcW w:w="0" w:type="auto"/>
          </w:tcPr>
          <w:p>
            <w:pPr>
              <w:pStyle w:val="TextoNormal-IPCA"/>
              <w:jc w:val="left"/>
            </w:pPr>
            <w:r>
              <w:t>Aceitou os valores inferiores usados no ensaio</w:t>
            </w:r>
          </w:p>
        </w:tc>
      </w:tr>
      <w:tr>
        <w:tc>
          <w:tcPr>
            <w:tcW w:w="0" w:type="auto"/>
          </w:tcPr>
          <w:p>
            <w:pPr>
              <w:pStyle w:val="TextoNormal-IPCA"/>
              <w:jc w:val="left"/>
            </w:pPr>
            <w:r>
              <w:t>Paraglider Hand</w:t>
            </w:r>
          </w:p>
        </w:tc>
        <w:tc>
          <w:tcPr>
            <w:tcW w:w="0" w:type="auto"/>
          </w:tcPr>
          <w:p>
            <w:pPr>
              <w:pStyle w:val="TextoNormal-IPCA"/>
              <w:jc w:val="left"/>
            </w:pPr>
            <w:r>
              <w:t>Palma e dedos, com parâmetros adicionais de contexto</w:t>
            </w:r>
          </w:p>
        </w:tc>
        <w:tc>
          <w:tcPr>
            <w:tcW w:w="0" w:type="auto"/>
          </w:tcPr>
          <w:p>
            <w:pPr>
              <w:pStyle w:val="TextoNormal-IPCA"/>
              <w:jc w:val="left"/>
            </w:pPr>
            <w:r>
              <w:t>Escala geral da palma e ajustes por dedo</w:t>
            </w:r>
          </w:p>
        </w:tc>
        <w:tc>
          <w:tcPr>
            <w:tcW w:w="0" w:type="auto"/>
          </w:tcPr>
          <w:p>
            <w:pPr>
              <w:pStyle w:val="TextoNormal-IPCA"/>
              <w:jc w:val="left"/>
            </w:pPr>
            <w:r>
              <w:t>Respondeu aos três perfis após a correcção da escala da palma</w:t>
            </w:r>
          </w:p>
        </w:tc>
      </w:tr>
      <w:tr>
        <w:tc>
          <w:tcPr>
            <w:tcW w:w="0" w:type="auto"/>
          </w:tcPr>
          <w:p>
            <w:pPr>
              <w:pStyle w:val="TextoNormal-IPCA"/>
              <w:jc w:val="left"/>
            </w:pPr>
            <w:r>
              <w:t>UnLimbited Phoenix</w:t>
            </w:r>
          </w:p>
        </w:tc>
        <w:tc>
          <w:tcPr>
            <w:tcW w:w="0" w:type="auto"/>
          </w:tcPr>
          <w:p>
            <w:pPr>
              <w:pStyle w:val="TextoNormal-IPCA"/>
              <w:jc w:val="left"/>
            </w:pPr>
            <w:r>
              <w:t>Largura da palma</w:t>
            </w:r>
          </w:p>
        </w:tc>
        <w:tc>
          <w:tcPr>
            <w:tcW w:w="0" w:type="auto"/>
          </w:tcPr>
          <w:p>
            <w:pPr>
              <w:pStyle w:val="TextoNormal-IPCA"/>
              <w:jc w:val="left"/>
            </w:pPr>
            <w:r>
              <w:t>Escala uniforme limitada por valor mínimo</w:t>
            </w:r>
          </w:p>
        </w:tc>
        <w:tc>
          <w:tcPr>
            <w:tcW w:w="0" w:type="auto"/>
          </w:tcPr>
          <w:p>
            <w:pPr>
              <w:pStyle w:val="TextoNormal-IPCA"/>
              <w:jc w:val="left"/>
            </w:pPr>
            <w:r>
              <w:t>Impediu reduções abaixo do limite definido no modelo</w:t>
            </w:r>
          </w:p>
        </w:tc>
      </w:tr>
    </w:tbl>
    <w:p>
      <w:pPr>
        <w:pStyle w:val="TextoNormal-IPCA"/>
      </w:pPr>
      <w:r>
        <w:t>Nota: os rácios apresentados são adimensionais. Um valor de 1,000 corresponde à dimensão da configuração de referência; valores inferiores indicam redução e valores superiores indicam aumento face a essa configuração.</w:t>
      </w:r>
    </w:p>
    <w:p>
      <w:pPr>
        <w:pStyle w:val="TextoNormal-IPCA"/>
      </w:pPr>
      <w:r>
        <w:t>Os resultados mostraram que o Flexy Beast e o Paraglider Hand responderam de forma semelhante aos mesmos perfis, reduzindo ou aumentando a maior dimensão da palma. O perfil infantil produziu rácios de 0,761 e 0,747 face ao valor de referência; a mulher adulta ficou em 0,932 e 0,928; e o homem adulto em 1,148 e 1,157. No Phoenix, o limite mínimo impediu a redução abaixo de cerca de 82 mm de largura da palma e manteve os perfis pequenos no tamanho mínimo previsto pelo modelo.</w:t>
      </w:r>
    </w:p>
    <w:p>
      <w:pPr>
        <w:pStyle w:val="Legenda"/>
      </w:pPr>
      <w:r>
        <w:t>Tabela 8.7 — Rácio adimensional da maior dimensão da palma exportada face ao valor de referência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Perfil</w:t>
            </w:r>
          </w:p>
        </w:tc>
        <w:tc>
          <w:tcPr>
            <w:tcW w:w="0" w:type="auto"/>
          </w:tcPr>
          <w:p>
            <w:pPr>
              <w:pStyle w:val="TextoNormal-IPCA"/>
              <w:jc w:val="center"/>
            </w:pPr>
            <w:r>
              <w:rPr>
                <w:b/>
              </w:rPr>
              <w:t>Flexy Beast</w:t>
            </w:r>
          </w:p>
        </w:tc>
        <w:tc>
          <w:tcPr>
            <w:tcW w:w="0" w:type="auto"/>
          </w:tcPr>
          <w:p>
            <w:pPr>
              <w:pStyle w:val="TextoNormal-IPCA"/>
              <w:jc w:val="center"/>
            </w:pPr>
            <w:r>
              <w:rPr>
                <w:b/>
              </w:rPr>
              <w:t>Paraglider Hand</w:t>
            </w:r>
          </w:p>
        </w:tc>
        <w:tc>
          <w:tcPr>
            <w:tcW w:w="0" w:type="auto"/>
          </w:tcPr>
          <w:p>
            <w:pPr>
              <w:pStyle w:val="TextoNormal-IPCA"/>
              <w:jc w:val="center"/>
            </w:pPr>
            <w:r>
              <w:rPr>
                <w:b/>
              </w:rPr>
              <w:t>UnLimbited Phoenix</w:t>
            </w:r>
          </w:p>
        </w:tc>
      </w:tr>
      <w:tr>
        <w:tc>
          <w:tcPr>
            <w:tcW w:w="0" w:type="auto"/>
          </w:tcPr>
          <w:p>
            <w:pPr>
              <w:pStyle w:val="TextoNormal-IPCA"/>
              <w:jc w:val="left"/>
            </w:pPr>
            <w:r>
              <w:t>Valor de referência</w:t>
            </w:r>
          </w:p>
        </w:tc>
        <w:tc>
          <w:tcPr>
            <w:tcW w:w="0" w:type="auto"/>
          </w:tcPr>
          <w:p>
            <w:pPr>
              <w:pStyle w:val="TextoNormal-IPCA"/>
              <w:jc w:val="left"/>
            </w:pPr>
            <w:r>
              <w:t>1,000</w:t>
            </w:r>
          </w:p>
        </w:tc>
        <w:tc>
          <w:tcPr>
            <w:tcW w:w="0" w:type="auto"/>
          </w:tcPr>
          <w:p>
            <w:pPr>
              <w:pStyle w:val="TextoNormal-IPCA"/>
              <w:jc w:val="left"/>
            </w:pPr>
            <w:r>
              <w:t>1,000</w:t>
            </w:r>
          </w:p>
        </w:tc>
        <w:tc>
          <w:tcPr>
            <w:tcW w:w="0" w:type="auto"/>
          </w:tcPr>
          <w:p>
            <w:pPr>
              <w:pStyle w:val="TextoNormal-IPCA"/>
              <w:jc w:val="left"/>
            </w:pPr>
            <w:r>
              <w:t>1,000</w:t>
            </w:r>
          </w:p>
        </w:tc>
      </w:tr>
      <w:tr>
        <w:tc>
          <w:tcPr>
            <w:tcW w:w="0" w:type="auto"/>
          </w:tcPr>
          <w:p>
            <w:pPr>
              <w:pStyle w:val="TextoNormal-IPCA"/>
              <w:jc w:val="left"/>
            </w:pPr>
            <w:r>
              <w:t>Criança</w:t>
            </w:r>
          </w:p>
        </w:tc>
        <w:tc>
          <w:tcPr>
            <w:tcW w:w="0" w:type="auto"/>
          </w:tcPr>
          <w:p>
            <w:pPr>
              <w:pStyle w:val="TextoNormal-IPCA"/>
              <w:jc w:val="left"/>
            </w:pPr>
            <w:r>
              <w:t>0,761</w:t>
            </w:r>
          </w:p>
        </w:tc>
        <w:tc>
          <w:tcPr>
            <w:tcW w:w="0" w:type="auto"/>
          </w:tcPr>
          <w:p>
            <w:pPr>
              <w:pStyle w:val="TextoNormal-IPCA"/>
              <w:jc w:val="left"/>
            </w:pPr>
            <w:r>
              <w:t>0,747</w:t>
            </w:r>
          </w:p>
        </w:tc>
        <w:tc>
          <w:tcPr>
            <w:tcW w:w="0" w:type="auto"/>
          </w:tcPr>
          <w:p>
            <w:pPr>
              <w:pStyle w:val="TextoNormal-IPCA"/>
              <w:jc w:val="left"/>
            </w:pPr>
            <w:r>
              <w:t>1,000 após a correcção</w:t>
            </w:r>
          </w:p>
        </w:tc>
      </w:tr>
      <w:tr>
        <w:tc>
          <w:tcPr>
            <w:tcW w:w="0" w:type="auto"/>
          </w:tcPr>
          <w:p>
            <w:pPr>
              <w:pStyle w:val="TextoNormal-IPCA"/>
              <w:jc w:val="left"/>
            </w:pPr>
            <w:r>
              <w:t>Mulher adulta</w:t>
            </w:r>
          </w:p>
        </w:tc>
        <w:tc>
          <w:tcPr>
            <w:tcW w:w="0" w:type="auto"/>
          </w:tcPr>
          <w:p>
            <w:pPr>
              <w:pStyle w:val="TextoNormal-IPCA"/>
              <w:jc w:val="left"/>
            </w:pPr>
            <w:r>
              <w:t>0,932</w:t>
            </w:r>
          </w:p>
        </w:tc>
        <w:tc>
          <w:tcPr>
            <w:tcW w:w="0" w:type="auto"/>
          </w:tcPr>
          <w:p>
            <w:pPr>
              <w:pStyle w:val="TextoNormal-IPCA"/>
              <w:jc w:val="left"/>
            </w:pPr>
            <w:r>
              <w:t>0,928</w:t>
            </w:r>
          </w:p>
        </w:tc>
        <w:tc>
          <w:tcPr>
            <w:tcW w:w="0" w:type="auto"/>
          </w:tcPr>
          <w:p>
            <w:pPr>
              <w:pStyle w:val="TextoNormal-IPCA"/>
              <w:jc w:val="left"/>
            </w:pPr>
            <w:r>
              <w:t>1,000</w:t>
            </w:r>
          </w:p>
        </w:tc>
      </w:tr>
      <w:tr>
        <w:tc>
          <w:tcPr>
            <w:tcW w:w="0" w:type="auto"/>
          </w:tcPr>
          <w:p>
            <w:pPr>
              <w:pStyle w:val="TextoNormal-IPCA"/>
              <w:jc w:val="left"/>
            </w:pPr>
            <w:r>
              <w:t>Homem adulto</w:t>
            </w:r>
          </w:p>
        </w:tc>
        <w:tc>
          <w:tcPr>
            <w:tcW w:w="0" w:type="auto"/>
          </w:tcPr>
          <w:p>
            <w:pPr>
              <w:pStyle w:val="TextoNormal-IPCA"/>
              <w:jc w:val="left"/>
            </w:pPr>
            <w:r>
              <w:t>1,148</w:t>
            </w:r>
          </w:p>
        </w:tc>
        <w:tc>
          <w:tcPr>
            <w:tcW w:w="0" w:type="auto"/>
          </w:tcPr>
          <w:p>
            <w:pPr>
              <w:pStyle w:val="TextoNormal-IPCA"/>
              <w:jc w:val="left"/>
            </w:pPr>
            <w:r>
              <w:t>1,157</w:t>
            </w:r>
          </w:p>
        </w:tc>
        <w:tc>
          <w:tcPr>
            <w:tcW w:w="0" w:type="auto"/>
          </w:tcPr>
          <w:p>
            <w:pPr>
              <w:pStyle w:val="TextoNormal-IPCA"/>
              <w:jc w:val="left"/>
            </w:pPr>
            <w:r>
              <w:t>1,171</w:t>
            </w:r>
          </w:p>
        </w:tc>
      </w:tr>
    </w:tbl>
    <w:p>
      <w:pPr>
        <w:pStyle w:val="TextoNormal-IPCA"/>
      </w:pPr>
      <w:r>
        <w:t>Antes da correcção, um percurso alternativo do Phoenix tinha produzido um rácio de 0,760 no perfil infantil. Esse valor foi rejeitado porque ultrapassava o limite mínimo declarado para o modelo; por isso, não integra a Tabela 8.7 como resultado aceite.</w:t>
      </w:r>
    </w:p>
    <w:p>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pPr>
      <w:r>
        <w:t>A correcção passou por uma análise mais robusta do texto de entrada, capaz de reconhecer termos em diferentes línguas, respeitar fronteiras de palavra e classificar de forma mais fiável os grupos etários.</w:t>
      </w:r>
    </w:p>
    <w:p>
      <w:pPr>
        <w:pStyle w:val="TextoNormal-IPCA"/>
      </w:pPr>
      <w: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pPr>
      <w: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Cabealho2"/>
        <w:numPr>
          <w:ilvl w:val="1"/>
          <w:numId w:val="0"/>
        </w:numPr>
      </w:pPr>
      <w:r>
        <w:t>8.4 Discussão dos resultados face aos objectivos</w:t>
      </w:r>
    </w:p>
    <w:p>
      <w:pPr>
        <w:pStyle w:val="TextoNormal-IPCA"/>
      </w:pPr>
      <w: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pPr>
      <w: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sem sustentar conclusões sobre ajuste, montagem completa, resistência, conforto ou uso continuado.</w:t>
      </w:r>
    </w:p>
    <w:p>
      <w:pPr>
        <w:pStyle w:val="TextoNormal-IPCA"/>
      </w:pPr>
      <w: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Cabealho1"/>
        <w:pageBreakBefore/>
        <w:numPr>
          <w:ilvl w:val="0"/>
          <w:numId w:val="0"/>
        </w:numPr>
      </w:pPr>
      <w:r>
        <w:t>Capítulo 9 — Conclusões e Trabalhos Futuros</w:t>
      </w:r>
    </w:p>
    <w:p>
      <w:pPr>
        <w:pStyle w:val="Cabealho2"/>
        <w:numPr>
          <w:ilvl w:val="1"/>
          <w:numId w:val="0"/>
        </w:numPr>
      </w:pPr>
      <w:r>
        <w:t>9.1 Resposta ao problema e às perguntas de investigação</w:t>
      </w:r>
    </w:p>
    <w:p>
      <w:pPr>
        <w:pStyle w:val="TextoNormal-IPCA"/>
      </w:pPr>
      <w: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pPr>
      <w:r>
        <w:t>Quanto à primeira pergunta, o design paramétrico e a IA apoiaram a configuração preliminar através de funções distintas. O esquema definiu nomes, tipos, intervalos e valores correntes; a IA propôs conjuntos iniciais de parâmetros nos casos arquivados; as regras determinísticas controlaram a lateralidade e a geração geométrica; e a decisão final permaneceu sob responsabilidade humana. Esta distribuição tornou explícito o limite da IA como mecanismo de sugestão. Conforto, ajuste individual e desempenho funcional ficaram fora da avaliação.</w:t>
      </w:r>
    </w:p>
    <w:p>
      <w:pPr>
        <w:pStyle w:val="TextoNormal-IPCA"/>
      </w:pPr>
      <w:r>
        <w:t>Quanto à segunda pergunta, a combinação de ciclos de Research Through Design, ensaios unitários, cenários simulados, inspecção de respostas JSON, medição de malhas, exportação, preparação em programas de fatiamento e observação de peças físicas permitiu examinar diferentes etapas do mesmo percurso. A análise revelou falhas de correspondência populacional, lateralidade, propagação de escala, limites mínimos e integridade de malha. Cada método incidiu sobre um objecto específico e, em conjunto, permitiram relacionar valores, geometria e materialização. Ensaios dimensionais das peças, séries controladas, resistência e avaliação clínica exigem protocolos posteriores.</w:t>
      </w:r>
    </w:p>
    <w:p>
      <w:pPr>
        <w:pStyle w:val="TextoNormal-IPCA"/>
      </w:pPr>
      <w:r>
        <w:t>Quanto à terceira pergunta, o design industrial articulou os componentes através da organização dos parâmetros por função, da definição de permissões, da apresentação da geometria e da sequência entre configuração, visualização, exportação e preparação para fabrico. A arquitectura separou interface, persistência, sugestão por IA e processamento geométrico no navegador. Esta separação permitiu localizar a origem de cada transformação e reservar decisões críticas para regras ou pessoas responsáveis.</w:t>
      </w:r>
    </w:p>
    <w:p>
      <w:pPr>
        <w:pStyle w:val="TextoNormal-IPCA"/>
      </w:pPr>
      <w:r>
        <w:t>A hipótese principal recebeu apoio nos três modelos comparados: o sistema completou o fluxo entre configuração, geração, exportação e preparação, embora com limites próprios de cada biblioteca. As hipóteses secundárias foram igualmente apoiadas pelos casos estudados. O controlo independente expôs relações ocultadas pelo escalonamento uniforme; a IA forneceu pontos de partida dentro do esquema, mas revelou uma falha sistemática de lateralidade; e a análise das malhas e dos protótipos identificou problemas ausentes da resposta numérica. Estas conclusões permanecem circunscritas às versões, cenários e condições documentadas.</w:t>
      </w:r>
    </w:p>
    <w:p>
      <w:pPr>
        <w:pStyle w:val="Cabealho2"/>
        <w:numPr>
          <w:ilvl w:val="1"/>
          <w:numId w:val="0"/>
        </w:numPr>
      </w:pPr>
      <w:r>
        <w:t>9.2 Contributos da investigação</w:t>
      </w:r>
    </w:p>
    <w:p>
      <w:pPr>
        <w:pStyle w:val="TextoNormal-IPCA"/>
      </w:pPr>
      <w: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pPr>
      <w: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pPr>
      <w:r>
        <w:t>O contributo metodológico é a documentação dos ciclos de Research Through Design que ligam situação, artefacto, ensaio, resultado e alteração. A passagem sucessiva pela resposta numérica, geometria exportada, projecto de fatiamento e peça física revelou falhas que ficariam ocultas num único nível de análise.</w:t>
      </w:r>
    </w:p>
    <w:p>
      <w:pPr>
        <w:pStyle w:val="TextoNormal-IPCA"/>
      </w:pPr>
      <w: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Cabealho2"/>
        <w:numPr>
          <w:ilvl w:val="1"/>
          <w:numId w:val="0"/>
        </w:numPr>
      </w:pPr>
      <w:r>
        <w:t>9.3 Limitações</w:t>
      </w:r>
    </w:p>
    <w:p>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pPr>
      <w:r>
        <w:t xml:space="preserve">Os registos da IA correspondem a conjuntos finitos de execuções e a versões específicas do código. Não foi realizado um estudo estatístico com amostras extensas por cenário. A versão actual da branch </w:t>
      </w:r>
      <w:r>
        <w:t>staging</w:t>
      </w:r>
      <w:r>
        <w:t xml:space="preserve"> foi inspeccionada e os dez ensaios unitários disponíveis foram concluídos, mas a bateria completa no navegador não foi novamente executada no fecho da dissertação.</w:t>
      </w:r>
    </w:p>
    <w:p>
      <w:pPr>
        <w:pStyle w:val="TextoNormal-IPCA"/>
      </w:pPr>
      <w:r>
        <w:t>A avaliação física baseia-se em três perfis de preparação, configurações reutilizadas noutras impressões e registo fotográfico das peças. Não existem medições dimensionais sistemáticas das peças, comparação controlada entre PLA e PETG, ensaios de carga, desgaste, conforto, segurança, montagem funcional completa ou utilização prolongada.</w:t>
      </w:r>
    </w:p>
    <w:p>
      <w:pPr>
        <w:pStyle w:val="TextoNormal-IPCA"/>
      </w:pPr>
      <w: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Cabealho2"/>
        <w:numPr>
          <w:ilvl w:val="1"/>
          <w:numId w:val="0"/>
        </w:numPr>
      </w:pPr>
      <w:r>
        <w:t>9.4 Trabalho futuro</w:t>
      </w:r>
    </w:p>
    <w:p>
      <w:pPr>
        <w:pStyle w:val="TextoNormal-IPCA"/>
      </w:pPr>
      <w:r>
        <w:t>A primeira etapa futura deve criar uma referência dimensional verificável. Para cada perfil, devem registar-se medidas de entrada, dimensões da malha e dimensões da peça impressa nos mesmos pontos anatómicos, com instrumentos, tolerâncias e critérios de aceitação definidos. Esta etapa permitiria quantificar os desvios introduzidos pela modelação, exportação, fatiamento e impressão.</w:t>
      </w:r>
    </w:p>
    <w:p>
      <w:pPr>
        <w:pStyle w:val="TextoNormal-IPCA"/>
      </w:pPr>
      <w:r>
        <w:t>A segunda etapa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pPr>
      <w:r>
        <w:t>A terceira etapa deve avaliar fabrico e função por protocolos separados. Os ensaios devem comparar materiais e impressoras com corpos de prova e componentes equivalentes, medir folgas e montagem, e aplicar testes de carga, fadiga e desgaste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pPr>
      <w:r>
        <w:t>A quarta etapa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pPr>
      <w: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p>
    <w:p>
      <w:pPr>
        <w:pStyle w:val="TtulosPrembulo-IPCA"/>
        <w:pageBreakBefore/>
        <w:numPr>
          <w:ilvl w:val="0"/>
          <w:numId w:val="0"/>
        </w:numPr>
      </w:pPr>
      <w:r>
        <w:t>Referências Bibliográficas</w:t>
      </w:r>
    </w:p>
    <w:p>
      <w:pPr>
        <w:pStyle w:val="Bibliografia"/>
        <w:jc w:val="left"/>
      </w:pPr>
      <w:r>
        <w:t>Akasaka, F., Mitake, Y., Watanabe, K., &amp; Shimomura, Y. (2022). A framework for ‘configuring participation’ in living labs. Design Science, 8, e28. https://doi.org/10.1017/dsj.2022.22</w:t>
      </w:r>
    </w:p>
    <w:p>
      <w:pPr>
        <w:pStyle w:val="Bibliografia"/>
        <w:jc w:val="left"/>
      </w:pPr>
      <w:r>
        <w:t>Akyol, P., Barker, T., Hall, R., Morrissey, K., McCarthy, J., &amp; Mackley, K. L. (2021). DiaFit: Designing customizable wearables for Type 1 diabetes monitoring. https://www.semanticscholar.org/paper/ea18361f7564fb19db367899adb6295a07bfa05c</w:t>
      </w:r>
    </w:p>
    <w:p>
      <w:pPr>
        <w:pStyle w:val="Bibliografia"/>
        <w:jc w:val="left"/>
      </w:pPr>
      <w:r>
        <w:t>Albin, T., &amp; Molenbroek, J. F. M. (2023). Introduction to the special issue, anthropometry in design. https://repository.tudelft.nl/file/Fileda5bfdc9-98bc-41d3-a402-553d5f0d0a63</w:t>
      </w:r>
    </w:p>
    <w:p>
      <w:pPr>
        <w:pStyle w:val="Bibliografia"/>
        <w:jc w:val="left"/>
      </w:pPr>
      <w: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fia"/>
        <w:jc w:val="left"/>
      </w:pPr>
      <w:r>
        <w:t>Alluhydan, A., Alsaadi, S., Almutairi, A., &amp; Alharbi, A. (2023). Functionality and comfort design of lower-limb prosthetics: A review.</w:t>
      </w:r>
    </w:p>
    <w:p>
      <w:pPr>
        <w:pStyle w:val="Bibliografia"/>
        <w:jc w:val="left"/>
      </w:pPr>
      <w: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fia"/>
        <w:jc w:val="left"/>
      </w:pPr>
      <w:r>
        <w:t>Anderson, C. B., Stephens, A. R., Scully, A., Pasquina, P. F., &amp; Highsmith, M. J. (2024). A narrative review of prosthesis design decision making after lower-limb amputation for developing shared decision-making resources.</w:t>
      </w:r>
    </w:p>
    <w:p>
      <w:pPr>
        <w:pStyle w:val="Bibliografia"/>
        <w:jc w:val="left"/>
      </w:pPr>
      <w:r>
        <w:t>Andrysek, J. (2010). Lower-limb prosthetic technologies in the developing world: A review of literature from 1994-2010.</w:t>
      </w:r>
    </w:p>
    <w:p>
      <w:pPr>
        <w:pStyle w:val="Bibliografia"/>
        <w:jc w:val="left"/>
      </w:pPr>
      <w: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fia"/>
        <w:jc w:val="left"/>
      </w:pPr>
      <w:r>
        <w:t>ASTM International. (2024). Standard guide for assessing fit accommodation of exoskeletons for manufacturers and designers. https://www.astm.org/f3661-24.html</w:t>
      </w:r>
    </w:p>
    <w:p>
      <w:pPr>
        <w:pStyle w:val="Bibliografia"/>
        <w:jc w:val="left"/>
      </w:pPr>
      <w: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fia"/>
        <w:jc w:val="left"/>
      </w:pPr>
      <w: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fia"/>
        <w:jc w:val="left"/>
      </w:pPr>
      <w:r>
        <w:t>Baldock, C., Greaves, M., Chockalingam, N., &amp; Kark, L. (2023). Adjustable prosthetic sockets: A systematic review of industrial and research design characteristics and their justifications.</w:t>
      </w:r>
    </w:p>
    <w:p>
      <w:pPr>
        <w:pStyle w:val="Bibliografia"/>
        <w:jc w:val="left"/>
      </w:pPr>
      <w: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fia"/>
        <w:jc w:val="left"/>
      </w:pPr>
      <w: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fia"/>
        <w:jc w:val="left"/>
      </w:pPr>
      <w:r>
        <w:t xml:space="preserve">Base local consolidada de dados antropométricos da mão e do membro superior distal. (2026). [Conjunto de dados]. Material de apoio da investigação, </w:t>
      </w:r>
      <w:r>
        <w:t>data/multi_population_hand.csv</w:t>
      </w:r>
      <w:r>
        <w:t>, repositório da plataforma.</w:t>
      </w:r>
    </w:p>
    <w:p>
      <w:pPr>
        <w:pStyle w:val="Bibliografia"/>
        <w:jc w:val="left"/>
      </w:pPr>
      <w:r>
        <w:t>Bates, T., Fergason, J., &amp; Pierrie, S. N. (2020). Technological advances in prosthesis design and rehabilitation following upper extremity limb loss. https://www.semanticscholar.org/paper/905056ffa9fa963e8df8b974d90b94c05a5f7e29</w:t>
      </w:r>
    </w:p>
    <w:p>
      <w:pPr>
        <w:pStyle w:val="Bibliografia"/>
        <w:jc w:val="left"/>
      </w:pPr>
      <w:r>
        <w:t>Baumann, C., &amp; Maria, P. (2023). Improving access to prosthetic limbs in Germany: An explorative review.</w:t>
      </w:r>
    </w:p>
    <w:p>
      <w:pPr>
        <w:pStyle w:val="Bibliografia"/>
        <w:jc w:val="left"/>
      </w:pPr>
      <w:r>
        <w:t>Biddiss, E., Beaton, D., &amp; Chau, T. (2007). Consumer design priorities for upper limb prosthetics. Disability and Rehabilitation: Assistive Technology, 2(6), 346-357. https://doi.org/10.1080/17483100701714733</w:t>
      </w:r>
    </w:p>
    <w:p>
      <w:pPr>
        <w:pStyle w:val="Bibliografia"/>
        <w:jc w:val="left"/>
      </w:pPr>
      <w:r>
        <w:t>Brack, T., &amp; Amalu, E. H. (2021). A review of technology, materials and R&amp;D challenges of upper limb prosthesis for improved user suitability. Journal of Orthopaedics, 24, 88-96. https://doi.org/10.1016/j.jor.2021.03.011</w:t>
      </w:r>
    </w:p>
    <w:p>
      <w:pPr>
        <w:pStyle w:val="Bibliografia"/>
        <w:jc w:val="left"/>
      </w:pPr>
      <w:r>
        <w:t>Bradtmiller, B. (2022). Design for all, design for disabled: How important is anthropometry? https://researchonline.jcu.edu.au/76898/</w:t>
      </w:r>
    </w:p>
    <w:p>
      <w:pPr>
        <w:pStyle w:val="Bibliografia"/>
        <w:jc w:val="left"/>
      </w:pPr>
      <w:r>
        <w:t>Brooks, C. (2026). OpenSCAD Web [Computer software]. GitHub. https://github.com/CameronBrooks11/openscad-web</w:t>
      </w:r>
    </w:p>
    <w:p>
      <w:pPr>
        <w:pStyle w:val="Bibliografia"/>
        <w:jc w:val="left"/>
      </w:pPr>
      <w:r>
        <w:t>Burnap, A., Hauser, J., &amp; Timoshenko, A. (2019). Design and evaluation of product aesthetics: A human-machine hybrid approach. https://www.semanticscholar.org/paper/7a7994f2de74a61cbdeb3c230d1ee343a0d5e783</w:t>
      </w:r>
    </w:p>
    <w:p>
      <w:pPr>
        <w:pStyle w:val="Bibliografia"/>
        <w:jc w:val="left"/>
      </w:pPr>
      <w:r>
        <w:t>Bustamante, M., Vega-Centeno, R., Sanchez, M., &amp; Mio, R. (2018). A parametric 3D-printed body-powered hand prosthesis based on the four-bar linkage mechanism. In International Conferences on Biological Information and Biomedical Engineering.</w:t>
      </w:r>
    </w:p>
    <w:p>
      <w:pPr>
        <w:pStyle w:val="Bibliografia"/>
        <w:jc w:val="left"/>
      </w:pPr>
      <w:r>
        <w:t>Cabibihan, J.-J., Abubasha, M. K., &amp; Thakor, N. V. (2021). Suitability of the openly accessible 3D printed prosthetic hands for war-wounded children. Frontiers in Robotics and AI, 7, 594196. https://doi.org/10.3389/frobt.2020.594196</w:t>
      </w:r>
    </w:p>
    <w:p>
      <w:pPr>
        <w:pStyle w:val="Bibliografia"/>
        <w:jc w:val="left"/>
      </w:pPr>
      <w:r>
        <w:t>Cabibihan, J.-J., Pattofatto, S., Jomaa, M., Benallal, A., &amp; Carrozza, M. C. (2018). A method for 3-D printing patient-specific prosthetic arms with high accuracy shape and size. IEEE Access, 6, 25029-25039. https://doi.org/10.1109/ACCESS.2018.2831907</w:t>
      </w:r>
    </w:p>
    <w:p>
      <w:pPr>
        <w:pStyle w:val="Bibliografia"/>
        <w:jc w:val="left"/>
      </w:pPr>
      <w:r>
        <w:t>Chadwell, A., Kenney, L., Thies, S., Galpin, A., &amp; Head, J. (2020). Technology for monitoring everyday prosthesis use: A systematic review.</w:t>
      </w:r>
    </w:p>
    <w:p>
      <w:pPr>
        <w:pStyle w:val="Bibliografia"/>
        <w:jc w:val="left"/>
      </w:pPr>
      <w: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fia"/>
        <w:jc w:val="left"/>
      </w:pPr>
      <w:r>
        <w:t>Chapman, K., Allen, C., &amp; Kendall, E. (2025). Methods for co-designing health communication initiatives with people with disability: A scoping review. Health Communication. https://doi.org/10.1080/10810730.2025.2462679</w:t>
      </w:r>
    </w:p>
    <w:p>
      <w:pPr>
        <w:pStyle w:val="Bibliografia"/>
        <w:jc w:val="left"/>
      </w:pPr>
      <w:r>
        <w:t>Chatzioglou, G. N., Pinar, Y., &amp; Govsa, F. (2024). Biometric analysis hand parameters in young adults for prosthetic hand and ergonomic product applications. Anatomy &amp; Cell Biology, 57, 172-182. https://doi.org/10.5115/acb.23.310</w:t>
      </w:r>
    </w:p>
    <w:p>
      <w:pPr>
        <w:pStyle w:val="Bibliografia"/>
        <w:jc w:val="left"/>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fia"/>
        <w:jc w:val="left"/>
      </w:pPr>
      <w:r>
        <w:t>Chtioui, N., Gaha, R., &amp; Benamara, A. (2023). Design for additive manufacturing: Review and framework proposal. https://sei.ardascience.com/index.php/journal/article/download/185/169</w:t>
      </w:r>
    </w:p>
    <w:p>
      <w:pPr>
        <w:pStyle w:val="Bibliografia"/>
        <w:jc w:val="left"/>
      </w:pPr>
      <w:r>
        <w:t>Clarkson, J., &amp; Coleman, R. (2010). Inclusive design. Design Studies. https://doi.org/10.1080/09544821003693689</w:t>
      </w:r>
    </w:p>
    <w:p>
      <w:pPr>
        <w:pStyle w:val="Bibliografia"/>
        <w:jc w:val="left"/>
      </w:pPr>
      <w:r>
        <w:t>Cole, E. (2011). Patient-centered design: Interface personalization for individuals with brain injury.</w:t>
      </w:r>
    </w:p>
    <w:p>
      <w:pPr>
        <w:pStyle w:val="Bibliografia"/>
        <w:jc w:val="left"/>
      </w:pPr>
      <w:r>
        <w:t>Colombo, G., Facoetti, G., Rizzi, C., &amp; Vitali, A. (2015). Low cost hand-tracking devices to design customized medical devices. Interacción. https://doi.org/10.1007/978-3-319-21067-436</w:t>
      </w:r>
    </w:p>
    <w:p>
      <w:pPr>
        <w:pStyle w:val="Bibliografia"/>
        <w:jc w:val="left"/>
      </w:pPr>
      <w:r>
        <w:t>Cordella, F., Ciancio, A. L., Sacchetti, R., Davalli, A., Cutti, A. G., Guglielmelli, E., &amp; Zollo, L. (2016). Literature review on needs of upper limb prosthesis users.</w:t>
      </w:r>
    </w:p>
    <w:p>
      <w:pPr>
        <w:pStyle w:val="Bibliografia"/>
        <w:jc w:val="left"/>
      </w:pPr>
      <w:r>
        <w:t>Costabile, M. F., Fogli, D., Lanzilotti, R., Marcante, A., Mussio, P., Provenza, L. P., &amp; Piccinno, A. (2007). Meta-design to face co-evolution and communication gaps between users and designers.</w:t>
      </w:r>
    </w:p>
    <w:p>
      <w:pPr>
        <w:pStyle w:val="Bibliografia"/>
        <w:jc w:val="left"/>
      </w:pPr>
      <w:r>
        <w:t>Cross, N. (1982). Designerly ways of knowing. Design Studies, 3(4), 221-227. https://doi.org/10.1016/0142-694X(82)90040-0</w:t>
      </w:r>
    </w:p>
    <w:p>
      <w:pPr>
        <w:pStyle w:val="Bibliografia"/>
        <w:jc w:val="left"/>
      </w:pPr>
      <w: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fia"/>
        <w:jc w:val="left"/>
      </w:pPr>
      <w: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fia"/>
        <w:jc w:val="left"/>
      </w:pPr>
      <w:r>
        <w:t>daprice. (n.d.). Flexy Beast [README file]. GitHub. Retrieved July 13, 2026, from https://github.com/daprice/Flexy-Beast/blob/master/README.md</w:t>
      </w:r>
    </w:p>
    <w:p>
      <w:pPr>
        <w:pStyle w:val="Bibliografia"/>
        <w:jc w:val="left"/>
      </w:pPr>
      <w:r>
        <w:t>Dechev, N., Penner, A., Barlow, I., Vukovic, G., &amp; Lalji, M. (2023). Accessible prosthetic arms: Victoria Hand Project and the impact of 3D printing.</w:t>
      </w:r>
    </w:p>
    <w:p>
      <w:pPr>
        <w:pStyle w:val="Bibliografia"/>
        <w:jc w:val="left"/>
      </w:pPr>
      <w:r>
        <w:t>Design Council. (2020). Framework for innovation. https://www.designcouncil.org.uk/our-resources/framework-for-innovation/</w:t>
      </w:r>
    </w:p>
    <w:p>
      <w:pPr>
        <w:pStyle w:val="Bibliografia"/>
        <w:jc w:val="left"/>
      </w:pPr>
      <w:r>
        <w:t>Dexter, M., Crooks, E., Davies, P., &amp; Simm, W. (2013). Open design and cystic fibrosis: Enabling participation in the design process.</w:t>
      </w:r>
    </w:p>
    <w:p>
      <w:pPr>
        <w:pStyle w:val="Bibliografia"/>
        <w:jc w:val="left"/>
      </w:pPr>
      <w:r>
        <w:t>Diment, L. E., Thompson, M. S., &amp; Bergmann, J. H. M. (2018). Three-dimensional printed upper-limb prostheses lack randomised controlled trials: A systematic review. Prosthetics and Orthotics International, 42(1), 7-13. https://doi.org/10.1177/0309364617704803</w:t>
      </w:r>
    </w:p>
    <w:p>
      <w:pPr>
        <w:pStyle w:val="Bibliografia"/>
        <w:jc w:val="left"/>
      </w:pPr>
      <w:r>
        <w:t>Domínguez-Ruiz, M., Ráez-Ballesteros, E., &amp; Castillo-Castañeda, E. (2023). Low limb prostheses and complex human prosthetic interaction: A systematic literature review.</w:t>
      </w:r>
    </w:p>
    <w:p>
      <w:pPr>
        <w:pStyle w:val="Bibliografia"/>
        <w:jc w:val="left"/>
      </w:pPr>
      <w: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fia"/>
        <w:jc w:val="left"/>
      </w:pPr>
      <w:r>
        <w:t>ELhadad, N., Aboulhassan, A., &amp; Hassan, Y. M. I. (2026). LLM-based 3D model generation of MHE for OpenSCAD. Procedia Computer Science.</w:t>
      </w:r>
    </w:p>
    <w:p>
      <w:pPr>
        <w:pStyle w:val="Bibliografia"/>
        <w:jc w:val="left"/>
      </w:pPr>
      <w:r>
        <w:t>Engdahl, S., Gonzalez, M. A., Lee, C., &amp; Gates, D. H. (2024). Perspectives on the comparative benefits of body-powered and myoelectric upper limb prostheses. https://jneuroengrehab.biomedcentral.com/counter/pdf/10.1186/s12984-024-01436-4</w:t>
      </w:r>
    </w:p>
    <w:p>
      <w:pPr>
        <w:pStyle w:val="Bibliografia"/>
        <w:jc w:val="left"/>
      </w:pPr>
      <w:r>
        <w:t>Figoli, F. A., Mattioli, F., &amp; Rampino, L. (2022). AI in design idea development: A workshop on creativity and human-AI collaboration. https://dl.designresearchsociety.org/cgi/viewcontent.cgi?article=2915&amp;context=drs-conference-papers</w:t>
      </w:r>
    </w:p>
    <w:p>
      <w:pPr>
        <w:pStyle w:val="Bibliografia"/>
        <w:jc w:val="left"/>
      </w:pPr>
      <w:r>
        <w:t>Fink, C., &amp; Diamond, Y. (2023). Prosthesis options and management in upper extremity amputation. https://www.semanticscholar.org/paper/3532a770446eb6144ef25a6b0162d1f98b61e0ff</w:t>
      </w:r>
    </w:p>
    <w:p>
      <w:pPr>
        <w:pStyle w:val="Bibliografia"/>
        <w:jc w:val="left"/>
      </w:pPr>
      <w:r>
        <w:t>Fischer, G., Fogli, D., &amp; Piccinno, A. (2017). Revisiting and broadening the meta-design framework for end-user development.</w:t>
      </w:r>
    </w:p>
    <w:p>
      <w:pPr>
        <w:pStyle w:val="Bibliografia"/>
        <w:jc w:val="left"/>
      </w:pPr>
      <w:r>
        <w:t>Fischer, G., Giaccardi, E., Ye, Y., Sutcliffe, A. G., &amp; Mehandjiev, N. (2004). Meta-design.</w:t>
      </w:r>
    </w:p>
    <w:p>
      <w:pPr>
        <w:pStyle w:val="Bibliografia"/>
        <w:jc w:val="left"/>
      </w:pPr>
      <w:r>
        <w:t>Fisher, M., &amp; Johansen, E. (2020). Human-centered design for medical devices and diagnostics in global health. https://www.semanticscholar.org/paper/89c3c6bd56f4d0b54f5da3e3c96f18e815d9f5d4</w:t>
      </w:r>
    </w:p>
    <w:p>
      <w:pPr>
        <w:pStyle w:val="Bibliografia"/>
        <w:jc w:val="left"/>
      </w:pPr>
      <w:r>
        <w:t>Frangos, P., Mierdel, S., &amp; Koirala, S. (2016). Democratising design in scientific innovation: Application of an open value network to open source hardware design.</w:t>
      </w:r>
    </w:p>
    <w:p>
      <w:pPr>
        <w:pStyle w:val="Bibliografia"/>
        <w:jc w:val="left"/>
      </w:pPr>
      <w:r>
        <w:t>Franke, N., &amp; von Hippel, E. (2002). Satisfying heterogeneous user needs via innovation toolkits: The case of Apache security software.</w:t>
      </w:r>
    </w:p>
    <w:p>
      <w:pPr>
        <w:pStyle w:val="Bibliografia"/>
        <w:jc w:val="left"/>
      </w:pPr>
      <w:r>
        <w:t>Frayling, C. (1994). Research in art and design (Royal College of Art Research Papers, Vol. 1, No. 1, 1993/4). Royal College of Art.</w:t>
      </w:r>
    </w:p>
    <w:p>
      <w:pPr>
        <w:pStyle w:val="Bibliografia"/>
        <w:jc w:val="left"/>
      </w:pPr>
      <w:r>
        <w:t>Ghali, S. (2008). Constructive solid geometry. In Introduction to geometric computing.</w:t>
      </w:r>
    </w:p>
    <w:p>
      <w:pPr>
        <w:pStyle w:val="Bibliografia"/>
        <w:jc w:val="left"/>
      </w:pPr>
      <w:r>
        <w:t>Ghillebert, J., Schoukens, J., &amp; Vanderborght, B. (2019). Guidelines and recommendations to investigate the efficacy of a lower-limb prosthetic device: A systematic review.</w:t>
      </w:r>
    </w:p>
    <w:p>
      <w:pPr>
        <w:pStyle w:val="Bibliografia"/>
        <w:jc w:val="left"/>
      </w:pPr>
      <w:r>
        <w:t>Gonzalez Avila, J. F., Pietrzak, T., Girouard, A., &amp; Casiez, G. (2024). Understanding the challenges of OpenSCAD users for 3D printing. In Proceedings of the CHI Conference on Human Factors in Computing Systems. ACM. https://arxiv.org/abs/2408.01796</w:t>
      </w:r>
    </w:p>
    <w:p>
      <w:pPr>
        <w:pStyle w:val="Bibliografia"/>
        <w:jc w:val="left"/>
      </w:pPr>
      <w: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fia"/>
        <w:jc w:val="left"/>
      </w:pPr>
      <w: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fia"/>
        <w:jc w:val="left"/>
      </w:pPr>
      <w: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fia"/>
        <w:jc w:val="left"/>
      </w:pPr>
      <w:r>
        <w:t>Govender, R., Abrahmsén-Alami, S., Larsson, A., Borde, A., Liljeblad, A., &amp; Folestad, S. (2020). Independent tailoring of dose and drug release via a modularized product design concept for mass customization. Pharmaceutics.</w:t>
      </w:r>
    </w:p>
    <w:p>
      <w:pPr>
        <w:pStyle w:val="Bibliografia"/>
        <w:jc w:val="left"/>
      </w:pPr>
      <w: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fia"/>
        <w:jc w:val="left"/>
      </w:pPr>
      <w:r>
        <w:t>Guo, M. (2025). Human-centered design strategies for prosthetics based on user needs. Interdisciplinary Humanities and Communication Studies, 1(1), 39-48.</w:t>
      </w:r>
    </w:p>
    <w:p>
      <w:pPr>
        <w:pStyle w:val="Bibliografia"/>
        <w:jc w:val="left"/>
      </w:pPr>
      <w:r>
        <w:t>Hafner, B. J., &amp; Sawers, A. B. (2016). Issues affecting the level of prosthetics research evidence: Secondary analysis of a systematic review.</w:t>
      </w:r>
    </w:p>
    <w:p>
      <w:pPr>
        <w:pStyle w:val="Bibliografia"/>
        <w:jc w:val="left"/>
      </w:pPr>
      <w: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fia"/>
        <w:jc w:val="left"/>
      </w:pPr>
      <w: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fia"/>
        <w:jc w:val="left"/>
      </w:pPr>
      <w: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fia"/>
        <w:jc w:val="left"/>
      </w:pPr>
      <w:r>
        <w:t>Hippel, E. von, &amp; Katz, R. (2002). Shifting innovation to users via toolkits. Management Science, 48(7).</w:t>
      </w:r>
    </w:p>
    <w:p>
      <w:pPr>
        <w:pStyle w:val="Bibliografia"/>
        <w:jc w:val="left"/>
      </w:pPr>
      <w: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fia"/>
        <w:jc w:val="left"/>
      </w:pPr>
      <w:r>
        <w:t>Howard, D., Davies, L., Dwyer, A., &amp; Williams, J. (2022). Assessing the use of co-design to produce bespoke assistive technology solutions within a current healthcare service: A service evaluation.</w:t>
      </w:r>
    </w:p>
    <w:p>
      <w:pPr>
        <w:pStyle w:val="Bibliografia"/>
        <w:jc w:val="left"/>
      </w:pPr>
      <w:r>
        <w:t>Hu, H., Li, Z., Yan, J., Wang, X., Xiao, H., Duan, J., &amp; Zheng, L. (2007). Anthropometric measurement of the Chinese elderly living in the Beijing area. International Journal of Industrial Ergonomics, 37(4), 303-311. https://doi.org/10.1016/j.ergon.2006.11.006</w:t>
      </w:r>
    </w:p>
    <w:p>
      <w:pPr>
        <w:pStyle w:val="Bibliografia"/>
        <w:jc w:val="left"/>
      </w:pPr>
      <w:r>
        <w:t>Hussaini, A., Kyberd, P., Mulindwa, B., Ssekitoleko, R., Keeble, W., Kenney, L., &amp; Howard, D. (2023). 3D printing in LMICs: Functional design for upper limb prosthetics in Uganda.</w:t>
      </w:r>
    </w:p>
    <w:p>
      <w:pPr>
        <w:pStyle w:val="Bibliografia"/>
        <w:jc w:val="left"/>
      </w:pPr>
      <w: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fia"/>
        <w:jc w:val="left"/>
      </w:pPr>
      <w: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fia"/>
        <w:jc w:val="left"/>
      </w:pPr>
      <w:r>
        <w:t>Idris, M. Z., Hashim, M. E. A. H. B., Albakry, N., &amp; Septian, N. (2024). Exploring the integration of artificial intelligence in co-design framework for designer. https://ebpj.e-iph.co.uk/index.php/EBProceedings/article/download/6348/3640</w:t>
      </w:r>
    </w:p>
    <w:p>
      <w:pPr>
        <w:pStyle w:val="Bibliografia"/>
        <w:jc w:val="left"/>
      </w:pPr>
      <w:r>
        <w:t>Jones, M. L. H., Vrieling, A. H., Steadman, J., &amp; Kyberd, P. J. (2023). Evidencing the effectiveness of upper limb prostheses: A multi-stakeholder perspective on study requirements. Frontiers in Health Services, 3, 1123682. https://doi.org/10.3389/frhs.2023.1123682</w:t>
      </w:r>
    </w:p>
    <w:p>
      <w:pPr>
        <w:pStyle w:val="Bibliografia"/>
        <w:jc w:val="left"/>
      </w:pPr>
      <w:r>
        <w:t>Kadenhe, N., Al Musleh, M., &amp; Lompot, A. (2025). Human-AI co-design and co-creation: A review of emerging approaches, challenges, and future directions. https://www.semanticscholar.org/paper/61c04706b7af0be5be4b0d15f595d4ab41874d12</w:t>
      </w:r>
    </w:p>
    <w:p>
      <w:pPr>
        <w:pStyle w:val="Bibliografia"/>
        <w:jc w:val="left"/>
      </w:pPr>
      <w:r>
        <w:t>Kandikjan, T., Djokikj, J., Mircheski, I., &amp; Angeleska, E. (2022). Integrating parametric design and additive manufacturing knowledge in industrial design education. https://www.semanticscholar.org/paper/7d28a8c124ef0a3599dd937791a3f3e093775ac0</w:t>
      </w:r>
    </w:p>
    <w:p>
      <w:pPr>
        <w:pStyle w:val="Bibliografia"/>
        <w:jc w:val="left"/>
      </w:pPr>
      <w: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fia"/>
        <w:jc w:val="left"/>
      </w:pPr>
      <w:r>
        <w:t>Kaygan, H., &amp; Kaygan, P. (2025). Clients and carers: Healthcare professionals’ roles in medical device development processes in SMEs. The Design Journal, 28(2), 213-231. https://doi.org/10.1080/14606925.2024.2420152</w:t>
      </w:r>
    </w:p>
    <w:p>
      <w:pPr>
        <w:pStyle w:val="Bibliografia"/>
        <w:jc w:val="left"/>
      </w:pPr>
      <w: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fia"/>
        <w:jc w:val="left"/>
      </w:pPr>
      <w:r>
        <w:t>Kerr, A., Del Din, S., Clarkson, P. J., &amp; Rochester, L. (2024). A participatory model for cocreating accessible rehabilitation technology for stroke survivors: User-centered design approach.</w:t>
      </w:r>
    </w:p>
    <w:p>
      <w:pPr>
        <w:pStyle w:val="Bibliografia"/>
        <w:jc w:val="left"/>
      </w:pPr>
      <w:r>
        <w:t>Khanolkar, P., Vrolijk, A., &amp; Olechowski, A. (2023). Mapping artificial intelligence-based methods to engineering design stages: A focused literature review. https://www.semanticscholar.org/paper/4d63443d45e1a7156c5972ef009ed07bb0650117</w:t>
      </w:r>
    </w:p>
    <w:p>
      <w:pPr>
        <w:pStyle w:val="Bibliografia"/>
        <w:jc w:val="left"/>
      </w:pPr>
      <w:r>
        <w:t>Krahe, C., Bräunche, A., Jacob, A., Stricker, N., &amp; Lanza, G. (2020). Deep learning for automated product design. https://www.semanticscholar.org/paper/a5b9b4f63805f2b1773bc8214b29e38dbac27975</w:t>
      </w:r>
    </w:p>
    <w:p>
      <w:pPr>
        <w:pStyle w:val="Bibliografia"/>
        <w:jc w:val="left"/>
      </w:pPr>
      <w:r>
        <w:t>Kuhl, M., Lutz, J., Krause, D., &amp; Vielhaber, M. (2020). Design of personalized devices: The tradeoff between individual value and personalization workload. Applied Sciences.</w:t>
      </w:r>
    </w:p>
    <w:p>
      <w:pPr>
        <w:pStyle w:val="Bibliografia"/>
        <w:jc w:val="left"/>
      </w:pPr>
      <w:r>
        <w:t>Lei, N., Yao, X., Moon, S. K., &amp; Bi, G. (2016). An additive manufacturing process model for product family design. https://dr.ntu.edu.sg/bitstream/10356/83735/1/An%20additive%20manufacturing%20process%20model%20for%20product%20family%20design.pdf</w:t>
      </w:r>
    </w:p>
    <w:p>
      <w:pPr>
        <w:pStyle w:val="Bibliografia"/>
        <w:jc w:val="left"/>
      </w:pPr>
      <w:r>
        <w:t>Li, M., &amp; Aflatoony, L. (2025). Parametric design and three-dimensional printing: Enabling occupational therapists to develop custom hand grips. Disability and Rehabilitation: Assistive Technology, 20(6), 1829-1837. https://doi.org/10.1080/17483107.2025.2483953</w:t>
      </w:r>
    </w:p>
    <w:p>
      <w:pPr>
        <w:pStyle w:val="Bibliografia"/>
        <w:jc w:val="left"/>
      </w:pPr>
      <w:r>
        <w:t>Li, X., Demirel, H., Goldstein, M., &amp; Sha, Z. (2021). Exploring generative design thinking for engineering design and design education. https://peer.asee.org/38349.pdf</w:t>
      </w:r>
    </w:p>
    <w:p>
      <w:pPr>
        <w:pStyle w:val="Bibliografia"/>
        <w:jc w:val="left"/>
      </w:pPr>
      <w: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fia"/>
        <w:jc w:val="left"/>
      </w:pPr>
      <w:r>
        <w:t>Lindell, E., Tingsvik, H., Guo, L., &amp; Peterson, J. (2021). 3D body scan as anthropometric tool for individualized prosthetic socks. https://sciendo.com/pdf/10.2478/aut-2021-0007</w:t>
      </w:r>
    </w:p>
    <w:p>
      <w:pPr>
        <w:pStyle w:val="Bibliografia"/>
        <w:jc w:val="left"/>
      </w:pPr>
      <w:r>
        <w:t>Machado, F., Malpica, N., &amp; Borromeo, S. (2019). Parametric CAD modeling for open source scientific hardware: Comparing OpenSCAD and FreeCAD Python scripts. PLOS ONE, 14(12), e0225795. https://doi.org/10.1371/journal.pone.0225795</w:t>
      </w:r>
    </w:p>
    <w:p>
      <w:pPr>
        <w:pStyle w:val="Bibliografia"/>
        <w:jc w:val="left"/>
      </w:pPr>
      <w: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fia"/>
        <w:jc w:val="left"/>
      </w:pPr>
      <w:r>
        <w:t>Manz, S. M., Menges, M. M., Schaffernicht, E., Mattes, K., &amp; Kannenberg, A. (2022). A review of user needs to inform the development of lower-limb prostheses.</w:t>
      </w:r>
    </w:p>
    <w:p>
      <w:pPr>
        <w:pStyle w:val="Bibliografia"/>
        <w:jc w:val="left"/>
      </w:pPr>
      <w:r>
        <w:t>Marinelli, M., Putrino, D., Stella, F., &amp; Guglielmelli, E. (2022). Active upper limb prostheses: A review on current state and upcoming breakthroughs.</w:t>
      </w:r>
    </w:p>
    <w:p>
      <w:pPr>
        <w:pStyle w:val="Bibliografia"/>
        <w:jc w:val="left"/>
      </w:pPr>
      <w: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fia"/>
        <w:jc w:val="left"/>
      </w:pPr>
      <w:r>
        <w:t>Mikołajewski, D., Rojek, I., Kotlarz, P., Dorożyński, J., &amp; Kopowski, J. (2023). Personalization of the 3D-printed upper limb exoskeleton design: Mechanical and IT aspects. Applied Sciences.</w:t>
      </w:r>
    </w:p>
    <w:p>
      <w:pPr>
        <w:pStyle w:val="Bibliografia"/>
        <w:jc w:val="left"/>
      </w:pPr>
      <w:r>
        <w:t>Millet, A., Akle, A. A., &amp; Legardeur, J. (2018). Human centred criteria for healthcare design. https://www.semanticscholar.org/paper/267b655f123f4f167f1f9e7e6c8a1f17f73a73d0</w:t>
      </w:r>
    </w:p>
    <w:p>
      <w:pPr>
        <w:pStyle w:val="Bibliografia"/>
        <w:jc w:val="left"/>
      </w:pPr>
      <w:r>
        <w:t>Mistarihi, M. Z. (2020). A data set on anthropometric measurements and degree of discomfort of physically disabled workers for ergonomic requirements in work space design. Data in Brief, 30, 105420. https://doi.org/10.1016/j.dib.2020.105420</w:t>
      </w:r>
    </w:p>
    <w:p>
      <w:pPr>
        <w:pStyle w:val="Bibliografia"/>
        <w:jc w:val="left"/>
      </w:pPr>
      <w:r>
        <w:t>Molenbroek, J. F. M. (1998). Geron study on Dutch elderly anthropometry. DINED database. Delft University of Technology. https://dined.io.tudelft.nl</w:t>
      </w:r>
    </w:p>
    <w:p>
      <w:pPr>
        <w:pStyle w:val="Bibliografia"/>
        <w:jc w:val="left"/>
      </w:pPr>
      <w:r>
        <w:t>Molenbroek, J. F. M., Kroon-Ramaekers, Y. M. T., &amp; Snijders, C. J. (2003). Revision of the Dutch standard for furniture in schools. Ergonomics, 46(5), 491-498. https://doi.org/10.1080/0014013031000085635</w:t>
      </w:r>
    </w:p>
    <w:p>
      <w:pPr>
        <w:pStyle w:val="Bibliografia"/>
        <w:jc w:val="left"/>
      </w:pPr>
      <w:r>
        <w:t>Moreo, A. M. (2016). Parametric design of a 3D printable hand prosthesis for children in developing countries [Master's thesis, Delft University of Technology].</w:t>
      </w:r>
    </w:p>
    <w:p>
      <w:pPr>
        <w:pStyle w:val="Bibliografia"/>
        <w:jc w:val="left"/>
      </w:pPr>
      <w:r>
        <w:t>Nag, A., Nag, P. K., &amp; Desai, H. (2003). Hand anthropometry of Indian women. Indian Journal of Medical Research, 117, 260-269.</w:t>
      </w:r>
    </w:p>
    <w:p>
      <w:pPr>
        <w:pStyle w:val="Bibliografia"/>
        <w:jc w:val="left"/>
      </w:pPr>
      <w:r>
        <w:t>Nilsiam, Y., &amp; Pearce, J. M. (2017). Free and open source 3-D model customizer for websites to democratize design with OpenSCAD. Designs, 1(1), 5. https://doi.org/10.3390/designs1010005</w:t>
      </w:r>
    </w:p>
    <w:p>
      <w:pPr>
        <w:pStyle w:val="Bibliografia"/>
        <w:jc w:val="left"/>
      </w:pPr>
      <w: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fia"/>
        <w:jc w:val="left"/>
      </w:pPr>
      <w:r>
        <w:t>Oldfrey, B., Ramirez, D. Z. M., Miodownik, M., et al. (2024). A scoping review of digital fabrication techniques applied to prosthetics and orthotics: Part 1 of 2—Prosthetics. Prosthetics and Orthotics International. https://doi.org/10.1097/PXR.0000000000000351</w:t>
      </w:r>
    </w:p>
    <w:p>
      <w:pPr>
        <w:pStyle w:val="Bibliografia"/>
        <w:jc w:val="left"/>
      </w:pPr>
      <w:r>
        <w:t>OpenSCAD Community. (n.d.). OpenSCAD User Manual/Using OpenSCAD in a command line environment. Wikibooks. Retrieved July 7, 2026, from https://en.wikibooks.org/wiki/OpenSCAD</w:t>
      </w:r>
      <w:r>
        <w:rPr>
          <w:i/>
        </w:rPr>
        <w:t>User</w:t>
      </w:r>
      <w:r>
        <w:t>Manual/Using</w:t>
      </w:r>
      <w:r>
        <w:rPr>
          <w:i/>
        </w:rPr>
        <w:t>OpenSCAD</w:t>
      </w:r>
      <w:r>
        <w:t>in</w:t>
      </w:r>
      <w:r>
        <w:rPr>
          <w:i/>
        </w:rPr>
        <w:t>a</w:t>
      </w:r>
      <w:r>
        <w:t>command</w:t>
      </w:r>
      <w:r>
        <w:rPr>
          <w:i/>
        </w:rPr>
        <w:t>line</w:t>
      </w:r>
      <w:r>
        <w:t>environment</w:t>
      </w:r>
    </w:p>
    <w:p>
      <w:pPr>
        <w:pStyle w:val="Bibliografia"/>
        <w:jc w:val="left"/>
      </w:pPr>
      <w:r>
        <w:t>OpenSCAD Project. (n.d.-a). OpenSCAD: The programmers solid 3D CAD modeller. Retrieved July 7, 2026, from https://openscad.org/</w:t>
      </w:r>
    </w:p>
    <w:p>
      <w:pPr>
        <w:pStyle w:val="Bibliografia"/>
        <w:jc w:val="left"/>
      </w:pPr>
      <w:r>
        <w:t>OpenSCAD Project. (n.d.-b). OpenSCAD source repository [Computer software]. GitHub. Retrieved July 7, 2026, from https://github.com/openscad/openscad</w:t>
      </w:r>
    </w:p>
    <w:p>
      <w:pPr>
        <w:pStyle w:val="Bibliografia"/>
        <w:jc w:val="left"/>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fia"/>
        <w:jc w:val="left"/>
      </w:pPr>
      <w:r>
        <w:t>Panchal, J. H., Fuge, M., Liu, Y., Missoum, S., &amp; Tucker, C. S. (2019). Special issue: Machine learning for engineering design. Journal of Mechanical Design. https://www.semanticscholar.org/paper/2c4f7ca9381db7debefe61d04da51f9e8e63d09d</w:t>
      </w:r>
    </w:p>
    <w:p>
      <w:pPr>
        <w:pStyle w:val="Bibliografia"/>
        <w:jc w:val="left"/>
      </w:pPr>
      <w:r>
        <w:t>Parlamento Europeu, &amp; Conselho da União Europeia. (2017). Regulation (EU) 2017/745 of the European Parliament and of the Council of 5 April 2017 on medical devices. https://eur-lex.europa.eu/eli/reg/2017/745/oj</w:t>
      </w:r>
    </w:p>
    <w:p>
      <w:pPr>
        <w:pStyle w:val="Bibliografia"/>
        <w:jc w:val="left"/>
      </w:pPr>
      <w: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fia"/>
        <w:jc w:val="left"/>
      </w:pPr>
      <w:r>
        <w:t>Peixoto, S., Martins, N., Miranda, D., Matos, D., &amp; Carvalho, V. (2025). The design process in the development of an online platform for personalizing wearable prostheses: A preliminary approach. Designs, 9(2), 39. https://doi.org/10.3390/designs9020039</w:t>
      </w:r>
    </w:p>
    <w:p>
      <w:pPr>
        <w:pStyle w:val="Bibliografia"/>
        <w:jc w:val="left"/>
      </w:pPr>
      <w:r>
        <w:t>Peters, C., &amp; Richter, P. (2023). Individualizing patient pathways through modularization: Design and evaluation of healthcare-specific modularization parameters.</w:t>
      </w:r>
    </w:p>
    <w:p>
      <w:pPr>
        <w:pStyle w:val="Bibliografia"/>
        <w:jc w:val="left"/>
      </w:pPr>
      <w: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fia"/>
        <w:jc w:val="left"/>
      </w:pPr>
      <w:r>
        <w:t>Ramnath, S., Haghighi, P., Kim, J. H., Detwiler, D., Berry, M., Shah, J., Aulig, N., Wollstadt, P., &amp; Menzel, S. (2019). Automatically generating 60,000 CAD variants for big data applications. https://www.semanticscholar.org/paper/40a0b51e5b01234cec3e807158b26a284ea77e0f</w:t>
      </w:r>
    </w:p>
    <w:p>
      <w:pPr>
        <w:pStyle w:val="Bibliografia"/>
        <w:jc w:val="left"/>
      </w:pPr>
      <w:r>
        <w:t>Resnik, L., Klinger, S. L., Krauthamer, V., &amp; Barnabe, K. (2010). U.S. Food and Drug Administration regulation of prosthetic research, development, and testing. https://www.semanticscholar.org/paper/71e1fef52dde69cbcea4f62c709f7c6689f9463d</w:t>
      </w:r>
    </w:p>
    <w:p>
      <w:pPr>
        <w:pStyle w:val="Bibliografia"/>
        <w:jc w:val="left"/>
      </w:pPr>
      <w:r>
        <w:t>Rezwana, J., &amp; Maher, M. (2022). Understanding user perceptions, collaborative experience, and user engagement in different human-AI interaction designs for co-creative systems. https://arxiv.org/pdf/2204.13217</w:t>
      </w:r>
    </w:p>
    <w:p>
      <w:pPr>
        <w:pStyle w:val="Bibliografia"/>
        <w:jc w:val="left"/>
      </w:pPr>
      <w:r>
        <w:t>Richardson, C., &amp; Dillon, M. P. (2017). User experience of transtibial prosthetic liners: A systematic review.</w:t>
      </w:r>
    </w:p>
    <w:p>
      <w:pPr>
        <w:pStyle w:val="Bibliografia"/>
        <w:jc w:val="left"/>
      </w:pPr>
      <w:r>
        <w:t>Rodríguez-Vega, G., &amp; Rodríguez-Vega, D. A. (2024). Normative data for the anthropometric hand dimensions of the Mexican population. European Public &amp; Social Innovation Review, 9, 1-15. https://doi.org/10.31637/epsir-2024-932</w:t>
      </w:r>
    </w:p>
    <w:p>
      <w:pPr>
        <w:pStyle w:val="Bibliografia"/>
        <w:jc w:val="left"/>
      </w:pPr>
      <w:r>
        <w:t>Romani, A., &amp; Levi, M. (2020). Parametric design for online user customization of 3D printed assistive technology for rheumatic diseases. In International Conference on Augmented and Virtual Reality.</w:t>
      </w:r>
    </w:p>
    <w:p>
      <w:pPr>
        <w:pStyle w:val="Bibliografia"/>
        <w:jc w:val="left"/>
      </w:pPr>
      <w: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fia"/>
        <w:jc w:val="left"/>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fia"/>
        <w:jc w:val="left"/>
      </w:pPr>
      <w: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fia"/>
        <w:jc w:val="left"/>
      </w:pPr>
      <w:r>
        <w:t>Samuelsson, K. A. M., Töytäri, O., Salminen, A.-L., &amp; Brandt, Å. (2012). Effects of lower limb prosthesis on activity, participation, and quality of life: A systematic review.</w:t>
      </w:r>
    </w:p>
    <w:p>
      <w:pPr>
        <w:pStyle w:val="Bibliografia"/>
        <w:jc w:val="left"/>
      </w:pPr>
      <w:r>
        <w:t>Schöfer, F., &amp; Seibel, A. (2025). Augmented design automation: Leveraging parametric designs using large language models. Proceedings of the Design Society.</w:t>
      </w:r>
    </w:p>
    <w:p>
      <w:pPr>
        <w:pStyle w:val="Bibliografia"/>
        <w:jc w:val="left"/>
      </w:pPr>
      <w:r>
        <w:t>Segura, D., Romero, E., Abarca, V. E., &amp; Elías, D. A. (2024). Upper limb prostheses by the level of amputation: A systematic review. Prosthesis, 6(2), 22. https://www.mdpi.com/2673-1592/6/2/22/pdf?version=1710818539</w:t>
      </w:r>
    </w:p>
    <w:p>
      <w:pPr>
        <w:pStyle w:val="Bibliografia"/>
        <w:jc w:val="left"/>
      </w:pPr>
      <w:r>
        <w:t>Seregni, F., Arlati, S., Colombo, V., Spoladore, D., Greci, L., Pedroli, E., Serino, S., Cipresso, P., Goulene, K., Stroulia, E., Rizzo, A., &amp; Sacco, M. (2021). Virtual coaching for rehabilitation: The participatory design experience of the vCare Project.</w:t>
      </w:r>
    </w:p>
    <w:p>
      <w:pPr>
        <w:pStyle w:val="Bibliografia"/>
        <w:jc w:val="left"/>
      </w:pPr>
      <w:r>
        <w:t>Shah, S., &amp; Robinson, I. (2006). User involvement in healthcare technology development and assessment: Structured literature review. https://www.semanticscholar.org/paper/299d5b2c1d65791cc4c9f2db76edf20f479adcbc</w:t>
      </w:r>
    </w:p>
    <w:p>
      <w:pPr>
        <w:pStyle w:val="Bibliografia"/>
        <w:jc w:val="left"/>
      </w:pPr>
      <w:r>
        <w:t>Silva, L. A. da, Medola, F. O., Rodrigues, O. V., Rodrigues, A. C. T., &amp; Sandnes, F. E. (2018). Interdisciplinary-based development of user-friendly customized 3D printed upper limb prosthesis. Comunicação em conferência.</w:t>
      </w:r>
    </w:p>
    <w:p>
      <w:pPr>
        <w:pStyle w:val="Bibliografia"/>
        <w:jc w:val="left"/>
      </w:pPr>
      <w:r>
        <w:t>Silva, R., Silva, B., Fernandes, C., Morouco, P., Alves, N., &amp; Veloso, A. (2024). A review on 3D scanners studies for producing customized orthoses. Sensors, 24(5), 1373. https://pmc.ncbi.nlm.nih.gov/articles/PMC10935386/pdf/sensors-24-01373.pdf</w:t>
      </w:r>
    </w:p>
    <w:p>
      <w:pPr>
        <w:pStyle w:val="Bibliografia"/>
        <w:jc w:val="left"/>
      </w:pPr>
      <w:r>
        <w:t>Sims, T., Cranny, A., Metcalf, C., Chappell, P., &amp; Donovan-Hall, M. (2017). Participatory design of pediatric upper limb prostheses: Qualitative methods and prototyping.</w:t>
      </w:r>
    </w:p>
    <w:p>
      <w:pPr>
        <w:pStyle w:val="Bibliografia"/>
        <w:jc w:val="left"/>
      </w:pPr>
      <w:r>
        <w:t>Smail, L. C., Neal, C., Wilkins, C., &amp; Packham, T. (2020). Comfort and function remain key factors in upper limb prosthetic abandonment: Findings of a scoping review. https://www.semanticscholar.org/paper/b5eb3fd2414ebedaa5d2283451268fafa2db0a81</w:t>
      </w:r>
    </w:p>
    <w:p>
      <w:pPr>
        <w:pStyle w:val="Bibliografia"/>
        <w:jc w:val="left"/>
      </w:pPr>
      <w:r>
        <w:t>Soyer, K., Unver, B., Tamer, S., &amp; Ulger, O. (2016). The importance of rehabilitation concerning upper extremity amputees: A systematic review. https://pjms.com.pk/index.php/pjms/article/view/9922/4660</w:t>
      </w:r>
    </w:p>
    <w:p>
      <w:pPr>
        <w:pStyle w:val="Bibliografia"/>
        <w:jc w:val="left"/>
      </w:pPr>
      <w: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fia"/>
        <w:jc w:val="left"/>
      </w:pPr>
      <w:r>
        <w:t>Steenbekkers, L. P. A., &amp; van Beijsterveldt, C. E. M. (Eds.). (1998). Design-relevant characteristics of ageing users. Delft University Press.</w:t>
      </w:r>
    </w:p>
    <w:p>
      <w:pPr>
        <w:pStyle w:val="Bibliografia"/>
        <w:jc w:val="left"/>
      </w:pPr>
      <w:r>
        <w:t>Story, M. (2006). Applying the principles of universal design to medical devices. https://www.semanticscholar.org/paper/d0d84425d517331607c9120290ed26d1bf2e1862</w:t>
      </w:r>
    </w:p>
    <w:p>
      <w:pPr>
        <w:pStyle w:val="Bibliografia"/>
        <w:jc w:val="left"/>
      </w:pPr>
      <w:r>
        <w:t>Stralen, M. V. (2018). Mass customization: A critical perspective on parametric design, digital fabrication and design democratization. https://www.semanticscholar.org/paper/a18f2c4d248e791d2a9b84f3cab268d5a377cc10</w:t>
      </w:r>
    </w:p>
    <w:p>
      <w:pPr>
        <w:pStyle w:val="Bibliografia"/>
        <w:jc w:val="left"/>
      </w:pPr>
      <w: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fia"/>
        <w:jc w:val="left"/>
      </w:pPr>
      <w:r>
        <w:t>ten Kate, J., Smit, G., &amp; Breedveld, P. (2017). 3D-printed upper limb prostheses: A review. Disability and Rehabilitation: Assistive Technology, 12(3), 300-314. https://doi.org/10.1080/17483107.2016.1253117</w:t>
      </w:r>
    </w:p>
    <w:p>
      <w:pPr>
        <w:pStyle w:val="Bibliografia"/>
        <w:jc w:val="left"/>
      </w:pPr>
      <w:r>
        <w:t>Thorsen, R., Hansen, A. H., &amp; Nilsen, E. R. (2023). From patient to maker: A workflow including people with cerebral palsy in co-creating assistive devices using 3D printing technologies.</w:t>
      </w:r>
    </w:p>
    <w:p>
      <w:pPr>
        <w:pStyle w:val="Bibliografia"/>
        <w:jc w:val="left"/>
      </w:pPr>
      <w:r>
        <w:t>Trautmann, L. (2021). Product customization and generative design. Multidiszciplináris Tudományok.</w:t>
      </w:r>
    </w:p>
    <w:p>
      <w:pPr>
        <w:pStyle w:val="Bibliografia"/>
        <w:jc w:val="left"/>
      </w:pPr>
      <w:r>
        <w:t>Verganti, R., Vendraminelli, L., &amp; Iansiti, M. (2020). Innovation and design in the age of artificial intelligence. https://onlinelibrary.wiley.com/doi/pdfdirect/10.1111/jpim.12523</w:t>
      </w:r>
    </w:p>
    <w:p>
      <w:pPr>
        <w:pStyle w:val="Bibliografia"/>
        <w:jc w:val="left"/>
      </w:pPr>
      <w:r>
        <w:t>Virós-i-Martin, A., &amp; Selva, D. (2021). A framework to study human-AI collaborative design space exploration. https://www.semanticscholar.org/paper/716be148371af443169531b0856ae07dfe400869</w:t>
      </w:r>
    </w:p>
    <w:p>
      <w:pPr>
        <w:pStyle w:val="Bibliografia"/>
        <w:jc w:val="left"/>
      </w:pPr>
      <w:r>
        <w:t>Walker, M., Paras, A., Boonstra, N., &amp; Murrup-Stewart, C. (2019). Towards including end-users in the design of prosthetic hands: Ethical analysis of a survey of Australians with upper-limb difference.</w:t>
      </w:r>
    </w:p>
    <w:p>
      <w:pPr>
        <w:pStyle w:val="Bibliografia"/>
        <w:jc w:val="left"/>
      </w:pPr>
      <w:r>
        <w:t>Walters, S., Seminati, E., Metcalfe, B., Bailey, N. Y., &amp; Pegg, E. C. (2025). Demystifying upper limb hybrid prostheses: A scoping review. https://www.semanticscholar.org/paper/d659aff9bb182a3c92377571973e6e077a3b1838</w:t>
      </w:r>
    </w:p>
    <w:p>
      <w:pPr>
        <w:pStyle w:val="Bibliografia"/>
        <w:jc w:val="left"/>
      </w:pPr>
      <w:r>
        <w:t>Wang, X., &amp; Hu, B. (2024). Machine learning algorithms for improved product design user experience. https://www.semanticscholar.org/paper/717e7ad25dcafec12f01b6732773bdf9c5a49661</w:t>
      </w:r>
    </w:p>
    <w:p>
      <w:pPr>
        <w:pStyle w:val="Bibliografia"/>
        <w:jc w:val="left"/>
      </w:pPr>
      <w:r>
        <w:t>Wendo, K., Barbier, O., Bollen, X., Schubert, T., Lejeune, T., Raucent, B., &amp; Olszewski, R. (2022). Open-source 3D printing in the prosthetic field: The case of upper limb prostheses: A review. Machines, 10(6), 413. https://doi.org/10.3390/machines10060413</w:t>
      </w:r>
    </w:p>
    <w:p>
      <w:pPr>
        <w:pStyle w:val="Bibliografia"/>
        <w:jc w:val="left"/>
      </w:pPr>
      <w:r>
        <w:t>White, J., &amp; Mosca, E. I. (2022). Developing innovative solutions for universal design in healthcare and other sectors. https://www.semanticscholar.org/paper/df2bb0d53af547bd89b2c716933c2a544bf422b1</w:t>
      </w:r>
    </w:p>
    <w:p>
      <w:pPr>
        <w:pStyle w:val="Bibliografia"/>
        <w:jc w:val="left"/>
      </w:pPr>
      <w:r>
        <w:t>Wiberg, A., Persson, J., &amp; Ölvander, J. (2019). Design for additive manufacturing: A review of available design methods and software. https://www.semanticscholar.org/paper/e03bf769f344512519f1005baa1d6b83fe4fc8ed</w:t>
      </w:r>
    </w:p>
    <w:p>
      <w:pPr>
        <w:pStyle w:val="Bibliografia"/>
        <w:jc w:val="left"/>
      </w:pPr>
      <w:r>
        <w:t>Wilke, H., Badke-Schaub, P., &amp; Thoring, K. (2020). The healthcare design dilemma: Perils of a technology-driven design process for medical products. https://www.semanticscholar.org/paper/078781d9389d4618fc1b5db9347ab68ca7ef46d9</w:t>
      </w:r>
    </w:p>
    <w:p>
      <w:pPr>
        <w:pStyle w:val="Bibliografia"/>
        <w:jc w:val="left"/>
      </w:pPr>
      <w:r>
        <w:t>Windrich, M., Grimmer, M., Christ, O., Rinderknecht, S., &amp; Beckerle, P. (2016). Active lower limb prosthetics: A systematic review of design issues and solutions.</w:t>
      </w:r>
    </w:p>
    <w:p>
      <w:pPr>
        <w:pStyle w:val="Bibliografia"/>
        <w:jc w:val="left"/>
      </w:pPr>
      <w:r>
        <w:t>Yao, X., Moon, S. K., &amp; Bi, G. (2016). A cost-driven design methodology for additive manufactured variable platforms in product families. https://www.semanticscholar.org/paper/f7bc9dc2a80714c18ac068f45b99408b0f4fe65e</w:t>
      </w:r>
    </w:p>
    <w:p>
      <w:pPr>
        <w:pStyle w:val="Bibliografia"/>
        <w:jc w:val="left"/>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fia"/>
        <w:jc w:val="left"/>
      </w:pPr>
      <w:r>
        <w:t>Yu, A., Yick, K. L., Ng, S. P., &amp; Yip, J. (2013). 2D and 3D anatomical analyses of hand dimensions for custom-made gloves. Applied Ergonomics, 44, 381-392.</w:t>
      </w:r>
    </w:p>
    <w:p>
      <w:pPr>
        <w:pStyle w:val="Bibliografia"/>
        <w:jc w:val="left"/>
      </w:pPr>
      <w:r>
        <w:t>Yüksel, N., Börklü, H. R., Sezer, H. K., &amp; Canyurt, O. (2023). Review of artificial intelligence applications in engineering design perspective. https://www.semanticscholar.org/paper/cd38b58edf6690459767097aca745a3806824236</w:t>
      </w:r>
    </w:p>
    <w:p>
      <w:pPr>
        <w:pStyle w:val="Bibliografia"/>
        <w:jc w:val="left"/>
      </w:pPr>
      <w:r>
        <w:t>Zhu, Z., &amp; Zhong, R. Y. (2022). A digital twin enabled wearable device for customized healthcare.</w:t>
      </w:r>
    </w:p>
    <w:p>
      <w:pPr>
        <w:pStyle w:val="Bibliografia"/>
        <w:jc w:val="left"/>
      </w:pPr>
      <w: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fia"/>
        <w:jc w:val="left"/>
      </w:pPr>
      <w:r>
        <w:t>Zuniga, J., Katsavelis, D., Peck, J., Stollberg, J., Petrykowski, M., Carson, A., &amp; Fernandez, C. (2015). Cyborg beast: A low-cost 3D-printed prosthetic hand for children with upper-limb differences. BMC Research Notes, 8, 10. https://doi.org/10.1186/s13104-015-0971-9</w:t>
      </w:r>
    </w:p>
    <w:p>
      <w:pPr>
        <w:pStyle w:val="TtulosPrembulo-IPCA"/>
        <w:pageBreakBefore/>
        <w:numPr>
          <w:ilvl w:val="0"/>
          <w:numId w:val="0"/>
        </w:numPr>
      </w:pPr>
      <w:r>
        <w:t>Anexo A — Metodologia de extracção e codificação de dados antropométricos da mão</w:t>
      </w:r>
    </w:p>
    <w:p>
      <w:pPr>
        <w:pStyle w:val="Cabealho2"/>
        <w:numPr>
          <w:ilvl w:val="1"/>
          <w:numId w:val="0"/>
        </w:numPr>
      </w:pPr>
      <w:r>
        <w:t>A.1 Contexto e Objectivo</w:t>
      </w:r>
    </w:p>
    <w:p>
      <w:pPr>
        <w:pStyle w:val="Bibliografia"/>
        <w:jc w:val="left"/>
      </w:pPr>
      <w: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Bibliografia"/>
        <w:jc w:val="left"/>
      </w:pPr>
      <w:r>
        <w:t>Foram produzidos três ficheiros CSV complementares:</w:t>
      </w:r>
    </w:p>
    <w:p>
      <w:pPr>
        <w:pStyle w:val="Bibliografia"/>
        <w:jc w:val="left"/>
      </w:pPr>
      <w:r>
        <w:t xml:space="preserve">- </w:t>
      </w:r>
      <w:r>
        <w:t>data/ansur_1988_complete.csv</w:t>
      </w:r>
      <w:r>
        <w:t xml:space="preserve"> — 2.726 linhas de dados, 47 dimensões corporais do estudo ANSUR 1988 (Gordon et al., 1989), população militar norte-americana</w:t>
      </w:r>
    </w:p>
    <w:p>
      <w:pPr>
        <w:pStyle w:val="Bibliografia"/>
        <w:jc w:val="left"/>
      </w:pPr>
      <w:r>
        <w:t xml:space="preserve">- </w:t>
      </w:r>
      <w:r>
        <w:t>data/ansur_1988_hand_arm.csv</w:t>
      </w:r>
      <w:r>
        <w:t xml:space="preserve"> — 696 linhas de dados, subconjunto do ANSUR restrito às medições da mão, antebraço e braço</w:t>
      </w:r>
    </w:p>
    <w:p>
      <w:pPr>
        <w:pStyle w:val="Bibliografia"/>
        <w:jc w:val="left"/>
      </w:pPr>
      <w:r>
        <w:t xml:space="preserve">- </w:t>
      </w:r>
      <w:r>
        <w:t>data/multi_population_hand.csv</w:t>
      </w:r>
      <w:r>
        <w:t xml:space="preserve"> — 1.790 linhas de dados, provenientes de fontes e subconjuntos populacionais de nove países</w:t>
      </w:r>
    </w:p>
    <w:p>
      <w:pPr>
        <w:pStyle w:val="Cabealho2"/>
        <w:numPr>
          <w:ilvl w:val="1"/>
          <w:numId w:val="0"/>
        </w:numPr>
      </w:pPr>
      <w:r>
        <w:t>A.1.1 Localização, versão e integridade dos ficheiros</w:t>
      </w:r>
    </w:p>
    <w:p>
      <w:pPr>
        <w:pStyle w:val="Bibliografia"/>
        <w:jc w:val="left"/>
      </w:pPr>
      <w:r>
        <w:t>Os três CSV e os dois scripts de geração foram depositados com a dissertação em sources/manuscript/annexes/dados_antropometricos_v14.67.0/. O suplemento corresponde ao estado versionado da plataforma HandFab 14.67.0, confirmação Git bcef0db, anterior às alterações experimentais posteriores. A pasta inclui README.md, com a origem e o procedimento de regeneração, e SHA256SUMS, para verificar a integridade dos cinco artefactos.</w:t>
      </w:r>
    </w:p>
    <w:p>
      <w:pPr>
        <w:pStyle w:val="Bibliografia"/>
        <w:jc w:val="left"/>
      </w:pPr>
      <w:r>
        <w:t>• ansur_1988_complete.csv — 88575ef62771f8be1abefeba070426d4eab3d6a4005618b064df603024ccff4d</w:t>
      </w:r>
    </w:p>
    <w:p>
      <w:pPr>
        <w:pStyle w:val="Bibliografia"/>
        <w:jc w:val="left"/>
      </w:pPr>
      <w:r>
        <w:t>• ansur_1988_hand_arm.csv — 82a010b2b38579b11c0eaa3d9488895350807647220c30c78650331297f8c503</w:t>
      </w:r>
    </w:p>
    <w:p>
      <w:pPr>
        <w:pStyle w:val="Bibliografia"/>
        <w:jc w:val="left"/>
      </w:pPr>
      <w:r>
        <w:t>• multi_population_hand.csv — 65b7e8b88e7d1abb3460342179f7360f2b69df8b77c8f6a992881eb496999a8f</w:t>
      </w:r>
    </w:p>
    <w:p>
      <w:pPr>
        <w:pStyle w:val="Bibliografia"/>
        <w:jc w:val="left"/>
      </w:pPr>
      <w:r>
        <w:t>• generate_ansur_csv.py — 63eae7b39a9e47054be1ae2cec8a8035f419cb50a78c818eb296f640eb9639d3</w:t>
      </w:r>
    </w:p>
    <w:p>
      <w:pPr>
        <w:pStyle w:val="Bibliografia"/>
        <w:jc w:val="left"/>
      </w:pPr>
      <w:r>
        <w:t>• generate_multi_population_hand_csv.py — 5ab4fcba62a4c001ff8347c8858b28631537aadc0ad4bf8aa4cb75b96a949ae3</w:t>
      </w:r>
    </w:p>
    <w:p>
      <w:pPr>
        <w:pStyle w:val="Bibliografia"/>
        <w:jc w:val="left"/>
      </w:pPr>
      <w:r>
        <w:t>Em 13 de Julho de 2026, os dois scripts foram executados novamente dentro da pasta suplementar. A regeneração produziu 2.726 linhas de dados no ficheiro ANSUR completo, 696 no subconjunto mão–braço e 1.790 na base multipopulacional; a verificação com sha256sum -c SHA256SUMS confirmou correspondência integral dos cinco ficheiros. Estes resultados demonstram repetibilidade técnica no mesmo ambiente e estado de código, não reprodução independente por outra equipa.</w:t>
      </w:r>
    </w:p>
    <w:p>
      <w:pPr>
        <w:pStyle w:val="Cabealho2"/>
        <w:numPr>
          <w:ilvl w:val="1"/>
          <w:numId w:val="0"/>
        </w:numPr>
      </w:pPr>
      <w:r>
        <w:t>A.2 Estratégia de Pesquisa Bibliográfica</w:t>
      </w:r>
    </w:p>
    <w:p>
      <w:pPr>
        <w:pStyle w:val="Cabealho3"/>
        <w:numPr>
          <w:ilvl w:val="2"/>
          <w:numId w:val="0"/>
        </w:numPr>
      </w:pPr>
      <w:r>
        <w:t>A.2.1 Pesquisa bibliográfica orientada</w:t>
      </w:r>
    </w:p>
    <w:p>
      <w:pPr>
        <w:pStyle w:val="Bibliografia"/>
        <w:jc w:val="left"/>
      </w:pPr>
      <w: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fia"/>
        <w:jc w:val="left"/>
      </w:pPr>
      <w:r>
        <w:t>"hand anthropometry normative data population study percentiles" "hand dimensions measurement ergonomics working population" "anthropometric survey finger length breadth caliper"</w:t>
      </w:r>
    </w:p>
    <w:p>
      <w:pPr>
        <w:pStyle w:val="Bibliografia"/>
        <w:jc w:val="left"/>
      </w:pPr>
      <w:r>
        <w:t>As listas de referências resultantes foram guardadas localmente em pastas organizadas por capítulo da tese. Os ficheiros de trabalho, citações e listas bibliográficas foram cruzados com a coleção local de PDFs para identificar lacunas.</w:t>
      </w:r>
    </w:p>
    <w:p>
      <w:pPr>
        <w:pStyle w:val="Cabealho3"/>
        <w:numPr>
          <w:ilvl w:val="2"/>
          <w:numId w:val="0"/>
        </w:numPr>
      </w:pPr>
      <w:r>
        <w:t>A.2.2 Base ANSUR 1988</w:t>
      </w:r>
    </w:p>
    <w:p>
      <w:pPr>
        <w:pStyle w:val="Bibliografia"/>
        <w:jc w:val="left"/>
      </w:pPr>
      <w: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Cabealho2"/>
        <w:numPr>
          <w:ilvl w:val="1"/>
          <w:numId w:val="0"/>
        </w:numPr>
      </w:pPr>
      <w:r>
        <w:t>A.3 Critérios de Inclusão e Exclusão de Estudos</w:t>
      </w:r>
    </w:p>
    <w:p>
      <w:pPr>
        <w:pStyle w:val="Bibliografia"/>
        <w:jc w:val="left"/>
      </w:pPr>
      <w:r>
        <w:t>Para cada estudo identificado, a decisão de incluir ou excluir os seus dados na base CSV seguiu critérios explícitos.</w:t>
      </w:r>
    </w:p>
    <w:p>
      <w:pPr>
        <w:pStyle w:val="Cabealho3"/>
        <w:numPr>
          <w:ilvl w:val="2"/>
          <w:numId w:val="0"/>
        </w:numPr>
      </w:pPr>
      <w:r>
        <w:t>A.3.1 Critérios de inclusão</w:t>
      </w:r>
    </w:p>
    <w:p>
      <w:pPr>
        <w:pStyle w:val="Bibliografia"/>
        <w:jc w:val="left"/>
      </w:pPr>
      <w:r>
        <w:t>Um estudo foi incluído se satisfazia simultaneamente as seguintes condições:</w:t>
      </w:r>
    </w:p>
    <w:p>
      <w:pPr>
        <w:pStyle w:val="Bibliografia"/>
        <w:jc w:val="left"/>
      </w:pPr>
      <w:r>
        <w:t>1. Dados primários — o estudo apresenta medições recolhidas pelos seus próprios autores sobre participantes reais, não reutilizando tabelas de terceiros sem transformação.</w:t>
      </w:r>
    </w:p>
    <w:p>
      <w:pPr>
        <w:pStyle w:val="Bibliografia"/>
        <w:jc w:val="left"/>
      </w:pPr>
      <w:r>
        <w:t>2. Dimensões da mão ou do membro superior — pelo menos uma medição refere-se à mão, dedos, palma, antebraço ou punho.</w:t>
      </w:r>
    </w:p>
    <w:p>
      <w:pPr>
        <w:pStyle w:val="Bibliografia"/>
        <w:jc w:val="left"/>
      </w:pPr>
      <w:r>
        <w:t>3. Estatística descritiva legível — a tabela do artigo fornece, no mínimo, a média. A presença de desvio-padrão e/ou percentis constituía um critério de preferência.</w:t>
      </w:r>
    </w:p>
    <w:p>
      <w:pPr>
        <w:pStyle w:val="Bibliografia"/>
        <w:jc w:val="left"/>
      </w:pPr>
      <w:r>
        <w:t>4. Identificação clara da população — o artigo especifica país, sexo, dimensão amostral e método de medição.</w:t>
      </w:r>
    </w:p>
    <w:p>
      <w:pPr>
        <w:pStyle w:val="Cabealho3"/>
        <w:numPr>
          <w:ilvl w:val="2"/>
          <w:numId w:val="0"/>
        </w:numPr>
      </w:pPr>
      <w:r>
        <w:t>A.3.2 Critérios de exclusão</w:t>
      </w:r>
    </w:p>
    <w:p>
      <w:pPr>
        <w:pStyle w:val="Bibliografia"/>
        <w:jc w:val="left"/>
      </w:pPr>
      <w:r>
        <w:t>Um estudo foi excluído nas seguintes situações:</w:t>
      </w:r>
    </w:p>
    <w:p>
      <w:pPr>
        <w:pStyle w:val="Bibliografia"/>
        <w:jc w:val="left"/>
      </w:pPr>
      <w: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fia"/>
        <w:jc w:val="left"/>
      </w:pPr>
      <w:r>
        <w:t>- Artigos de engenharia sem tabelas antropométricas — estudos centrados em materiais, análise de elementos finitos ou fabrico aditivo que referenciam dimensões da mão apenas de forma incidental e sem estatística descritiva.</w:t>
      </w:r>
    </w:p>
    <w:p>
      <w:pPr>
        <w:pStyle w:val="Bibliografia"/>
        <w:jc w:val="left"/>
      </w:pPr>
      <w: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Cabealho2"/>
        <w:numPr>
          <w:ilvl w:val="1"/>
          <w:numId w:val="0"/>
        </w:numPr>
      </w:pPr>
      <w:r>
        <w:t>A.4 Processo de Extracção de Dados</w:t>
      </w:r>
    </w:p>
    <w:p>
      <w:pPr>
        <w:pStyle w:val="Cabealho3"/>
        <w:numPr>
          <w:ilvl w:val="2"/>
          <w:numId w:val="0"/>
        </w:numPr>
      </w:pPr>
      <w:r>
        <w:t>A.4.1 Leitura dos PDFs e localização das tabelas</w:t>
      </w:r>
    </w:p>
    <w:p>
      <w:pPr>
        <w:pStyle w:val="Bibliografia"/>
        <w:jc w:val="left"/>
      </w:pPr>
      <w: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fia"/>
        <w:jc w:val="left"/>
      </w:pPr>
      <w:r>
        <w:t>Quando um artigo reportava medições em mais do que uma tabela (por exemplo, comprimentos numa tabela e larguras noutra), cada tabela foi processada separadamente.</w:t>
      </w:r>
    </w:p>
    <w:p>
      <w:pPr>
        <w:pStyle w:val="Cabealho3"/>
        <w:numPr>
          <w:ilvl w:val="2"/>
          <w:numId w:val="0"/>
        </w:numPr>
      </w:pPr>
      <w:r>
        <w:t>A.4.2 Identificação das unidades e conversão</w:t>
      </w:r>
    </w:p>
    <w:p>
      <w:pPr>
        <w:pStyle w:val="Bibliografia"/>
        <w:jc w:val="left"/>
      </w:pPr>
      <w: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fia"/>
        <w:jc w:val="left"/>
      </w:pPr>
      <w:r>
        <w:t>- Se o artigo reporta em mm: valuecm = valuemm / 10; valuein = valuecm / 2.54</w:t>
      </w:r>
    </w:p>
    <w:p>
      <w:pPr>
        <w:pStyle w:val="Bibliografia"/>
        <w:jc w:val="left"/>
      </w:pPr>
      <w:r>
        <w:t>- Se o artigo reporta em cm: valuemm = valuecm × 10; valuein = valuecm / 2.54</w:t>
      </w:r>
    </w:p>
    <w:p>
      <w:pPr>
        <w:pStyle w:val="Bibliografia"/>
        <w:jc w:val="left"/>
      </w:pPr>
      <w:r>
        <w:t>- Se o artigo reporta em in: valuecm = valuein × 2,54; valuemm = valuein × 25,4</w:t>
      </w:r>
    </w:p>
    <w:p>
      <w:pPr>
        <w:pStyle w:val="Bibliografia"/>
        <w:jc w:val="left"/>
      </w:pPr>
      <w:r>
        <w:t>Esta redundância elimina conversões em tempo de execução por parte do modelo paramétrico.</w:t>
      </w:r>
    </w:p>
    <w:p>
      <w:pPr>
        <w:pStyle w:val="Cabealho3"/>
        <w:numPr>
          <w:ilvl w:val="2"/>
          <w:numId w:val="0"/>
        </w:numPr>
      </w:pPr>
      <w:r>
        <w:t>A.4.3 Decomposição em linhas atómicas</w:t>
      </w:r>
    </w:p>
    <w:p>
      <w:pPr>
        <w:pStyle w:val="Bibliografia"/>
        <w:jc w:val="left"/>
      </w:pPr>
      <w: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fia"/>
        <w:jc w:val="left"/>
      </w:pPr>
      <w:r>
        <w:t>Esta estrutura longa (long format) permite filtrar e agregar por qualquer combinação de variáveis sem necessidade de transformação prévia.</w:t>
      </w:r>
    </w:p>
    <w:p>
      <w:pPr>
        <w:pStyle w:val="Cabealho3"/>
        <w:numPr>
          <w:ilvl w:val="2"/>
          <w:numId w:val="0"/>
        </w:numPr>
      </w:pPr>
      <w:r>
        <w:t>A.4.4 Registo fiel do contexto da medição</w:t>
      </w:r>
    </w:p>
    <w:p>
      <w:pPr>
        <w:pStyle w:val="Bibliografia"/>
        <w:jc w:val="left"/>
      </w:pPr>
      <w:r>
        <w:t>O campo measurementmethodnote regista, para cada estudo, informações sobre:</w:t>
      </w:r>
    </w:p>
    <w:p>
      <w:pPr>
        <w:pStyle w:val="Bibliografia"/>
        <w:jc w:val="left"/>
      </w:pPr>
      <w:r>
        <w:t>- O instrumento utilizado (e.g., "paquímetro digital Vernier 200 mm, resolução 0,01 mm")</w:t>
      </w:r>
    </w:p>
    <w:p>
      <w:pPr>
        <w:pStyle w:val="Bibliografia"/>
        <w:jc w:val="left"/>
      </w:pPr>
      <w:r>
        <w:t>- A mão medida (direita/esquerda/dominante)</w:t>
      </w:r>
    </w:p>
    <w:p>
      <w:pPr>
        <w:pStyle w:val="Bibliografia"/>
        <w:jc w:val="left"/>
      </w:pPr>
      <w:r>
        <w:t>- A posição da mão durante a medição (estendida e plana, em posição de repouso, sentado)</w:t>
      </w:r>
    </w:p>
    <w:p>
      <w:pPr>
        <w:pStyle w:val="Bibliografia"/>
        <w:jc w:val="left"/>
      </w:pPr>
      <w:r>
        <w:t>- O ponto de referência do comprimento (e.g., "da prega palmar proximal à ponta do dedo")</w:t>
      </w:r>
    </w:p>
    <w:p>
      <w:pPr>
        <w:pStyle w:val="Bibliografia"/>
        <w:jc w:val="left"/>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Cabealho2"/>
        <w:numPr>
          <w:ilvl w:val="1"/>
          <w:numId w:val="0"/>
        </w:numPr>
      </w:pPr>
      <w:r>
        <w:t>A.5 Decisões por Estudo</w:t>
      </w:r>
    </w:p>
    <w:p>
      <w:pPr>
        <w:pStyle w:val="Cabealho3"/>
        <w:numPr>
          <w:ilvl w:val="2"/>
          <w:numId w:val="0"/>
        </w:numPr>
      </w:pPr>
      <w:r>
        <w:t>A.5.1 ANSUR 1988 — EUA, militares (Gordon et al., 1989)</w:t>
      </w:r>
    </w:p>
    <w:p>
      <w:pPr>
        <w:pStyle w:val="Bibliografia"/>
        <w:jc w:val="left"/>
      </w:pPr>
      <w: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fia"/>
        <w:jc w:val="left"/>
      </w:pPr>
      <w: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fia"/>
        <w:jc w:val="left"/>
      </w:pPr>
      <w: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Cabealho3"/>
        <w:numPr>
          <w:ilvl w:val="2"/>
          <w:numId w:val="0"/>
        </w:numPr>
      </w:pPr>
      <w:r>
        <w:t>A.5.2 Turquia — jovens adultos (Chatzioglou et al., 2024)</w:t>
      </w:r>
    </w:p>
    <w:p>
      <w:pPr>
        <w:pStyle w:val="Bibliografia"/>
        <w:jc w:val="left"/>
      </w:pPr>
      <w: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fia"/>
        <w:jc w:val="left"/>
      </w:pPr>
      <w:r>
        <w:t xml:space="preserve">Decisão: inclusão. Primeiro estudo de foto-antropometria da mão na base de dados; o método é documentado de forma rigorosa e o artigo foi publicado em revista indexada com revisão por pares. Os valores mínimo e máximo, sem percentis, foram codificados como </w:t>
      </w:r>
      <w:r>
        <w:t>stattype = min</w:t>
      </w:r>
      <w:r>
        <w:t xml:space="preserve"> e </w:t>
      </w:r>
      <w:r>
        <w:t>max</w:t>
      </w:r>
      <w:r>
        <w:t>.</w:t>
      </w:r>
    </w:p>
    <w:p>
      <w:pPr>
        <w:pStyle w:val="Cabealho3"/>
        <w:numPr>
          <w:ilvl w:val="2"/>
          <w:numId w:val="0"/>
        </w:numPr>
      </w:pPr>
      <w:r>
        <w:t>A.5.3 México — população geral (Rodríguez-Vega &amp; Rodríguez-Vega, 2024)</w:t>
      </w:r>
    </w:p>
    <w:p>
      <w:pPr>
        <w:pStyle w:val="Bibliografia"/>
        <w:jc w:val="left"/>
      </w:pPr>
      <w: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fia"/>
        <w:jc w:val="left"/>
      </w:pPr>
      <w: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w:t>
      </w:r>
      <w:r>
        <w:t>SD = 0,00</w:t>
      </w:r>
      <w:r>
        <w:t xml:space="preserve"> reportado para </w:t>
      </w:r>
      <w:r>
        <w:t>HB</w:t>
      </w:r>
      <w:r>
        <w:t xml:space="preserve">, provavelmente por arredondamento); o subgrupo feminino 45-49 tem n=10. Ambos foram incluídos e marcados no campo </w:t>
      </w:r>
      <w:r>
        <w:t>dataqualitynote</w:t>
      </w:r>
      <w:r>
        <w:t>.</w:t>
      </w:r>
    </w:p>
    <w:p>
      <w:pPr>
        <w:pStyle w:val="Cabealho3"/>
        <w:numPr>
          <w:ilvl w:val="2"/>
          <w:numId w:val="0"/>
        </w:numPr>
      </w:pPr>
      <w:r>
        <w:t>A.5.4 Índia — mulheres trabalhadoras (Nag et al., 2003)</w:t>
      </w:r>
    </w:p>
    <w:p>
      <w:pPr>
        <w:pStyle w:val="Bibliografia"/>
        <w:jc w:val="left"/>
      </w:pPr>
      <w: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fia"/>
        <w:jc w:val="left"/>
      </w:pPr>
      <w:r>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r>
        <w:t>population</w:t>
      </w:r>
      <w:r>
        <w:t>.</w:t>
      </w:r>
    </w:p>
    <w:p>
      <w:pPr>
        <w:pStyle w:val="Cabealho3"/>
        <w:numPr>
          <w:ilvl w:val="2"/>
          <w:numId w:val="0"/>
        </w:numPr>
      </w:pPr>
      <w:r>
        <w:t>A.5.5 Portugal — trabalhadores industriais (Anacleto Filho et al., 2023)</w:t>
      </w:r>
    </w:p>
    <w:p>
      <w:pPr>
        <w:pStyle w:val="Bibliografia"/>
        <w:jc w:val="left"/>
      </w:pPr>
      <w:r>
        <w:t>Fonte: International Journal of Industrial Ergonomics, 97:103473. n=343 (169M, 174F),</w:t>
      </w:r>
    </w:p>
    <w:p>
      <w:pPr>
        <w:pStyle w:val="Bibliografia"/>
        <w:jc w:val="left"/>
      </w:pPr>
      <w:r>
        <w:t>trabalhadores industriais do Norte de Portugal, 2021. De um conjunto de 27 dimensões corporais, apenas duas são da mão: comprimento da mão e largura da mão (metacarpal II–V). Tabela 3, P5, P50, P95 por sexo.</w:t>
      </w:r>
    </w:p>
    <w:p>
      <w:pPr>
        <w:pStyle w:val="Bibliografia"/>
        <w:jc w:val="left"/>
      </w:pPr>
      <w: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fia"/>
        <w:jc w:val="left"/>
      </w:pPr>
      <w:r>
        <w:t>Nota metodológica: O estudo mediu o lado esquerdo por limitação de instalações; este facto é registado em measurementmethodnote.</w:t>
      </w:r>
    </w:p>
    <w:p>
      <w:pPr>
        <w:pStyle w:val="Cabealho3"/>
        <w:numPr>
          <w:ilvl w:val="2"/>
          <w:numId w:val="0"/>
        </w:numPr>
      </w:pPr>
      <w:r>
        <w:t>A.5.6 Nigéria — atletas universitários (Ibiwari et al., 2025)</w:t>
      </w:r>
    </w:p>
    <w:p>
      <w:pPr>
        <w:pStyle w:val="Bibliografia"/>
        <w:jc w:val="left"/>
      </w:pPr>
      <w: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fia"/>
        <w:jc w:val="left"/>
      </w:pPr>
      <w:r>
        <w:t>Decisão: inclusão com marcação de subgrupo desportivo. Dois subgrupos apresentam desvio-padrão atipicamente elevado, como o comprimento da mão no voleibol masculino (</w:t>
      </w:r>
      <w:r>
        <w:t>SD = 37,49 mm</w:t>
      </w:r>
      <w:r>
        <w:t>), sugerindo a presença de valores atípicos na amostra original. Estes casos foram marcados com nota de qualidade; os valores foram preservados por provirem de tabelas publicadas.</w:t>
      </w:r>
    </w:p>
    <w:p>
      <w:pPr>
        <w:pStyle w:val="Bibliografia"/>
        <w:jc w:val="left"/>
      </w:pPr>
      <w:r>
        <w:t>Nota: A população de atletas não é representativa da população geral; os valores reflectem uma selecção fisicamente activa e potencialmente com mãos de dimensões superiores à média.</w:t>
      </w:r>
    </w:p>
    <w:p>
      <w:pPr>
        <w:pStyle w:val="Cabealho3"/>
        <w:numPr>
          <w:ilvl w:val="2"/>
          <w:numId w:val="0"/>
        </w:numPr>
      </w:pPr>
      <w:r>
        <w:t>A.5.7 Jordânia — trabalhadores com deficiência (Mistarihi, 2020)</w:t>
      </w:r>
    </w:p>
    <w:p>
      <w:pPr>
        <w:pStyle w:val="Bibliografia"/>
        <w:jc w:val="left"/>
      </w:pPr>
      <w: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fia"/>
        <w:jc w:val="left"/>
      </w:pPr>
      <w: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Cabealho3"/>
        <w:numPr>
          <w:ilvl w:val="2"/>
          <w:numId w:val="0"/>
        </w:numPr>
      </w:pPr>
      <w:r>
        <w:t>A.5.8 EUA — dedo indicador (Lim et al., 2018)</w:t>
      </w:r>
    </w:p>
    <w:p>
      <w:pPr>
        <w:pStyle w:val="Bibliografia"/>
        <w:jc w:val="left"/>
      </w:pPr>
      <w:r>
        <w:t>Fonte: Trabalho académico UC Berkeley. n=50 adultos, idade 18–30. Apenas duas dimensões do dedo indicador (D2): comprimento MCP-ponta (média=90,9 mm) e largura na articulação PIP (média=16,9 mm). Apenas médias reportadas, sem SD ou percentis.</w:t>
      </w:r>
    </w:p>
    <w:p>
      <w:pPr>
        <w:pStyle w:val="Bibliografia"/>
        <w:jc w:val="left"/>
      </w:pPr>
      <w: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w:t>
      </w:r>
      <w:r>
        <w:t>R² = 0,18</w:t>
      </w:r>
      <w:r>
        <w:t xml:space="preserve"> entre comprimento e largura do dedo é registado como indicador de correlação fraca.</w:t>
      </w:r>
    </w:p>
    <w:p>
      <w:pPr>
        <w:pStyle w:val="Cabealho3"/>
        <w:numPr>
          <w:ilvl w:val="2"/>
          <w:numId w:val="0"/>
        </w:numPr>
      </w:pPr>
      <w:r>
        <w:t>A.5.9 Estudo excluído: Moreo (2016)</w:t>
      </w:r>
    </w:p>
    <w:p>
      <w:pPr>
        <w:pStyle w:val="Bibliografia"/>
        <w:jc w:val="left"/>
      </w:pPr>
      <w: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Cabealho3"/>
        <w:numPr>
          <w:ilvl w:val="2"/>
          <w:numId w:val="0"/>
        </w:numPr>
      </w:pPr>
      <w:r>
        <w:t>A.5.10 EUA — militares ANSUR II (Gordon et al., 2015)</w:t>
      </w:r>
    </w:p>
    <w:p>
      <w:pPr>
        <w:pStyle w:val="Bibliografia"/>
        <w:jc w:val="left"/>
      </w:pPr>
      <w: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fia"/>
        <w:jc w:val="left"/>
      </w:pPr>
      <w: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fia"/>
        <w:jc w:val="left"/>
      </w:pPr>
      <w:r>
        <w:t>Nota: A medição wristheight foi excluída — corresponde à distância do chão ao pulso em posição de pé, uma dimensão postural e não uma medição da mão.</w:t>
      </w:r>
    </w:p>
    <w:p>
      <w:pPr>
        <w:pStyle w:val="Cabealho3"/>
        <w:numPr>
          <w:ilvl w:val="2"/>
          <w:numId w:val="0"/>
        </w:numPr>
      </w:pPr>
      <w:r>
        <w:t>A.5.11 Países Baixos — DINED (TU Delft, 1993–2004)</w:t>
      </w:r>
    </w:p>
    <w:p>
      <w:pPr>
        <w:pStyle w:val="Bibliografia"/>
        <w:jc w:val="left"/>
      </w:pPr>
      <w:r>
        <w:t>Fonte: Base de dados antropométrica do Delft Institute for Ergonomics and Design, acessível via conta institucional em dined.io.tudelft.nl. Três sub-datasets distintos, com dados de mão disponíveis:</w:t>
      </w:r>
    </w:p>
    <w:p>
      <w:pPr>
        <w:pStyle w:val="Bibliografia"/>
        <w:jc w:val="left"/>
      </w:pPr>
      <w:r>
        <w:t>- kima1993: crianças neerlandesas, idades 2–12 (grupos por ano), por sexo e combinado; 8 medições da mão por grupo etário.</w:t>
      </w:r>
    </w:p>
    <w:p>
      <w:pPr>
        <w:pStyle w:val="Bibliografia"/>
        <w:jc w:val="left"/>
      </w:pPr>
      <w:r>
        <w:t>- geron1998: idosos neerlandeses, idades 50–80+ (bandas de 5 anos), por sexo e combinado; 5 medições da mão.</w:t>
      </w:r>
    </w:p>
    <w:p>
      <w:pPr>
        <w:pStyle w:val="Bibliografia"/>
        <w:jc w:val="left"/>
      </w:pPr>
      <w:r>
        <w:t>- dined2004: adultos neerlandeses, grupos etários 20–30, 31–60, 60+, por sexo e combinado; 6–7 medições da mão.</w:t>
      </w:r>
    </w:p>
    <w:p>
      <w:pPr>
        <w:pStyle w:val="Bibliografia"/>
        <w:jc w:val="left"/>
      </w:pPr>
      <w:r>
        <w:t>Os dados foram extraídos a partir do HTML da interface web (padrões id="mean{col}{row}" / id="sd{col}{row}"), mapeando índices de coluna para combinações (sub-dataset, sexo, grupo etário) e índices de linha para nomes de medição.</w:t>
      </w:r>
    </w:p>
    <w:p>
      <w:pPr>
        <w:pStyle w:val="Bibliografia"/>
        <w:jc w:val="left"/>
      </w:pPr>
      <w: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Cabealho3"/>
        <w:numPr>
          <w:ilvl w:val="2"/>
          <w:numId w:val="0"/>
        </w:numPr>
      </w:pPr>
      <w:r>
        <w:t>A.5.12 China — idosos de Pequim (Hu et al., 2007)</w:t>
      </w:r>
    </w:p>
    <w:p>
      <w:pPr>
        <w:pStyle w:val="Bibliografia"/>
        <w:jc w:val="left"/>
      </w:pPr>
      <w: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fia"/>
        <w:jc w:val="left"/>
      </w:pPr>
      <w: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fia"/>
        <w:jc w:val="left"/>
      </w:pPr>
      <w:r>
        <w:t>Nota de cobertura: Primeira fonte de dados de idosos chineses e, simultaneamente, a única fonte da Ásia Oriental na base de dados (após a verificação de que uma referência alternativa inicialmente identificada não era verificável).</w:t>
      </w:r>
    </w:p>
    <w:p>
      <w:pPr>
        <w:pStyle w:val="Cabealho3"/>
        <w:numPr>
          <w:ilvl w:val="2"/>
          <w:numId w:val="0"/>
        </w:numPr>
      </w:pPr>
      <w:r>
        <w:t>A.5.13 Estudo excluído: reconstrução corporal 3D a partir de fotografias ortogonais</w:t>
      </w:r>
    </w:p>
    <w:p>
      <w:pPr>
        <w:pStyle w:val="Bibliografia"/>
        <w:jc w:val="left"/>
      </w:pPr>
      <w:r>
        <w:t>Fonte: artigo metodológico sobre reconstrução de modelos corporais 3D a partir de fotografias ortogonais, publicado no International Journal of Industrial Ergonomics, usando deformação de forma livre (FFD).</w:t>
      </w:r>
    </w:p>
    <w:p>
      <w:pPr>
        <w:pStyle w:val="Bibliografia"/>
        <w:jc w:val="left"/>
      </w:pPr>
      <w: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Cabealho2"/>
        <w:numPr>
          <w:ilvl w:val="1"/>
          <w:numId w:val="0"/>
        </w:numPr>
      </w:pPr>
      <w:r>
        <w:t>A.6 Estrutura do CSV e esquema de dados</w:t>
      </w:r>
    </w:p>
    <w:p>
      <w:pPr>
        <w:pStyle w:val="Cabealho3"/>
        <w:numPr>
          <w:ilvl w:val="2"/>
          <w:numId w:val="0"/>
        </w:numPr>
      </w:pPr>
      <w:r>
        <w:t>A.6.1 Campos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Campo</w:t>
            </w:r>
          </w:p>
        </w:tc>
        <w:tc>
          <w:tcPr>
            <w:tcW w:w="0" w:type="auto"/>
          </w:tcPr>
          <w:p>
            <w:pPr>
              <w:pStyle w:val="TextoNormal-IPCA"/>
              <w:jc w:val="center"/>
            </w:pPr>
            <w:r>
              <w:rPr>
                <w:b/>
              </w:rPr>
              <w:t>Tipo</w:t>
            </w:r>
          </w:p>
        </w:tc>
        <w:tc>
          <w:tcPr>
            <w:tcW w:w="0" w:type="auto"/>
          </w:tcPr>
          <w:p>
            <w:pPr>
              <w:pStyle w:val="TextoNormal-IPCA"/>
              <w:jc w:val="center"/>
            </w:pPr>
            <w:r>
              <w:rPr>
                <w:b/>
              </w:rPr>
              <w:t>Descrição</w:t>
            </w:r>
          </w:p>
        </w:tc>
      </w:tr>
      <w:tr>
        <w:tc>
          <w:tcPr>
            <w:tcW w:w="0" w:type="auto"/>
          </w:tcPr>
          <w:p>
            <w:pPr>
              <w:pStyle w:val="TextoNormal-IPCA"/>
              <w:jc w:val="left"/>
            </w:pPr>
            <w:r>
              <w:t>sourcedocument</w:t>
            </w:r>
          </w:p>
        </w:tc>
        <w:tc>
          <w:tcPr>
            <w:tcW w:w="0" w:type="auto"/>
          </w:tcPr>
          <w:p>
            <w:pPr>
              <w:pStyle w:val="TextoNormal-IPCA"/>
              <w:jc w:val="left"/>
            </w:pPr>
            <w:r>
              <w:t>string</w:t>
            </w:r>
          </w:p>
        </w:tc>
        <w:tc>
          <w:tcPr>
            <w:tcW w:w="0" w:type="auto"/>
          </w:tcPr>
          <w:p>
            <w:pPr>
              <w:pStyle w:val="TextoNormal-IPCA"/>
              <w:jc w:val="left"/>
            </w:pPr>
            <w:r>
              <w:t>Título abreviado do artigo ou relatório fonte</w:t>
            </w:r>
          </w:p>
        </w:tc>
      </w:tr>
      <w:tr>
        <w:tc>
          <w:tcPr>
            <w:tcW w:w="0" w:type="auto"/>
          </w:tcPr>
          <w:p>
            <w:pPr>
              <w:pStyle w:val="TextoNormal-IPCA"/>
              <w:jc w:val="left"/>
            </w:pPr>
            <w:r>
              <w:t>sourcepage</w:t>
            </w:r>
          </w:p>
        </w:tc>
        <w:tc>
          <w:tcPr>
            <w:tcW w:w="0" w:type="auto"/>
          </w:tcPr>
          <w:p>
            <w:pPr>
              <w:pStyle w:val="TextoNormal-IPCA"/>
              <w:jc w:val="left"/>
            </w:pPr>
            <w:r>
              <w:t>int</w:t>
            </w:r>
          </w:p>
        </w:tc>
        <w:tc>
          <w:tcPr>
            <w:tcW w:w="0" w:type="auto"/>
          </w:tcPr>
          <w:p>
            <w:pPr>
              <w:pStyle w:val="TextoNormal-IPCA"/>
              <w:jc w:val="left"/>
            </w:pPr>
            <w:r>
              <w:t>Página da tabela de origem no documento</w:t>
            </w:r>
          </w:p>
        </w:tc>
      </w:tr>
      <w:tr>
        <w:tc>
          <w:tcPr>
            <w:tcW w:w="0" w:type="auto"/>
          </w:tcPr>
          <w:p>
            <w:pPr>
              <w:pStyle w:val="TextoNormal-IPCA"/>
              <w:jc w:val="left"/>
            </w:pPr>
            <w:r>
              <w:t>sourcecitation</w:t>
            </w:r>
          </w:p>
        </w:tc>
        <w:tc>
          <w:tcPr>
            <w:tcW w:w="0" w:type="auto"/>
          </w:tcPr>
          <w:p>
            <w:pPr>
              <w:pStyle w:val="TextoNormal-IPCA"/>
              <w:jc w:val="left"/>
            </w:pPr>
            <w:r>
              <w:t>string</w:t>
            </w:r>
          </w:p>
        </w:tc>
        <w:tc>
          <w:tcPr>
            <w:tcW w:w="0" w:type="auto"/>
          </w:tcPr>
          <w:p>
            <w:pPr>
              <w:pStyle w:val="TextoNormal-IPCA"/>
              <w:jc w:val="left"/>
            </w:pPr>
            <w:r>
              <w:t>Citação completa em estilo APA</w:t>
            </w:r>
          </w:p>
        </w:tc>
      </w:tr>
      <w:tr>
        <w:tc>
          <w:tcPr>
            <w:tcW w:w="0" w:type="auto"/>
          </w:tcPr>
          <w:p>
            <w:pPr>
              <w:pStyle w:val="TextoNormal-IPCA"/>
              <w:jc w:val="left"/>
            </w:pPr>
            <w:r>
              <w:t>measurementname</w:t>
            </w:r>
          </w:p>
        </w:tc>
        <w:tc>
          <w:tcPr>
            <w:tcW w:w="0" w:type="auto"/>
          </w:tcPr>
          <w:p>
            <w:pPr>
              <w:pStyle w:val="TextoNormal-IPCA"/>
              <w:jc w:val="left"/>
            </w:pPr>
            <w:r>
              <w:t>string</w:t>
            </w:r>
          </w:p>
        </w:tc>
        <w:tc>
          <w:tcPr>
            <w:tcW w:w="0" w:type="auto"/>
          </w:tcPr>
          <w:p>
            <w:pPr>
              <w:pStyle w:val="TextoNormal-IPCA"/>
              <w:jc w:val="left"/>
            </w:pPr>
            <w:r>
              <w:t>Nome da dimensão, incluindo especificações de método quando relevante</w:t>
            </w:r>
          </w:p>
        </w:tc>
      </w:tr>
      <w:tr>
        <w:tc>
          <w:tcPr>
            <w:tcW w:w="0" w:type="auto"/>
          </w:tcPr>
          <w:p>
            <w:pPr>
              <w:pStyle w:val="TextoNormal-IPCA"/>
              <w:jc w:val="left"/>
            </w:pPr>
            <w:r>
              <w:t>bodyregion</w:t>
            </w:r>
          </w:p>
        </w:tc>
        <w:tc>
          <w:tcPr>
            <w:tcW w:w="0" w:type="auto"/>
          </w:tcPr>
          <w:p>
            <w:pPr>
              <w:pStyle w:val="TextoNormal-IPCA"/>
              <w:jc w:val="left"/>
            </w:pPr>
            <w:r>
              <w:t>string</w:t>
            </w:r>
          </w:p>
        </w:tc>
        <w:tc>
          <w:tcPr>
            <w:tcW w:w="0" w:type="auto"/>
          </w:tcPr>
          <w:p>
            <w:pPr>
              <w:pStyle w:val="TextoNormal-IPCA"/>
              <w:jc w:val="left"/>
            </w:pPr>
            <w:r>
              <w:t>Região corporal (hand, forearm, upperarm, lowerlimb, torso, head)</w:t>
            </w:r>
          </w:p>
        </w:tc>
      </w:tr>
      <w:tr>
        <w:tc>
          <w:tcPr>
            <w:tcW w:w="0" w:type="auto"/>
          </w:tcPr>
          <w:p>
            <w:pPr>
              <w:pStyle w:val="TextoNormal-IPCA"/>
              <w:jc w:val="left"/>
            </w:pPr>
            <w:r>
              <w:t>measurementmethodnote</w:t>
            </w:r>
          </w:p>
        </w:tc>
        <w:tc>
          <w:tcPr>
            <w:tcW w:w="0" w:type="auto"/>
          </w:tcPr>
          <w:p>
            <w:pPr>
              <w:pStyle w:val="TextoNormal-IPCA"/>
              <w:jc w:val="left"/>
            </w:pPr>
            <w:r>
              <w:t>string</w:t>
            </w:r>
          </w:p>
        </w:tc>
        <w:tc>
          <w:tcPr>
            <w:tcW w:w="0" w:type="auto"/>
          </w:tcPr>
          <w:p>
            <w:pPr>
              <w:pStyle w:val="TextoNormal-IPCA"/>
              <w:jc w:val="left"/>
            </w:pPr>
            <w:r>
              <w:t>Instrumento, mão medida, posição e protocolo de medição</w:t>
            </w:r>
          </w:p>
        </w:tc>
      </w:tr>
      <w:tr>
        <w:tc>
          <w:tcPr>
            <w:tcW w:w="0" w:type="auto"/>
          </w:tcPr>
          <w:p>
            <w:pPr>
              <w:pStyle w:val="TextoNormal-IPCA"/>
              <w:jc w:val="left"/>
            </w:pPr>
            <w:r>
              <w:t>population</w:t>
            </w:r>
          </w:p>
        </w:tc>
        <w:tc>
          <w:tcPr>
            <w:tcW w:w="0" w:type="auto"/>
          </w:tcPr>
          <w:p>
            <w:pPr>
              <w:pStyle w:val="TextoNormal-IPCA"/>
              <w:jc w:val="left"/>
            </w:pPr>
            <w:r>
              <w:t>string</w:t>
            </w:r>
          </w:p>
        </w:tc>
        <w:tc>
          <w:tcPr>
            <w:tcW w:w="0" w:type="auto"/>
          </w:tcPr>
          <w:p>
            <w:pPr>
              <w:pStyle w:val="TextoNormal-IPCA"/>
              <w:jc w:val="left"/>
            </w:pPr>
            <w:r>
              <w:t>Descrição da população (e.g., "Young adults (age 18-30)")</w:t>
            </w:r>
          </w:p>
        </w:tc>
      </w:tr>
      <w:tr>
        <w:tc>
          <w:tcPr>
            <w:tcW w:w="0" w:type="auto"/>
          </w:tcPr>
          <w:p>
            <w:pPr>
              <w:pStyle w:val="TextoNormal-IPCA"/>
              <w:jc w:val="left"/>
            </w:pPr>
            <w:r>
              <w:t>country</w:t>
            </w:r>
          </w:p>
        </w:tc>
        <w:tc>
          <w:tcPr>
            <w:tcW w:w="0" w:type="auto"/>
          </w:tcPr>
          <w:p>
            <w:pPr>
              <w:pStyle w:val="TextoNormal-IPCA"/>
              <w:jc w:val="left"/>
            </w:pPr>
            <w:r>
              <w:t>string</w:t>
            </w:r>
          </w:p>
        </w:tc>
        <w:tc>
          <w:tcPr>
            <w:tcW w:w="0" w:type="auto"/>
          </w:tcPr>
          <w:p>
            <w:pPr>
              <w:pStyle w:val="TextoNormal-IPCA"/>
              <w:jc w:val="left"/>
            </w:pPr>
            <w:r>
              <w:t>País de recolha dos dados</w:t>
            </w:r>
          </w:p>
        </w:tc>
      </w:tr>
      <w:tr>
        <w:tc>
          <w:tcPr>
            <w:tcW w:w="0" w:type="auto"/>
          </w:tcPr>
          <w:p>
            <w:pPr>
              <w:pStyle w:val="TextoNormal-IPCA"/>
              <w:jc w:val="left"/>
            </w:pPr>
            <w:r>
              <w:t>sex</w:t>
            </w:r>
          </w:p>
        </w:tc>
        <w:tc>
          <w:tcPr>
            <w:tcW w:w="0" w:type="auto"/>
          </w:tcPr>
          <w:p>
            <w:pPr>
              <w:pStyle w:val="TextoNormal-IPCA"/>
              <w:jc w:val="left"/>
            </w:pPr>
            <w:r>
              <w:t>string</w:t>
            </w:r>
          </w:p>
        </w:tc>
        <w:tc>
          <w:tcPr>
            <w:tcW w:w="0" w:type="auto"/>
          </w:tcPr>
          <w:p>
            <w:pPr>
              <w:pStyle w:val="TextoNormal-IPCA"/>
              <w:jc w:val="left"/>
            </w:pPr>
            <w:r>
              <w:t>male, female ou combined</w:t>
            </w:r>
          </w:p>
        </w:tc>
      </w:tr>
      <w:tr>
        <w:tc>
          <w:tcPr>
            <w:tcW w:w="0" w:type="auto"/>
          </w:tcPr>
          <w:p>
            <w:pPr>
              <w:pStyle w:val="TextoNormal-IPCA"/>
              <w:jc w:val="left"/>
            </w:pPr>
            <w:r>
              <w:t>agegroup</w:t>
            </w:r>
          </w:p>
        </w:tc>
        <w:tc>
          <w:tcPr>
            <w:tcW w:w="0" w:type="auto"/>
          </w:tcPr>
          <w:p>
            <w:pPr>
              <w:pStyle w:val="TextoNormal-IPCA"/>
              <w:jc w:val="left"/>
            </w:pPr>
            <w:r>
              <w:t>string</w:t>
            </w:r>
          </w:p>
        </w:tc>
        <w:tc>
          <w:tcPr>
            <w:tcW w:w="0" w:type="auto"/>
          </w:tcPr>
          <w:p>
            <w:pPr>
              <w:pStyle w:val="TextoNormal-IPCA"/>
              <w:jc w:val="left"/>
            </w:pPr>
            <w:r>
              <w:t>Intervalo etário da (sub)amostra</w:t>
            </w:r>
          </w:p>
        </w:tc>
      </w:tr>
      <w:tr>
        <w:tc>
          <w:tcPr>
            <w:tcW w:w="0" w:type="auto"/>
          </w:tcPr>
          <w:p>
            <w:pPr>
              <w:pStyle w:val="TextoNormal-IPCA"/>
              <w:jc w:val="left"/>
            </w:pPr>
            <w:r>
              <w:t>samplesize</w:t>
            </w:r>
          </w:p>
        </w:tc>
        <w:tc>
          <w:tcPr>
            <w:tcW w:w="0" w:type="auto"/>
          </w:tcPr>
          <w:p>
            <w:pPr>
              <w:pStyle w:val="TextoNormal-IPCA"/>
              <w:jc w:val="left"/>
            </w:pPr>
            <w:r>
              <w:t>int</w:t>
            </w:r>
          </w:p>
        </w:tc>
        <w:tc>
          <w:tcPr>
            <w:tcW w:w="0" w:type="auto"/>
          </w:tcPr>
          <w:p>
            <w:pPr>
              <w:pStyle w:val="TextoNormal-IPCA"/>
              <w:jc w:val="left"/>
            </w:pPr>
            <w:r>
              <w:t>Número de participantes na (sub)amostra</w:t>
            </w:r>
          </w:p>
        </w:tc>
      </w:tr>
      <w:tr>
        <w:tc>
          <w:tcPr>
            <w:tcW w:w="0" w:type="auto"/>
          </w:tcPr>
          <w:p>
            <w:pPr>
              <w:pStyle w:val="TextoNormal-IPCA"/>
              <w:jc w:val="left"/>
            </w:pPr>
            <w:r>
              <w:t>stattype</w:t>
            </w:r>
          </w:p>
        </w:tc>
        <w:tc>
          <w:tcPr>
            <w:tcW w:w="0" w:type="auto"/>
          </w:tcPr>
          <w:p>
            <w:pPr>
              <w:pStyle w:val="TextoNormal-IPCA"/>
              <w:jc w:val="left"/>
            </w:pPr>
            <w:r>
              <w:t>string</w:t>
            </w:r>
          </w:p>
        </w:tc>
        <w:tc>
          <w:tcPr>
            <w:tcW w:w="0" w:type="auto"/>
          </w:tcPr>
          <w:p>
            <w:pPr>
              <w:pStyle w:val="TextoNormal-IPCA"/>
              <w:jc w:val="left"/>
            </w:pPr>
            <w:r>
              <w:t>Tipo de estatística: mean, stddev, percentile, min, max</w:t>
            </w:r>
          </w:p>
        </w:tc>
      </w:tr>
      <w:tr>
        <w:tc>
          <w:tcPr>
            <w:tcW w:w="0" w:type="auto"/>
          </w:tcPr>
          <w:p>
            <w:pPr>
              <w:pStyle w:val="TextoNormal-IPCA"/>
              <w:jc w:val="left"/>
            </w:pPr>
            <w:r>
              <w:t>percentile</w:t>
            </w:r>
          </w:p>
        </w:tc>
        <w:tc>
          <w:tcPr>
            <w:tcW w:w="0" w:type="auto"/>
          </w:tcPr>
          <w:p>
            <w:pPr>
              <w:pStyle w:val="TextoNormal-IPCA"/>
              <w:jc w:val="left"/>
            </w:pPr>
            <w:r>
              <w:t>string</w:t>
            </w:r>
          </w:p>
        </w:tc>
        <w:tc>
          <w:tcPr>
            <w:tcW w:w="0" w:type="auto"/>
          </w:tcPr>
          <w:p>
            <w:pPr>
              <w:pStyle w:val="TextoNormal-IPCA"/>
              <w:jc w:val="left"/>
            </w:pPr>
            <w:r>
              <w:t>Valor do percentil (5, 10, 25, 50, 75, 90, 95) — vazio se não aplicável</w:t>
            </w:r>
          </w:p>
        </w:tc>
      </w:tr>
      <w:tr>
        <w:tc>
          <w:tcPr>
            <w:tcW w:w="0" w:type="auto"/>
          </w:tcPr>
          <w:p>
            <w:pPr>
              <w:pStyle w:val="TextoNormal-IPCA"/>
              <w:jc w:val="left"/>
            </w:pPr>
            <w:r>
              <w:t>valuecm</w:t>
            </w:r>
          </w:p>
        </w:tc>
        <w:tc>
          <w:tcPr>
            <w:tcW w:w="0" w:type="auto"/>
          </w:tcPr>
          <w:p>
            <w:pPr>
              <w:pStyle w:val="TextoNormal-IPCA"/>
              <w:jc w:val="left"/>
            </w:pPr>
            <w:r>
              <w:t>float</w:t>
            </w:r>
          </w:p>
        </w:tc>
        <w:tc>
          <w:tcPr>
            <w:tcW w:w="0" w:type="auto"/>
          </w:tcPr>
          <w:p>
            <w:pPr>
              <w:pStyle w:val="TextoNormal-IPCA"/>
              <w:jc w:val="left"/>
            </w:pPr>
            <w:r>
              <w:t>Valor em centímetros</w:t>
            </w:r>
          </w:p>
        </w:tc>
      </w:tr>
      <w:tr>
        <w:tc>
          <w:tcPr>
            <w:tcW w:w="0" w:type="auto"/>
          </w:tcPr>
          <w:p>
            <w:pPr>
              <w:pStyle w:val="TextoNormal-IPCA"/>
              <w:jc w:val="left"/>
            </w:pPr>
            <w:r>
              <w:t>valuemm</w:t>
            </w:r>
          </w:p>
        </w:tc>
        <w:tc>
          <w:tcPr>
            <w:tcW w:w="0" w:type="auto"/>
          </w:tcPr>
          <w:p>
            <w:pPr>
              <w:pStyle w:val="TextoNormal-IPCA"/>
              <w:jc w:val="left"/>
            </w:pPr>
            <w:r>
              <w:t>float</w:t>
            </w:r>
          </w:p>
        </w:tc>
        <w:tc>
          <w:tcPr>
            <w:tcW w:w="0" w:type="auto"/>
          </w:tcPr>
          <w:p>
            <w:pPr>
              <w:pStyle w:val="TextoNormal-IPCA"/>
              <w:jc w:val="left"/>
            </w:pPr>
            <w:r>
              <w:t>Valor em milímetros</w:t>
            </w:r>
          </w:p>
        </w:tc>
      </w:tr>
      <w:tr>
        <w:tc>
          <w:tcPr>
            <w:tcW w:w="0" w:type="auto"/>
          </w:tcPr>
          <w:p>
            <w:pPr>
              <w:pStyle w:val="TextoNormal-IPCA"/>
              <w:jc w:val="left"/>
            </w:pPr>
            <w:r>
              <w:t>valuein</w:t>
            </w:r>
          </w:p>
        </w:tc>
        <w:tc>
          <w:tcPr>
            <w:tcW w:w="0" w:type="auto"/>
          </w:tcPr>
          <w:p>
            <w:pPr>
              <w:pStyle w:val="TextoNormal-IPCA"/>
              <w:jc w:val="left"/>
            </w:pPr>
            <w:r>
              <w:t>float</w:t>
            </w:r>
          </w:p>
        </w:tc>
        <w:tc>
          <w:tcPr>
            <w:tcW w:w="0" w:type="auto"/>
          </w:tcPr>
          <w:p>
            <w:pPr>
              <w:pStyle w:val="TextoNormal-IPCA"/>
              <w:jc w:val="left"/>
            </w:pPr>
            <w:r>
              <w:t>Valor em polegadas (calculado automaticamente)</w:t>
            </w:r>
          </w:p>
        </w:tc>
      </w:tr>
      <w:tr>
        <w:tc>
          <w:tcPr>
            <w:tcW w:w="0" w:type="auto"/>
          </w:tcPr>
          <w:p>
            <w:pPr>
              <w:pStyle w:val="TextoNormal-IPCA"/>
              <w:jc w:val="left"/>
            </w:pPr>
            <w:r>
              <w:t>dataqualitynote</w:t>
            </w:r>
          </w:p>
        </w:tc>
        <w:tc>
          <w:tcPr>
            <w:tcW w:w="0" w:type="auto"/>
          </w:tcPr>
          <w:p>
            <w:pPr>
              <w:pStyle w:val="TextoNormal-IPCA"/>
              <w:jc w:val="left"/>
            </w:pPr>
            <w:r>
              <w:t>string</w:t>
            </w:r>
          </w:p>
        </w:tc>
        <w:tc>
          <w:tcPr>
            <w:tcW w:w="0" w:type="auto"/>
          </w:tcPr>
          <w:p>
            <w:pPr>
              <w:pStyle w:val="TextoNormal-IPCA"/>
              <w:jc w:val="left"/>
            </w:pPr>
            <w:r>
              <w:t>Notas sobre limitações, artefactos ou incertezas do valor</w:t>
            </w:r>
          </w:p>
        </w:tc>
      </w:tr>
    </w:tbl>
    <w:p>
      <w:pPr>
        <w:pStyle w:val="Cabealho3"/>
        <w:numPr>
          <w:ilvl w:val="2"/>
          <w:numId w:val="0"/>
        </w:numPr>
      </w:pPr>
      <w:r>
        <w:t>A.6.2 Formato longo (long format)</w:t>
      </w:r>
    </w:p>
    <w:p>
      <w:pPr>
        <w:pStyle w:val="Bibliografia"/>
        <w:jc w:val="left"/>
      </w:pPr>
      <w:r>
        <w:t>A opção pelo formato longo — uma linha por estatística, e não uma linha por dimensão com colunas mean, sd, p5, etc. — permite:</w:t>
      </w:r>
    </w:p>
    <w:p>
      <w:pPr>
        <w:pStyle w:val="Bibliografia"/>
        <w:jc w:val="left"/>
      </w:pPr>
      <w:r>
        <w:t>- Filtrar facilmente por tipo de estatística sem tratamento especial de colunas opcionais</w:t>
      </w:r>
    </w:p>
    <w:p>
      <w:pPr>
        <w:pStyle w:val="Bibliografia"/>
        <w:jc w:val="left"/>
      </w:pPr>
      <w:r>
        <w:t>- Incluir estudos que reportam apenas subconjuntos de estatísticas (e.g., apenas média, sem percentis) sem introduzir células vazias em colunas estruturais</w:t>
      </w:r>
    </w:p>
    <w:p>
      <w:pPr>
        <w:pStyle w:val="Bibliografia"/>
        <w:jc w:val="left"/>
      </w:pPr>
      <w:r>
        <w:t>- Acrescentar novos tipos de estatística, por exemplo intervalos de confiança, sem alterar o esquema de dados</w:t>
      </w:r>
    </w:p>
    <w:p>
      <w:pPr>
        <w:pStyle w:val="Bibliografia"/>
        <w:jc w:val="left"/>
      </w:pPr>
      <w:r>
        <w:t>O custo é a repetição dos campos de identificação (país, sexo, dimensão) em cada linha — aceitável dado o volume total de dados (&lt; 5 MB).</w:t>
      </w:r>
    </w:p>
    <w:p>
      <w:pPr>
        <w:pStyle w:val="Cabealho2"/>
        <w:numPr>
          <w:ilvl w:val="1"/>
          <w:numId w:val="0"/>
        </w:numPr>
      </w:pPr>
      <w:r>
        <w:t>A.7 Controlo de Qualidade dos Dados</w:t>
      </w:r>
    </w:p>
    <w:p>
      <w:pPr>
        <w:pStyle w:val="Cabealho3"/>
        <w:numPr>
          <w:ilvl w:val="2"/>
          <w:numId w:val="0"/>
        </w:numPr>
      </w:pPr>
      <w:r>
        <w:t>A.7.1 Marcação inline de limitações</w:t>
      </w:r>
    </w:p>
    <w:p>
      <w:pPr>
        <w:pStyle w:val="Bibliografia"/>
        <w:jc w:val="left"/>
      </w:pPr>
      <w:r>
        <w:t>O campo dataqualitynote é preenchido sempre que existe uma das seguintes situações:</w:t>
      </w:r>
    </w:p>
    <w:p>
      <w:pPr>
        <w:pStyle w:val="Bibliografia"/>
        <w:jc w:val="left"/>
      </w:pPr>
      <w:r>
        <w:t>- Valor extraído de uma figura (diagrama ou gráfico) em vez de uma tabela</w:t>
      </w:r>
    </w:p>
    <w:p>
      <w:pPr>
        <w:pStyle w:val="Bibliografia"/>
        <w:jc w:val="left"/>
      </w:pPr>
      <w:r>
        <w:t>- Subgrupo com n ≤ 10</w:t>
      </w:r>
    </w:p>
    <w:p>
      <w:pPr>
        <w:pStyle w:val="Bibliografia"/>
        <w:jc w:val="left"/>
      </w:pPr>
      <w:r>
        <w:t>- Desvio-padrão ausente ou atipicamente elevado</w:t>
      </w:r>
    </w:p>
    <w:p>
      <w:pPr>
        <w:pStyle w:val="Bibliografia"/>
        <w:jc w:val="left"/>
      </w:pPr>
      <w:r>
        <w:t>- Valor estimado a partir de estatísticas adjacentes por ilegibilidade da tabela</w:t>
      </w:r>
    </w:p>
    <w:p>
      <w:pPr>
        <w:pStyle w:val="Bibliografia"/>
        <w:jc w:val="left"/>
      </w:pPr>
      <w:r>
        <w:t>- Correlação fraca entre variáveis reportada pelo próprio estudo</w:t>
      </w:r>
    </w:p>
    <w:p>
      <w:pPr>
        <w:pStyle w:val="Bibliografia"/>
        <w:jc w:val="left"/>
      </w:pPr>
      <w:r>
        <w:t>- Inconsistência tipográfica no documento original, corrigida com nota</w:t>
      </w:r>
    </w:p>
    <w:p>
      <w:pPr>
        <w:pStyle w:val="Cabealho3"/>
        <w:numPr>
          <w:ilvl w:val="2"/>
          <w:numId w:val="0"/>
        </w:numPr>
      </w:pPr>
      <w:r>
        <w:t>A.7.2 Verificação de unidades</w:t>
      </w:r>
    </w:p>
    <w:p>
      <w:pPr>
        <w:pStyle w:val="Bibliografia"/>
        <w:jc w:val="left"/>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Cabealho3"/>
        <w:numPr>
          <w:ilvl w:val="2"/>
          <w:numId w:val="0"/>
        </w:numPr>
      </w:pPr>
      <w:r>
        <w:t>A.7.3 Ligação à fonte</w:t>
      </w:r>
    </w:p>
    <w:p>
      <w:pPr>
        <w:pStyle w:val="Bibliografia"/>
        <w:jc w:val="left"/>
      </w:pPr>
      <w:r>
        <w:t>Cada linha do CSV contém a citação completa (sourcecitation) e o número de página exacto (sourcepage), permitindo que qualquer valor seja verificado directamente na fonte primária sem necessidade de metadados externos.</w:t>
      </w:r>
    </w:p>
    <w:p>
      <w:pPr>
        <w:pStyle w:val="Cabealho2"/>
        <w:numPr>
          <w:ilvl w:val="1"/>
          <w:numId w:val="0"/>
        </w:numPr>
      </w:pPr>
      <w:r>
        <w:t>A.8 Escrita do Código de Geração</w:t>
      </w:r>
    </w:p>
    <w:p>
      <w:pPr>
        <w:pStyle w:val="Bibliografia"/>
        <w:jc w:val="left"/>
      </w:pPr>
      <w:r>
        <w:t>Os dados foram codificados em dois scripts Python independentes:</w:t>
      </w:r>
    </w:p>
    <w:p>
      <w:pPr>
        <w:pStyle w:val="Bibliografia"/>
        <w:jc w:val="left"/>
      </w:pPr>
      <w:r>
        <w:t xml:space="preserve">- </w:t>
      </w:r>
      <w:r>
        <w:t>data/generate_ansur_csv.py</w:t>
      </w:r>
      <w:r>
        <w:t xml:space="preserve"> — gera </w:t>
      </w:r>
      <w:r>
        <w:t>data/ansur_1988_complete.csv</w:t>
      </w:r>
      <w:r>
        <w:t xml:space="preserve"> e </w:t>
      </w:r>
      <w:r>
        <w:t>data/ansur_1988_hand_arm.csv</w:t>
      </w:r>
      <w:r>
        <w:t xml:space="preserve"> a partir de dicionários Python incorporados no script, um por tabela do relatório ANSUR</w:t>
      </w:r>
    </w:p>
    <w:p>
      <w:pPr>
        <w:pStyle w:val="Bibliografia"/>
        <w:jc w:val="left"/>
      </w:pPr>
      <w:r>
        <w:t xml:space="preserve">- </w:t>
      </w:r>
      <w:r>
        <w:t>data/generate_multi_population_hand_csv.py</w:t>
      </w:r>
      <w:r>
        <w:t xml:space="preserve"> — gera </w:t>
      </w:r>
      <w:r>
        <w:t>data/multi_population_hand.csv</w:t>
      </w:r>
      <w:r>
        <w:t xml:space="preserve"> a partir de secções correspondentes às fontes e aos subconjuntos incluídos</w:t>
      </w:r>
    </w:p>
    <w:p>
      <w:pPr>
        <w:pStyle w:val="Bibliografia"/>
        <w:jc w:val="left"/>
      </w:pPr>
      <w: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Bibliografia"/>
        <w:jc w:val="left"/>
      </w:pPr>
      <w:r>
        <w:t>O script aplica automaticamente as conversões de unidade, calcula valuein a partir de valuecm, e valida que nenhuma linha é emitida sem pelo menos uma das colunas valuemm ou valuecm preenchida.</w:t>
      </w:r>
    </w:p>
    <w:p>
      <w:pPr>
        <w:pStyle w:val="Cabealho2"/>
        <w:numPr>
          <w:ilvl w:val="1"/>
          <w:numId w:val="0"/>
        </w:numPr>
      </w:pPr>
      <w:r>
        <w:t>A.8.1 Correspondência entre os CSV e os parâmetros da plataforma</w:t>
      </w:r>
    </w:p>
    <w:p>
      <w:pPr>
        <w:pStyle w:val="Bibliografia"/>
        <w:jc w:val="left"/>
      </w:pPr>
      <w:r>
        <w:t>Os CSV não são enviados directamente ao modelo OpenSCAD nem constituem registos individuais. O importador agrega as linhas estatísticas por população, sexo, grupo etário e tipo de estatística, guarda os perfis normalizados na base app.db e organiza as medidas numa árvore measurements. A correspondência posterior é executada pelo serviço determinístico server/services/profileMapping.js, no estado versionado da plataforma 14.67.0. Este serviço é partilhado pela aplicação da configuração de referência e pela construção do contexto antropométrico enviado à IA.</w:t>
      </w:r>
    </w:p>
    <w:p>
      <w:pPr>
        <w:pStyle w:val="Bibliografia"/>
        <w:jc w:val="left"/>
      </w:pPr>
      <w:r>
        <w:t>O mapeamento canónico liga palm.width_mm, palm.length_mm e palm.thickness_mm aos parâmetros da palma; os comprimentos totais e proximais dos cinco dedos aos parâmetros *_finger_length_mm e *_base_length_mm; e wrist.circumference_mm a wrist_circumference_mm. Um valor só é aplicado quando o parâmetro existe no modelo activo, é numérico, pertence a este mapa e contém uma medida finita e positiva. O valor é arredondado a uma casa decimal e limitado ao mínimo e ao máximo declarados em models/models-config.json; parâmetros em falta permanecem por configurar e parâmetros mecânicos, de visualização ou de lateralidade não são alterados.</w:t>
      </w:r>
    </w:p>
    <w:p>
      <w:pPr>
        <w:pStyle w:val="Bibliografia"/>
        <w:jc w:val="left"/>
      </w:pPr>
      <w:r>
        <w:t>Quando a entrada é uma descrição textual, a selecção da referência populacional usa uma pontuação determinística baseada em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pelos restantes campos, mas essa escolha é apenas uma referência aproximada. As médias orientam a configuração inicial e o contexto da IA, sem substituir medidas directas nem demonstrar ajuste anatómico individual.</w:t>
      </w:r>
    </w:p>
    <w:p>
      <w:pPr>
        <w:pStyle w:val="Bibliografia"/>
        <w:jc w:val="left"/>
      </w:pPr>
      <w: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Cabealho2"/>
        <w:numPr>
          <w:ilvl w:val="1"/>
          <w:numId w:val="0"/>
        </w:numPr>
      </w:pPr>
      <w:r>
        <w:t>A.9 Resultado Final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Ficheiro</w:t>
            </w:r>
          </w:p>
        </w:tc>
        <w:tc>
          <w:tcPr>
            <w:tcW w:w="0" w:type="auto"/>
          </w:tcPr>
          <w:p>
            <w:pPr>
              <w:pStyle w:val="TextoNormal-IPCA"/>
              <w:jc w:val="center"/>
            </w:pPr>
            <w:r>
              <w:rPr>
                <w:b/>
              </w:rPr>
              <w:t>Linhas (dados)</w:t>
            </w:r>
          </w:p>
        </w:tc>
        <w:tc>
          <w:tcPr>
            <w:tcW w:w="0" w:type="auto"/>
          </w:tcPr>
          <w:p>
            <w:pPr>
              <w:pStyle w:val="TextoNormal-IPCA"/>
              <w:jc w:val="center"/>
            </w:pPr>
            <w:r>
              <w:rPr>
                <w:b/>
              </w:rPr>
              <w:t>Países</w:t>
            </w:r>
          </w:p>
        </w:tc>
        <w:tc>
          <w:tcPr>
            <w:tcW w:w="0" w:type="auto"/>
          </w:tcPr>
          <w:p>
            <w:pPr>
              <w:pStyle w:val="TextoNormal-IPCA"/>
              <w:jc w:val="center"/>
            </w:pPr>
            <w:r>
              <w:t>Fontes ou subconjuntos</w:t>
            </w:r>
          </w:p>
        </w:tc>
        <w:tc>
          <w:tcPr>
            <w:tcW w:w="0" w:type="auto"/>
          </w:tcPr>
          <w:p>
            <w:pPr>
              <w:pStyle w:val="TextoNormal-IPCA"/>
              <w:jc w:val="center"/>
            </w:pPr>
            <w:r>
              <w:rPr>
                <w:b/>
              </w:rPr>
              <w:t>Dimensões distintas</w:t>
            </w:r>
          </w:p>
        </w:tc>
      </w:tr>
      <w:tr>
        <w:tc>
          <w:tcPr>
            <w:tcW w:w="0" w:type="auto"/>
          </w:tcPr>
          <w:p>
            <w:pPr>
              <w:pStyle w:val="TextoNormal-IPCA"/>
              <w:jc w:val="left"/>
            </w:pPr>
            <w:r>
              <w:t>data/ansur_1988_complete.csv</w:t>
            </w:r>
          </w:p>
        </w:tc>
        <w:tc>
          <w:tcPr>
            <w:tcW w:w="0" w:type="auto"/>
          </w:tcPr>
          <w:p>
            <w:pPr>
              <w:pStyle w:val="TextoNormal-IPCA"/>
              <w:jc w:val="left"/>
            </w:pPr>
            <w:r>
              <w:t>2.726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47</w:t>
            </w:r>
          </w:p>
        </w:tc>
      </w:tr>
      <w:tr>
        <w:tc>
          <w:tcPr>
            <w:tcW w:w="0" w:type="auto"/>
          </w:tcPr>
          <w:p>
            <w:pPr>
              <w:pStyle w:val="TextoNormal-IPCA"/>
              <w:jc w:val="left"/>
            </w:pPr>
            <w:r>
              <w:t>data/ansur_1988_hand_arm.csv</w:t>
            </w:r>
          </w:p>
        </w:tc>
        <w:tc>
          <w:tcPr>
            <w:tcW w:w="0" w:type="auto"/>
          </w:tcPr>
          <w:p>
            <w:pPr>
              <w:pStyle w:val="TextoNormal-IPCA"/>
              <w:jc w:val="left"/>
            </w:pPr>
            <w:r>
              <w:t>696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17</w:t>
            </w:r>
          </w:p>
        </w:tc>
      </w:tr>
      <w:tr>
        <w:tc>
          <w:tcPr>
            <w:tcW w:w="0" w:type="auto"/>
          </w:tcPr>
          <w:p>
            <w:pPr>
              <w:pStyle w:val="TextoNormal-IPCA"/>
              <w:jc w:val="left"/>
            </w:pPr>
            <w:r>
              <w:t>data/multi_population_hand.csv</w:t>
            </w:r>
          </w:p>
        </w:tc>
        <w:tc>
          <w:tcPr>
            <w:tcW w:w="0" w:type="auto"/>
          </w:tcPr>
          <w:p>
            <w:pPr>
              <w:pStyle w:val="TextoNormal-IPCA"/>
              <w:jc w:val="left"/>
            </w:pPr>
            <w:r>
              <w:t>1.790</w:t>
            </w:r>
          </w:p>
        </w:tc>
        <w:tc>
          <w:tcPr>
            <w:tcW w:w="0" w:type="auto"/>
          </w:tcPr>
          <w:p>
            <w:pPr>
              <w:pStyle w:val="TextoNormal-IPCA"/>
              <w:jc w:val="left"/>
            </w:pPr>
            <w:r>
              <w:t>9</w:t>
            </w:r>
          </w:p>
        </w:tc>
        <w:tc>
          <w:tcPr>
            <w:tcW w:w="0" w:type="auto"/>
          </w:tcPr>
          <w:p>
            <w:pPr>
              <w:pStyle w:val="TextoNormal-IPCA"/>
              <w:jc w:val="left"/>
            </w:pPr>
            <w:r>
              <w:t>12</w:t>
            </w:r>
          </w:p>
        </w:tc>
        <w:tc>
          <w:tcPr>
            <w:tcW w:w="0" w:type="auto"/>
          </w:tcPr>
          <w:p>
            <w:pPr>
              <w:pStyle w:val="TextoNormal-IPCA"/>
              <w:jc w:val="left"/>
            </w:pPr>
            <w:r>
              <w:t>cerca de 85</w:t>
            </w:r>
          </w:p>
        </w:tc>
      </w:tr>
    </w:tbl>
    <w:p>
      <w:pPr>
        <w:pStyle w:val="Bibliografia"/>
        <w:jc w:val="left"/>
      </w:pPr>
      <w:r>
        <w:t>Estes totais foram confirmados pela regeneração do suplemento dados_antropometricos_v14.67.0, associado à confirmação Git bcef0db. A contagem de 12 corresponde a documentos-fonte ou subconjuntos identificados pelo gerador e não implica 12 estudos primários independentes.</w:t>
      </w:r>
    </w:p>
    <w:p>
      <w:pPr>
        <w:pStyle w:val="Bibliografia"/>
        <w:jc w:val="left"/>
      </w:pPr>
      <w:r>
        <w:t xml:space="preserve">O ficheiro </w:t>
      </w:r>
      <w:r>
        <w:t>data/multi_population_hand.csv</w:t>
      </w:r>
      <w:r>
        <w:t xml:space="preserve">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Bibliografia"/>
        <w:jc w:val="left"/>
      </w:pPr>
      <w:r>
        <w:t xml:space="preserve">Na inspecção final da base local </w:t>
      </w:r>
      <w:r>
        <w:t>app.db</w:t>
      </w:r>
      <w:r>
        <w:t xml:space="preserve">, a tabela antropométrica continha 100 perfis agregados: 97 com origem </w:t>
      </w:r>
      <w:r>
        <w:t>csv_bulk</w:t>
      </w:r>
      <w:r>
        <w:t xml:space="preserve">, dois com origem </w:t>
      </w:r>
      <w:r>
        <w:t>csv</w:t>
      </w:r>
      <w:r>
        <w:t xml:space="preserve"> e um criado manualmente. Este total representa perfis processados pela aplicação e não linhas dos três CSV; cada perfil pode reunir várias estatísticas e medidas da mesma população.</w:t>
      </w:r>
    </w:p>
    <w:p>
      <w:pPr>
        <w:pStyle w:val="Cabealho2"/>
        <w:numPr>
          <w:ilvl w:val="1"/>
          <w:numId w:val="0"/>
        </w:numPr>
      </w:pPr>
      <w:r>
        <w:t>A.10 Cobertura Global da Base de Dados e Lacunas</w:t>
      </w:r>
    </w:p>
    <w:p>
      <w:pPr>
        <w:pStyle w:val="Cabealho3"/>
        <w:numPr>
          <w:ilvl w:val="2"/>
          <w:numId w:val="0"/>
        </w:numPr>
      </w:pPr>
      <w:r>
        <w:t>A.10.1 O que está coberto</w:t>
      </w:r>
    </w:p>
    <w:p>
      <w:pPr>
        <w:pStyle w:val="Bibliografia"/>
        <w:jc w:val="left"/>
      </w:pPr>
      <w:r>
        <w:t xml:space="preserve">A base de dados </w:t>
      </w:r>
      <w:r>
        <w:t>data/multi_population_hand.csv</w:t>
      </w:r>
      <w:r>
        <w:t xml:space="preserve"> foi construída para reunir diferenças antropométricas da mão em várias dimensões geográficas, demográficas, etárias e estatísticas. A tabela seguinte sintetiza a cobertura actual.</w:t>
      </w:r>
    </w:p>
    <w:p>
      <w:pPr>
        <w:pStyle w:val="Cabealho4"/>
        <w:numPr>
          <w:ilvl w:val="3"/>
          <w:numId w:val="0"/>
        </w:numPr>
      </w:pPr>
      <w:r>
        <w:t>A.10.1.1 Cobertura geográfica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Países representados</w:t>
            </w:r>
          </w:p>
        </w:tc>
        <w:tc>
          <w:tcPr>
            <w:tcW w:w="0" w:type="auto"/>
          </w:tcPr>
          <w:p>
            <w:pPr>
              <w:pStyle w:val="TextoNormal-IPCA"/>
              <w:jc w:val="center"/>
            </w:pPr>
            <w:r>
              <w:rPr>
                <w:b/>
              </w:rPr>
              <w:t>Fonte(s)</w:t>
            </w:r>
          </w:p>
        </w:tc>
      </w:tr>
      <w:tr>
        <w:tc>
          <w:tcPr>
            <w:tcW w:w="0" w:type="auto"/>
          </w:tcPr>
          <w:p>
            <w:pPr>
              <w:pStyle w:val="TextoNormal-IPCA"/>
              <w:jc w:val="left"/>
            </w:pPr>
            <w:r>
              <w:t>Europa Ocidental</w:t>
            </w:r>
          </w:p>
        </w:tc>
        <w:tc>
          <w:tcPr>
            <w:tcW w:w="0" w:type="auto"/>
          </w:tcPr>
          <w:p>
            <w:pPr>
              <w:pStyle w:val="TextoNormal-IPCA"/>
              <w:jc w:val="left"/>
            </w:pPr>
            <w:r>
              <w:t>Portugal, Países Baixos</w:t>
            </w:r>
          </w:p>
        </w:tc>
        <w:tc>
          <w:tcPr>
            <w:tcW w:w="0" w:type="auto"/>
          </w:tcPr>
          <w:p>
            <w:pPr>
              <w:pStyle w:val="TextoNormal-IPCA"/>
              <w:jc w:val="left"/>
            </w:pPr>
            <w:r>
              <w:t>Anacleto Filho et al. (2023); DINED kima1993, geron1998, dined2004</w:t>
            </w:r>
          </w:p>
        </w:tc>
      </w:tr>
      <w:tr>
        <w:tc>
          <w:tcPr>
            <w:tcW w:w="0" w:type="auto"/>
          </w:tcPr>
          <w:p>
            <w:pPr>
              <w:pStyle w:val="TextoNormal-IPCA"/>
              <w:jc w:val="left"/>
            </w:pPr>
            <w:r>
              <w:t>América do Norte</w:t>
            </w:r>
          </w:p>
        </w:tc>
        <w:tc>
          <w:tcPr>
            <w:tcW w:w="0" w:type="auto"/>
          </w:tcPr>
          <w:p>
            <w:pPr>
              <w:pStyle w:val="TextoNormal-IPCA"/>
              <w:jc w:val="left"/>
            </w:pPr>
            <w:r>
              <w:t>EUA</w:t>
            </w:r>
          </w:p>
        </w:tc>
        <w:tc>
          <w:tcPr>
            <w:tcW w:w="0" w:type="auto"/>
          </w:tcPr>
          <w:p>
            <w:pPr>
              <w:pStyle w:val="TextoNormal-IPCA"/>
              <w:jc w:val="left"/>
            </w:pPr>
            <w:r>
              <w:t>ANSUR 1988, ANSUR II 2012, Lim et al. (2018)</w:t>
            </w:r>
          </w:p>
        </w:tc>
      </w:tr>
      <w:tr>
        <w:tc>
          <w:tcPr>
            <w:tcW w:w="0" w:type="auto"/>
          </w:tcPr>
          <w:p>
            <w:pPr>
              <w:pStyle w:val="TextoNormal-IPCA"/>
              <w:jc w:val="left"/>
            </w:pPr>
            <w:r>
              <w:t>América Latina</w:t>
            </w:r>
          </w:p>
        </w:tc>
        <w:tc>
          <w:tcPr>
            <w:tcW w:w="0" w:type="auto"/>
          </w:tcPr>
          <w:p>
            <w:pPr>
              <w:pStyle w:val="TextoNormal-IPCA"/>
              <w:jc w:val="left"/>
            </w:pPr>
            <w:r>
              <w:t>México</w:t>
            </w:r>
          </w:p>
        </w:tc>
        <w:tc>
          <w:tcPr>
            <w:tcW w:w="0" w:type="auto"/>
          </w:tcPr>
          <w:p>
            <w:pPr>
              <w:pStyle w:val="TextoNormal-IPCA"/>
              <w:jc w:val="left"/>
            </w:pPr>
            <w:r>
              <w:t>Rodríguez-Vega et al. (2024)</w:t>
            </w:r>
          </w:p>
        </w:tc>
      </w:tr>
      <w:tr>
        <w:tc>
          <w:tcPr>
            <w:tcW w:w="0" w:type="auto"/>
          </w:tcPr>
          <w:p>
            <w:pPr>
              <w:pStyle w:val="TextoNormal-IPCA"/>
              <w:jc w:val="left"/>
            </w:pPr>
            <w:r>
              <w:t>Médio Oriente</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África</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Sul da Ásia</w:t>
            </w:r>
          </w:p>
        </w:tc>
        <w:tc>
          <w:tcPr>
            <w:tcW w:w="0" w:type="auto"/>
          </w:tcPr>
          <w:p>
            <w:pPr>
              <w:pStyle w:val="TextoNormal-IPCA"/>
              <w:jc w:val="left"/>
            </w:pPr>
            <w:r>
              <w:t>Índia</w:t>
            </w:r>
          </w:p>
        </w:tc>
        <w:tc>
          <w:tcPr>
            <w:tcW w:w="0" w:type="auto"/>
          </w:tcPr>
          <w:p>
            <w:pPr>
              <w:pStyle w:val="TextoNormal-IPCA"/>
              <w:jc w:val="left"/>
            </w:pPr>
            <w:r>
              <w:t>Nag et al. (2003)</w:t>
            </w:r>
          </w:p>
        </w:tc>
      </w:tr>
      <w:tr>
        <w:tc>
          <w:tcPr>
            <w:tcW w:w="0" w:type="auto"/>
          </w:tcPr>
          <w:p>
            <w:pPr>
              <w:pStyle w:val="TextoNormal-IPCA"/>
              <w:jc w:val="left"/>
            </w:pPr>
            <w:r>
              <w:t>Ásia Oriental</w:t>
            </w:r>
          </w:p>
        </w:tc>
        <w:tc>
          <w:tcPr>
            <w:tcW w:w="0" w:type="auto"/>
          </w:tcPr>
          <w:p>
            <w:pPr>
              <w:pStyle w:val="TextoNormal-IPCA"/>
              <w:jc w:val="left"/>
            </w:pPr>
            <w:r>
              <w:t>China (Pequim)</w:t>
            </w:r>
          </w:p>
        </w:tc>
        <w:tc>
          <w:tcPr>
            <w:tcW w:w="0" w:type="auto"/>
          </w:tcPr>
          <w:p>
            <w:pPr>
              <w:pStyle w:val="TextoNormal-IPCA"/>
              <w:jc w:val="left"/>
            </w:pPr>
            <w:r>
              <w:t>Hu et al. (2007)</w:t>
            </w:r>
          </w:p>
        </w:tc>
      </w:tr>
      <w:tr>
        <w:tc>
          <w:tcPr>
            <w:tcW w:w="0" w:type="auto"/>
          </w:tcPr>
          <w:p>
            <w:pPr>
              <w:pStyle w:val="TextoNormal-IPCA"/>
              <w:jc w:val="left"/>
            </w:pPr>
            <w:r>
              <w:t>Europa do Sul / Ásia Menor</w:t>
            </w:r>
          </w:p>
        </w:tc>
        <w:tc>
          <w:tcPr>
            <w:tcW w:w="0" w:type="auto"/>
          </w:tcPr>
          <w:p>
            <w:pPr>
              <w:pStyle w:val="TextoNormal-IPCA"/>
              <w:jc w:val="left"/>
            </w:pPr>
            <w:r>
              <w:t>Turquia</w:t>
            </w:r>
          </w:p>
        </w:tc>
        <w:tc>
          <w:tcPr>
            <w:tcW w:w="0" w:type="auto"/>
          </w:tcPr>
          <w:p>
            <w:pPr>
              <w:pStyle w:val="TextoNormal-IPCA"/>
              <w:jc w:val="left"/>
            </w:pPr>
            <w:r>
              <w:t>Chatzioglou et al. (2024)</w:t>
            </w:r>
          </w:p>
        </w:tc>
      </w:tr>
    </w:tbl>
    <w:p>
      <w:pPr>
        <w:pStyle w:val="Bibliografia"/>
        <w:jc w:val="left"/>
      </w:pPr>
      <w:r>
        <w:t>Nove países estão representados, distribuídos por sete regiões do mundo. A cobertura é particularmente densa nos EUA (três fontes independentes) e nos Países Baixos (três sub-datasets DINED).</w:t>
      </w:r>
    </w:p>
    <w:p>
      <w:pPr>
        <w:pStyle w:val="Cabealho4"/>
        <w:numPr>
          <w:ilvl w:val="3"/>
          <w:numId w:val="0"/>
        </w:numPr>
      </w:pPr>
      <w:r>
        <w:t>A.10.1.2 Cobertura etária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Faixa etária</w:t>
            </w:r>
          </w:p>
        </w:tc>
        <w:tc>
          <w:tcPr>
            <w:tcW w:w="0" w:type="auto"/>
          </w:tcPr>
          <w:p>
            <w:pPr>
              <w:pStyle w:val="TextoNormal-IPCA"/>
              <w:jc w:val="center"/>
            </w:pPr>
            <w:r>
              <w:rPr>
                <w:b/>
              </w:rPr>
              <w:t>Cobertura</w:t>
            </w:r>
          </w:p>
        </w:tc>
        <w:tc>
          <w:tcPr>
            <w:tcW w:w="0" w:type="auto"/>
          </w:tcPr>
          <w:p>
            <w:pPr>
              <w:pStyle w:val="TextoNormal-IPCA"/>
              <w:jc w:val="center"/>
            </w:pPr>
            <w:r>
              <w:rPr>
                <w:b/>
              </w:rPr>
              <w:t>Fonte(s)</w:t>
            </w:r>
          </w:p>
        </w:tc>
      </w:tr>
      <w:tr>
        <w:tc>
          <w:tcPr>
            <w:tcW w:w="0" w:type="auto"/>
          </w:tcPr>
          <w:p>
            <w:pPr>
              <w:pStyle w:val="TextoNormal-IPCA"/>
              <w:jc w:val="left"/>
            </w:pPr>
            <w:r>
              <w:t>2–12 anos</w:t>
            </w:r>
          </w:p>
        </w:tc>
        <w:tc>
          <w:tcPr>
            <w:tcW w:w="0" w:type="auto"/>
          </w:tcPr>
          <w:p>
            <w:pPr>
              <w:pStyle w:val="TextoNormal-IPCA"/>
              <w:jc w:val="left"/>
            </w:pPr>
            <w:r>
              <w:t>Países Baixos</w:t>
            </w:r>
          </w:p>
        </w:tc>
        <w:tc>
          <w:tcPr>
            <w:tcW w:w="0" w:type="auto"/>
          </w:tcPr>
          <w:p>
            <w:pPr>
              <w:pStyle w:val="TextoNormal-IPCA"/>
              <w:jc w:val="left"/>
            </w:pPr>
            <w:r>
              <w:t>DINED kima1993 (por ano de idade)</w:t>
            </w:r>
          </w:p>
        </w:tc>
      </w:tr>
      <w:tr>
        <w:tc>
          <w:tcPr>
            <w:tcW w:w="0" w:type="auto"/>
          </w:tcPr>
          <w:p>
            <w:pPr>
              <w:pStyle w:val="TextoNormal-IPCA"/>
              <w:jc w:val="left"/>
            </w:pPr>
            <w:r>
              <w:t>15–19 anos</w:t>
            </w:r>
          </w:p>
        </w:tc>
        <w:tc>
          <w:tcPr>
            <w:tcW w:w="0" w:type="auto"/>
          </w:tcPr>
          <w:p>
            <w:pPr>
              <w:pStyle w:val="TextoNormal-IPCA"/>
              <w:jc w:val="left"/>
            </w:pPr>
            <w:r>
              <w:t>México</w:t>
            </w:r>
          </w:p>
        </w:tc>
        <w:tc>
          <w:tcPr>
            <w:tcW w:w="0" w:type="auto"/>
          </w:tcPr>
          <w:p>
            <w:pPr>
              <w:pStyle w:val="TextoNormal-IPCA"/>
              <w:jc w:val="left"/>
            </w:pPr>
            <w:r>
              <w:t>Rodríguez-Vega et al. (2024), subgrupo</w:t>
            </w:r>
          </w:p>
        </w:tc>
      </w:tr>
      <w:tr>
        <w:tc>
          <w:tcPr>
            <w:tcW w:w="0" w:type="auto"/>
          </w:tcPr>
          <w:p>
            <w:pPr>
              <w:pStyle w:val="TextoNormal-IPCA"/>
              <w:jc w:val="left"/>
            </w:pPr>
            <w:r>
              <w:t>18–30 anos</w:t>
            </w:r>
          </w:p>
        </w:tc>
        <w:tc>
          <w:tcPr>
            <w:tcW w:w="0" w:type="auto"/>
          </w:tcPr>
          <w:p>
            <w:pPr>
              <w:pStyle w:val="TextoNormal-IPCA"/>
              <w:jc w:val="left"/>
            </w:pPr>
            <w:r>
              <w:t>EUA, Turquia</w:t>
            </w:r>
          </w:p>
        </w:tc>
        <w:tc>
          <w:tcPr>
            <w:tcW w:w="0" w:type="auto"/>
          </w:tcPr>
          <w:p>
            <w:pPr>
              <w:pStyle w:val="TextoNormal-IPCA"/>
              <w:jc w:val="left"/>
            </w:pPr>
            <w:r>
              <w:t>Lim et al. (2018); Chatzioglou et al. (2024)</w:t>
            </w:r>
          </w:p>
        </w:tc>
      </w:tr>
      <w:tr>
        <w:tc>
          <w:tcPr>
            <w:tcW w:w="0" w:type="auto"/>
          </w:tcPr>
          <w:p>
            <w:pPr>
              <w:pStyle w:val="TextoNormal-IPCA"/>
              <w:jc w:val="left"/>
            </w:pPr>
            <w:r>
              <w:t>17–58 anos</w:t>
            </w:r>
          </w:p>
        </w:tc>
        <w:tc>
          <w:tcPr>
            <w:tcW w:w="0" w:type="auto"/>
          </w:tcPr>
          <w:p>
            <w:pPr>
              <w:pStyle w:val="TextoNormal-IPCA"/>
              <w:jc w:val="left"/>
            </w:pPr>
            <w:r>
              <w:t>EUA</w:t>
            </w:r>
          </w:p>
        </w:tc>
        <w:tc>
          <w:tcPr>
            <w:tcW w:w="0" w:type="auto"/>
          </w:tcPr>
          <w:p>
            <w:pPr>
              <w:pStyle w:val="TextoNormal-IPCA"/>
              <w:jc w:val="left"/>
            </w:pPr>
            <w:r>
              <w:t>ANSUR II 2012</w:t>
            </w:r>
          </w:p>
        </w:tc>
      </w:tr>
      <w:tr>
        <w:tc>
          <w:tcPr>
            <w:tcW w:w="0" w:type="auto"/>
          </w:tcPr>
          <w:p>
            <w:pPr>
              <w:pStyle w:val="TextoNormal-IPCA"/>
              <w:jc w:val="left"/>
            </w:pPr>
            <w:r>
              <w:t>15–59 anos</w:t>
            </w:r>
          </w:p>
        </w:tc>
        <w:tc>
          <w:tcPr>
            <w:tcW w:w="0" w:type="auto"/>
          </w:tcPr>
          <w:p>
            <w:pPr>
              <w:pStyle w:val="TextoNormal-IPCA"/>
              <w:jc w:val="left"/>
            </w:pPr>
            <w:r>
              <w:t>México</w:t>
            </w:r>
          </w:p>
        </w:tc>
        <w:tc>
          <w:tcPr>
            <w:tcW w:w="0" w:type="auto"/>
          </w:tcPr>
          <w:p>
            <w:pPr>
              <w:pStyle w:val="TextoNormal-IPCA"/>
              <w:jc w:val="left"/>
            </w:pPr>
            <w:r>
              <w:t>Rodríguez-Vega et al. (2024), 8 grupos etários</w:t>
            </w:r>
          </w:p>
        </w:tc>
      </w:tr>
      <w:tr>
        <w:tc>
          <w:tcPr>
            <w:tcW w:w="0" w:type="auto"/>
          </w:tcPr>
          <w:p>
            <w:pPr>
              <w:pStyle w:val="TextoNormal-IPCA"/>
              <w:jc w:val="left"/>
            </w:pPr>
            <w:r>
              <w:t>19–30 anos</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20–40 anos</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20–60+ anos</w:t>
            </w:r>
          </w:p>
        </w:tc>
        <w:tc>
          <w:tcPr>
            <w:tcW w:w="0" w:type="auto"/>
          </w:tcPr>
          <w:p>
            <w:pPr>
              <w:pStyle w:val="TextoNormal-IPCA"/>
              <w:jc w:val="left"/>
            </w:pPr>
            <w:r>
              <w:t>Países Baixos</w:t>
            </w:r>
          </w:p>
        </w:tc>
        <w:tc>
          <w:tcPr>
            <w:tcW w:w="0" w:type="auto"/>
          </w:tcPr>
          <w:p>
            <w:pPr>
              <w:pStyle w:val="TextoNormal-IPCA"/>
              <w:jc w:val="left"/>
            </w:pPr>
            <w:r>
              <w:t>DINED dined2004 (3 grupos)</w:t>
            </w:r>
          </w:p>
        </w:tc>
      </w:tr>
      <w:tr>
        <w:tc>
          <w:tcPr>
            <w:tcW w:w="0" w:type="auto"/>
          </w:tcPr>
          <w:p>
            <w:pPr>
              <w:pStyle w:val="TextoNormal-IPCA"/>
              <w:jc w:val="left"/>
            </w:pPr>
            <w:r>
              <w:t>50–80+ anos</w:t>
            </w:r>
          </w:p>
        </w:tc>
        <w:tc>
          <w:tcPr>
            <w:tcW w:w="0" w:type="auto"/>
          </w:tcPr>
          <w:p>
            <w:pPr>
              <w:pStyle w:val="TextoNormal-IPCA"/>
              <w:jc w:val="left"/>
            </w:pPr>
            <w:r>
              <w:t>Países Baixos</w:t>
            </w:r>
          </w:p>
        </w:tc>
        <w:tc>
          <w:tcPr>
            <w:tcW w:w="0" w:type="auto"/>
          </w:tcPr>
          <w:p>
            <w:pPr>
              <w:pStyle w:val="TextoNormal-IPCA"/>
              <w:jc w:val="left"/>
            </w:pPr>
            <w:r>
              <w:t>DINED geron1998 (7 grupos de 5 anos)</w:t>
            </w:r>
          </w:p>
        </w:tc>
      </w:tr>
      <w:tr>
        <w:tc>
          <w:tcPr>
            <w:tcW w:w="0" w:type="auto"/>
          </w:tcPr>
          <w:p>
            <w:pPr>
              <w:pStyle w:val="TextoNormal-IPCA"/>
              <w:jc w:val="left"/>
            </w:pPr>
            <w:r>
              <w:t>65–85 anos</w:t>
            </w:r>
          </w:p>
        </w:tc>
        <w:tc>
          <w:tcPr>
            <w:tcW w:w="0" w:type="auto"/>
          </w:tcPr>
          <w:p>
            <w:pPr>
              <w:pStyle w:val="TextoNormal-IPCA"/>
              <w:jc w:val="left"/>
            </w:pPr>
            <w:r>
              <w:t>China</w:t>
            </w:r>
          </w:p>
        </w:tc>
        <w:tc>
          <w:tcPr>
            <w:tcW w:w="0" w:type="auto"/>
          </w:tcPr>
          <w:p>
            <w:pPr>
              <w:pStyle w:val="TextoNormal-IPCA"/>
              <w:jc w:val="left"/>
            </w:pPr>
            <w:r>
              <w:t>Hu et al. (2007)</w:t>
            </w:r>
          </w:p>
        </w:tc>
      </w:tr>
    </w:tbl>
    <w:p>
      <w:pPr>
        <w:pStyle w:val="Bibliografia"/>
        <w:jc w:val="left"/>
      </w:pPr>
      <w: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Cabealho4"/>
        <w:numPr>
          <w:ilvl w:val="3"/>
          <w:numId w:val="0"/>
        </w:numPr>
      </w:pPr>
      <w:r>
        <w:t>A.10.1.3 Cobertura estatística</w:t>
      </w:r>
    </w:p>
    <w:p>
      <w:pPr>
        <w:pStyle w:val="Bibliografia"/>
        <w:jc w:val="left"/>
      </w:pPr>
      <w:r>
        <w:t>A profundidade estatística varia consideravelmente entre fontes: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detalhe</w:t>
            </w:r>
          </w:p>
        </w:tc>
        <w:tc>
          <w:tcPr>
            <w:tcW w:w="0" w:type="auto"/>
          </w:tcPr>
          <w:p>
            <w:pPr>
              <w:pStyle w:val="TextoNormal-IPCA"/>
              <w:jc w:val="center"/>
            </w:pPr>
            <w:r>
              <w:rPr>
                <w:b/>
              </w:rPr>
              <w:t>Estudos</w:t>
            </w:r>
          </w:p>
        </w:tc>
      </w:tr>
      <w:tr>
        <w:tc>
          <w:tcPr>
            <w:tcW w:w="0" w:type="auto"/>
          </w:tcPr>
          <w:p>
            <w:pPr>
              <w:pStyle w:val="TextoNormal-IPCA"/>
              <w:jc w:val="left"/>
            </w:pPr>
            <w:r>
              <w:t>Média, SD, min, max, P5–P95 (11 indicadores)</w:t>
            </w:r>
          </w:p>
        </w:tc>
        <w:tc>
          <w:tcPr>
            <w:tcW w:w="0" w:type="auto"/>
          </w:tcPr>
          <w:p>
            <w:pPr>
              <w:pStyle w:val="TextoNormal-IPCA"/>
              <w:jc w:val="left"/>
            </w:pPr>
            <w:r>
              <w:t>ANSUR 1988, ANSUR II 2012</w:t>
            </w:r>
          </w:p>
        </w:tc>
      </w:tr>
      <w:tr>
        <w:tc>
          <w:tcPr>
            <w:tcW w:w="0" w:type="auto"/>
          </w:tcPr>
          <w:p>
            <w:pPr>
              <w:pStyle w:val="TextoNormal-IPCA"/>
              <w:jc w:val="left"/>
            </w:pPr>
            <w:r>
              <w:t>Média e SD (2 indicadores)</w:t>
            </w:r>
          </w:p>
        </w:tc>
        <w:tc>
          <w:tcPr>
            <w:tcW w:w="0" w:type="auto"/>
          </w:tcPr>
          <w:p>
            <w:pPr>
              <w:pStyle w:val="TextoNormal-IPCA"/>
              <w:jc w:val="left"/>
            </w:pPr>
            <w:r>
              <w:t>DINED (3 subconjuntos)</w:t>
            </w:r>
          </w:p>
        </w:tc>
      </w:tr>
      <w:tr>
        <w:tc>
          <w:tcPr>
            <w:tcW w:w="0" w:type="auto"/>
          </w:tcPr>
          <w:p>
            <w:pPr>
              <w:pStyle w:val="TextoNormal-IPCA"/>
              <w:jc w:val="left"/>
            </w:pPr>
            <w:r>
              <w:t>Média, SD, P5, P50, P95 (5 indicadores)</w:t>
            </w:r>
          </w:p>
        </w:tc>
        <w:tc>
          <w:tcPr>
            <w:tcW w:w="0" w:type="auto"/>
          </w:tcPr>
          <w:p>
            <w:pPr>
              <w:pStyle w:val="TextoNormal-IPCA"/>
              <w:jc w:val="left"/>
            </w:pPr>
            <w:r>
              <w:t>Hu et al. (2007)</w:t>
            </w:r>
          </w:p>
        </w:tc>
      </w:tr>
      <w:tr>
        <w:tc>
          <w:tcPr>
            <w:tcW w:w="0" w:type="auto"/>
          </w:tcPr>
          <w:p>
            <w:pPr>
              <w:pStyle w:val="TextoNormal-IPCA"/>
              <w:jc w:val="left"/>
            </w:pPr>
            <w:r>
              <w:t>P5, P50, P95 (3 indicadores)</w:t>
            </w:r>
          </w:p>
        </w:tc>
        <w:tc>
          <w:tcPr>
            <w:tcW w:w="0" w:type="auto"/>
          </w:tcPr>
          <w:p>
            <w:pPr>
              <w:pStyle w:val="TextoNormal-IPCA"/>
              <w:jc w:val="left"/>
            </w:pPr>
            <w:r>
              <w:t>Nag et al. (2003), Anacleto Filho et al. (2023), Rodríguez-Vega et al. (2024)</w:t>
            </w:r>
          </w:p>
        </w:tc>
      </w:tr>
      <w:tr>
        <w:tc>
          <w:tcPr>
            <w:tcW w:w="0" w:type="auto"/>
          </w:tcPr>
          <w:p>
            <w:pPr>
              <w:pStyle w:val="TextoNormal-IPCA"/>
              <w:jc w:val="left"/>
            </w:pPr>
            <w:r>
              <w:t>Média, SD, min, max (4 indicadores)</w:t>
            </w:r>
          </w:p>
        </w:tc>
        <w:tc>
          <w:tcPr>
            <w:tcW w:w="0" w:type="auto"/>
          </w:tcPr>
          <w:p>
            <w:pPr>
              <w:pStyle w:val="TextoNormal-IPCA"/>
              <w:jc w:val="left"/>
            </w:pPr>
            <w:r>
              <w:t>Chatzioglou et al. (2024), Ibiwari et al. (2025)</w:t>
            </w:r>
          </w:p>
        </w:tc>
      </w:tr>
      <w:tr>
        <w:tc>
          <w:tcPr>
            <w:tcW w:w="0" w:type="auto"/>
          </w:tcPr>
          <w:p>
            <w:pPr>
              <w:pStyle w:val="TextoNormal-IPCA"/>
              <w:jc w:val="left"/>
            </w:pPr>
            <w:r>
              <w:t>Média apenas</w:t>
            </w:r>
          </w:p>
        </w:tc>
        <w:tc>
          <w:tcPr>
            <w:tcW w:w="0" w:type="auto"/>
          </w:tcPr>
          <w:p>
            <w:pPr>
              <w:pStyle w:val="TextoNormal-IPCA"/>
              <w:jc w:val="left"/>
            </w:pPr>
            <w:r>
              <w:t>Mistarihi (2020) — largura da mão; Lim et al. (2018)</w:t>
            </w:r>
          </w:p>
        </w:tc>
      </w:tr>
    </w:tbl>
    <w:p>
      <w:pPr>
        <w:pStyle w:val="Bibliografia"/>
        <w:jc w:val="left"/>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Cabealho3"/>
        <w:numPr>
          <w:ilvl w:val="2"/>
          <w:numId w:val="0"/>
        </w:numPr>
      </w:pPr>
      <w:r>
        <w:t>A.10.2 Onde a cobertura falha</w:t>
      </w:r>
    </w:p>
    <w:p>
      <w:pPr>
        <w:pStyle w:val="Cabealho4"/>
        <w:numPr>
          <w:ilvl w:val="3"/>
          <w:numId w:val="0"/>
        </w:numPr>
      </w:pPr>
      <w:r>
        <w:t>A.10.2.1 Lacunas geográficas</w:t>
      </w:r>
    </w:p>
    <w:p>
      <w:pPr>
        <w:pStyle w:val="Bibliografia"/>
        <w:jc w:val="left"/>
      </w:pPr>
      <w:r>
        <w:t>As regiões mais populosas do mundo estão sub-representadas ou ausentes:</w:t>
      </w:r>
    </w:p>
    <w:p>
      <w:pPr>
        <w:pStyle w:val="Bibliografia"/>
        <w:jc w:val="left"/>
      </w:pPr>
      <w: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fia"/>
        <w:jc w:val="left"/>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fia"/>
        <w:jc w:val="left"/>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fia"/>
        <w:jc w:val="left"/>
      </w:pPr>
      <w:r>
        <w:t>- América do Sul — Completamente ausente. Brasil, Colômbia e Argentina têm literatura ergonómica publicada mas não foram identificadas fontes acessíveis com dados de mão codificáveis.</w:t>
      </w:r>
    </w:p>
    <w:p>
      <w:pPr>
        <w:pStyle w:val="Bibliografia"/>
        <w:jc w:val="left"/>
      </w:pPr>
      <w:r>
        <w:t>- Europa Central e de Leste — Ausente. Os Países Baixos e Portugal representam a Europa, mas existem diferenças antropométricas documentadas entre populações do norte, sul e leste do continente.</w:t>
      </w:r>
    </w:p>
    <w:p>
      <w:pPr>
        <w:pStyle w:val="Cabealho4"/>
        <w:numPr>
          <w:ilvl w:val="3"/>
          <w:numId w:val="0"/>
        </w:numPr>
      </w:pPr>
      <w:r>
        <w:t>A.10.2.2 Lacunas demográficas</w:t>
      </w:r>
    </w:p>
    <w:p>
      <w:pPr>
        <w:pStyle w:val="Bibliografia"/>
        <w:jc w:val="left"/>
      </w:pPr>
      <w:r>
        <w:t>- Adolescentes (13–17 anos) — a transição da mão infantil para a adulta não está coberta por nenhum estudo dedicado. O kima1993 chega aos 12 anos e o ANSUR começa aos 17.</w:t>
      </w:r>
    </w:p>
    <w:p>
      <w:pPr>
        <w:pStyle w:val="Bibliografia"/>
        <w:jc w:val="left"/>
      </w:pPr>
      <w: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fia"/>
        <w:jc w:val="left"/>
      </w:pPr>
      <w:r>
        <w:t>- Pessoas com deficiência física — apenas o estudo de Mistarihi (2020) cobre esta população (n=40, sexos combinados, Jordânia). A dimensão amostral é insuficiente para ser estatisticamente representativa.</w:t>
      </w:r>
    </w:p>
    <w:p>
      <w:pPr>
        <w:pStyle w:val="Bibliografia"/>
        <w:jc w:val="left"/>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Cabealho4"/>
        <w:numPr>
          <w:ilvl w:val="3"/>
          <w:numId w:val="0"/>
        </w:numPr>
      </w:pPr>
      <w:r>
        <w:t>A.10.2.3 Limitações qualitativas dos dados existentes</w:t>
      </w:r>
    </w:p>
    <w:p>
      <w:pPr>
        <w:pStyle w:val="Bibliografia"/>
        <w:jc w:val="left"/>
      </w:pPr>
      <w:r>
        <w:t>Para além das lacunas por ausência, existem limitações nos dados já presentes:</w:t>
      </w:r>
    </w:p>
    <w:p>
      <w:pPr>
        <w:pStyle w:val="Bibliografia"/>
        <w:jc w:val="left"/>
      </w:pPr>
      <w: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fia"/>
        <w:jc w:val="left"/>
      </w:pPr>
      <w: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fia"/>
        <w:jc w:val="left"/>
      </w:pPr>
      <w: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fia"/>
        <w:jc w:val="left"/>
      </w:pPr>
      <w:r>
        <w:t>- Mão medida — a maioria dos estudos mede a mão dominante ou a mão direita; o estudo português mede a mão esquerda por limitação de instalações. Esta inconsistência é registada nos metadados mas não pode ser corrigida post-hoc.</w:t>
      </w:r>
    </w:p>
    <w:p>
      <w:pPr>
        <w:pStyle w:val="Cabealho3"/>
        <w:numPr>
          <w:ilvl w:val="2"/>
          <w:numId w:val="0"/>
        </w:numPr>
      </w:pPr>
      <w:r>
        <w:t>A.10.3 Frentes identificadas para expansão futura</w:t>
      </w:r>
    </w:p>
    <w:p>
      <w:pPr>
        <w:pStyle w:val="Bibliografia"/>
        <w:jc w:val="left"/>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Cabealho4"/>
        <w:numPr>
          <w:ilvl w:val="3"/>
          <w:numId w:val="0"/>
        </w:numPr>
      </w:pPr>
      <w:r>
        <w:t>A.10.3.1 Prioridade alta</w:t>
      </w:r>
    </w:p>
    <w:p>
      <w:pPr>
        <w:pStyle w:val="Bibliografia"/>
        <w:jc w:val="left"/>
      </w:pPr>
      <w:r>
        <w:t>- Dados pediátricos e adolescentes da Ásia Oriental, capazes de preencher a lacuna entre os 13 e os 17 anos e de reduzir a dependência de fontes neerlandesas para perfis infantis.</w:t>
      </w:r>
    </w:p>
    <w:p>
      <w:pPr>
        <w:pStyle w:val="Bibliografia"/>
        <w:jc w:val="left"/>
      </w:pPr>
      <w:r>
        <w:t>- Dados industriais ou ergonómicos do Médio Oriente com maior dimensão amostral e separação por sexo, de modo a complementar a fonte jordana já incluída.</w:t>
      </w:r>
    </w:p>
    <w:p>
      <w:pPr>
        <w:pStyle w:val="Bibliografia"/>
        <w:jc w:val="left"/>
      </w:pPr>
      <w:r>
        <w:t>- Bases públicas nacionais com dados de mão para populações asiáticas, quando disponibilizarem metadados claros e condições de reutilização compatíveis com investigação académica.</w:t>
      </w:r>
    </w:p>
    <w:p>
      <w:pPr>
        <w:pStyle w:val="Cabealho4"/>
        <w:numPr>
          <w:ilvl w:val="3"/>
          <w:numId w:val="0"/>
        </w:numPr>
      </w:pPr>
      <w:r>
        <w:t>A.10.3.2 Prioridade média</w:t>
      </w:r>
    </w:p>
    <w:p>
      <w:pPr>
        <w:pStyle w:val="Bibliografia"/>
        <w:jc w:val="left"/>
      </w:pPr>
      <w:r>
        <w:t>- Relatórios técnicos com medições granulares da mão, incluindo comprimentos por falange, profundidades articulares e ângulos de preensão.</w:t>
      </w:r>
    </w:p>
    <w:p>
      <w:pPr>
        <w:pStyle w:val="Bibliografia"/>
        <w:jc w:val="left"/>
      </w:pPr>
      <w:r>
        <w:t>- Estudos baseados em digitalização 3D com amostras adultas amplas, desde que disponibilizem estatísticas por dimensão para além de exemplos individuais.</w:t>
      </w:r>
    </w:p>
    <w:p>
      <w:pPr>
        <w:pStyle w:val="Cabealho4"/>
        <w:numPr>
          <w:ilvl w:val="3"/>
          <w:numId w:val="0"/>
        </w:numPr>
      </w:pPr>
      <w:r>
        <w:t>A.10.3.3 Pertinência directa para o tema da tese</w:t>
      </w:r>
    </w:p>
    <w:p>
      <w:pPr>
        <w:pStyle w:val="Bibliografia"/>
        <w:jc w:val="left"/>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p>
    <w:sectPr w:rsidR="00050BF7" w:rsidSect="004170BC">
      <w:headerReference w:type="default" r:id="rId15"/>
      <w:footerReference w:type="default" r:id="rId16"/>
      <w:pgSz w:w="11900" w:h="16840"/>
      <w:pgMar w:top="1985" w:right="1418" w:bottom="1985"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D6D68" w14:textId="77777777" w:rsidR="00197141" w:rsidRDefault="00197141" w:rsidP="004E101F">
      <w:pPr>
        <w:spacing w:line="240" w:lineRule="auto"/>
      </w:pPr>
      <w:r>
        <w:separator/>
      </w:r>
    </w:p>
  </w:endnote>
  <w:endnote w:type="continuationSeparator" w:id="0">
    <w:p w14:paraId="0AA040D7" w14:textId="77777777" w:rsidR="00197141" w:rsidRDefault="00197141" w:rsidP="004E1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42EE9" w14:textId="2941037E" w:rsidR="00084C8A" w:rsidRPr="00216076" w:rsidRDefault="00084C8A" w:rsidP="005109BD">
    <w:pPr>
      <w:pStyle w:val="RodapRomano-IPCA"/>
      <w:jc w:val="both"/>
      <w:rPr>
        <w:rStyle w:val="RodapCarte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3E255" w14:textId="0C45D8FA" w:rsidR="00084C8A" w:rsidRPr="00216076" w:rsidRDefault="00084C8A" w:rsidP="00DD2612">
    <w:pPr>
      <w:pStyle w:val="RodapRomano-IPCA"/>
      <w:rPr>
        <w:rStyle w:val="RodapCarte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76345914"/>
      <w:docPartObj>
        <w:docPartGallery w:val="Page Numbers (Bottom of Page)"/>
        <w:docPartUnique/>
      </w:docPartObj>
    </w:sdtPr>
    <w:sdtEndPr>
      <w:rPr>
        <w:rStyle w:val="RodapCarter"/>
      </w:rPr>
    </w:sdtEndPr>
    <w:sdtContent>
      <w:p w14:paraId="73722DB2" w14:textId="7D796D4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II</w:t>
        </w:r>
        <w:r w:rsidRPr="00216076">
          <w:rPr>
            <w:rStyle w:val="RodapCart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962531358"/>
      <w:docPartObj>
        <w:docPartGallery w:val="Page Numbers (Bottom of Page)"/>
        <w:docPartUnique/>
      </w:docPartObj>
    </w:sdtPr>
    <w:sdtEndPr>
      <w:rPr>
        <w:rStyle w:val="RodapCarter"/>
      </w:rPr>
    </w:sdtEndPr>
    <w:sdtContent>
      <w:p w14:paraId="082EEF96" w14:textId="6C70731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XIII</w:t>
        </w:r>
        <w:r w:rsidRPr="00216076">
          <w:rPr>
            <w:rStyle w:val="RodapCarte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030867460"/>
      <w:docPartObj>
        <w:docPartGallery w:val="Page Numbers (Bottom of Page)"/>
        <w:docPartUnique/>
      </w:docPartObj>
    </w:sdtPr>
    <w:sdtEndPr>
      <w:rPr>
        <w:rStyle w:val="RodapCarter"/>
      </w:rPr>
    </w:sdtEndPr>
    <w:sdtContent>
      <w:p w14:paraId="23A6BDDA" w14:textId="12DE3DB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XIV</w:t>
        </w:r>
        <w:r w:rsidRPr="00216076">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894810404"/>
      <w:docPartObj>
        <w:docPartGallery w:val="Page Numbers (Bottom of Page)"/>
        <w:docPartUnique/>
      </w:docPartObj>
    </w:sdtPr>
    <w:sdtEndPr>
      <w:rPr>
        <w:rStyle w:val="RodapCarter"/>
      </w:rPr>
    </w:sdtEndPr>
    <w:sdtContent>
      <w:p w14:paraId="6574A7EA" w14:textId="5522394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5</w:t>
        </w:r>
        <w:r w:rsidRPr="00216076">
          <w:rPr>
            <w:rStyle w:val="RodapCart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47B06" w14:textId="77777777" w:rsidR="00197141" w:rsidRDefault="00197141" w:rsidP="001E19CC">
      <w:pPr>
        <w:spacing w:line="240" w:lineRule="auto"/>
        <w:ind w:firstLine="0"/>
      </w:pPr>
    </w:p>
  </w:footnote>
  <w:footnote w:type="continuationSeparator" w:id="0">
    <w:p w14:paraId="34A24E22" w14:textId="77777777" w:rsidR="00197141" w:rsidRDefault="00197141" w:rsidP="004E101F">
      <w:pPr>
        <w:spacing w:line="240" w:lineRule="auto"/>
      </w:pPr>
      <w:r>
        <w:continuationSeparator/>
      </w:r>
    </w:p>
  </w:footnote>
  <w:footnote w:id="1">
    <w:p w14:paraId="6138E2BB" w14:textId="3F6E2011" w:rsidR="00853A05" w:rsidRDefault="00853A05">
      <w:pPr>
        <w:pStyle w:val="Textodenotaderodap"/>
      </w:pPr>
      <w:r>
        <w:rPr>
          <w:rStyle w:val="Refdenotaderodap"/>
        </w:rPr>
        <w:footnoteRef/>
      </w:r>
      <w:r>
        <w:t xml:space="preserve"> </w:t>
      </w:r>
      <w:r w:rsidRPr="00722858">
        <w:t>Non eram nescius, Brute, cum</w:t>
      </w:r>
    </w:p>
  </w:footnote>
  <w:footnote w:id="2">
    <w:p w14:paraId="30A1DE80" w14:textId="4767C95E" w:rsidR="00853A05" w:rsidRDefault="00853A05">
      <w:pPr>
        <w:pStyle w:val="Textodenotaderodap"/>
      </w:pPr>
      <w:r>
        <w:rPr>
          <w:rStyle w:val="Refdenotaderodap"/>
        </w:rPr>
        <w:footnoteRef/>
      </w:r>
      <w:r>
        <w:t xml:space="preserve"> </w:t>
      </w:r>
      <w:r w:rsidRPr="00722858">
        <w:t>Graecis litteris, contemnentes Latinas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A10B2" w14:textId="77777777" w:rsidR="00084C8A" w:rsidRPr="00DD2612" w:rsidRDefault="00084C8A" w:rsidP="00DB107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A7ACD" w14:textId="1A41BF90" w:rsidR="00084C8A" w:rsidRPr="00DD2612" w:rsidRDefault="00084C8A" w:rsidP="007C093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53299" w14:textId="75158D99" w:rsidR="00084C8A" w:rsidRPr="00233E04" w:rsidRDefault="00084C8A"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75C9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201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6CDA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0A50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0444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D082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6A5E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24AD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3A4F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AACA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36212"/>
    <w:multiLevelType w:val="multilevel"/>
    <w:tmpl w:val="33943386"/>
    <w:numStyleLink w:val="EstiloListaEquaes-ESR"/>
  </w:abstractNum>
  <w:abstractNum w:abstractNumId="11" w15:restartNumberingAfterBreak="0">
    <w:nsid w:val="046137E3"/>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4F302E6"/>
    <w:multiLevelType w:val="multilevel"/>
    <w:tmpl w:val="5B229036"/>
    <w:lvl w:ilvl="0">
      <w:start w:val="1"/>
      <w:numFmt w:val="decimal"/>
      <w:suff w:val="space"/>
      <w:lvlText w:val="%1."/>
      <w:lvlJc w:val="left"/>
      <w:pPr>
        <w:ind w:left="0" w:firstLine="0"/>
      </w:pPr>
      <w:rPr>
        <w:rFonts w:hint="default"/>
      </w:rPr>
    </w:lvl>
    <w:lvl w:ilvl="1">
      <w:start w:val="1"/>
      <w:numFmt w:val="decimal"/>
      <w:pStyle w:val="Cabealho2"/>
      <w:suff w:val="space"/>
      <w:lvlText w:val="%1.%2"/>
      <w:lvlJc w:val="left"/>
      <w:pPr>
        <w:ind w:left="0" w:firstLine="0"/>
      </w:pPr>
      <w:rPr>
        <w:rFonts w:hint="default"/>
      </w:rPr>
    </w:lvl>
    <w:lvl w:ilvl="2">
      <w:start w:val="1"/>
      <w:numFmt w:val="decimal"/>
      <w:pStyle w:val="Cabealho3"/>
      <w:suff w:val="space"/>
      <w:lvlText w:val="%1.%2.%3"/>
      <w:lvlJc w:val="left"/>
      <w:pPr>
        <w:ind w:left="0" w:firstLine="0"/>
      </w:pPr>
      <w:rPr>
        <w:rFonts w:hint="default"/>
      </w:rPr>
    </w:lvl>
    <w:lvl w:ilvl="3">
      <w:start w:val="1"/>
      <w:numFmt w:val="decimal"/>
      <w:pStyle w:val="Cabealho4"/>
      <w:suff w:val="space"/>
      <w:lvlText w:val="%1.%2.%3.%4"/>
      <w:lvlJc w:val="left"/>
      <w:pPr>
        <w:ind w:left="0" w:firstLine="0"/>
      </w:pPr>
      <w:rPr>
        <w:rFonts w:hint="default"/>
      </w:rPr>
    </w:lvl>
    <w:lvl w:ilvl="4">
      <w:start w:val="1"/>
      <w:numFmt w:val="decimal"/>
      <w:pStyle w:val="Cabealho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DFB17A3"/>
    <w:multiLevelType w:val="multilevel"/>
    <w:tmpl w:val="32F66F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243458"/>
    <w:multiLevelType w:val="hybridMultilevel"/>
    <w:tmpl w:val="CAF0D760"/>
    <w:lvl w:ilvl="0" w:tplc="12A6E940">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5" w15:restartNumberingAfterBreak="0">
    <w:nsid w:val="180705CD"/>
    <w:multiLevelType w:val="hybridMultilevel"/>
    <w:tmpl w:val="515223DC"/>
    <w:lvl w:ilvl="0" w:tplc="0816000F">
      <w:start w:val="1"/>
      <w:numFmt w:val="decimal"/>
      <w:lvlText w:val="%1."/>
      <w:lvlJc w:val="left"/>
      <w:pPr>
        <w:tabs>
          <w:tab w:val="num" w:pos="720"/>
        </w:tabs>
        <w:ind w:left="720" w:hanging="360"/>
      </w:pPr>
    </w:lvl>
    <w:lvl w:ilvl="1" w:tplc="08160019">
      <w:start w:val="1"/>
      <w:numFmt w:val="decimal"/>
      <w:lvlText w:val="%2."/>
      <w:lvlJc w:val="left"/>
      <w:pPr>
        <w:tabs>
          <w:tab w:val="num" w:pos="1440"/>
        </w:tabs>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16" w15:restartNumberingAfterBreak="0">
    <w:nsid w:val="192F5130"/>
    <w:multiLevelType w:val="hybridMultilevel"/>
    <w:tmpl w:val="3306B52A"/>
    <w:lvl w:ilvl="0" w:tplc="81E4683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7" w15:restartNumberingAfterBreak="0">
    <w:nsid w:val="21C11F91"/>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166031"/>
    <w:multiLevelType w:val="multilevel"/>
    <w:tmpl w:val="52CE27F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D845E6"/>
    <w:multiLevelType w:val="multilevel"/>
    <w:tmpl w:val="9B9C347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E707FF"/>
    <w:multiLevelType w:val="multilevel"/>
    <w:tmpl w:val="33943386"/>
    <w:styleLink w:val="EstiloListaEquaes-ESR"/>
    <w:lvl w:ilvl="0">
      <w:start w:val="1"/>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A5C1A57"/>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810593"/>
    <w:multiLevelType w:val="hybridMultilevel"/>
    <w:tmpl w:val="CF163042"/>
    <w:lvl w:ilvl="0" w:tplc="ADA628AC">
      <w:start w:val="1"/>
      <w:numFmt w:val="decimal"/>
      <w:lvlText w:val="%1."/>
      <w:lvlJc w:val="left"/>
      <w:pPr>
        <w:ind w:left="70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EB9485A"/>
    <w:multiLevelType w:val="hybridMultilevel"/>
    <w:tmpl w:val="9DB80778"/>
    <w:lvl w:ilvl="0" w:tplc="FD8ED898">
      <w:start w:val="1"/>
      <w:numFmt w:val="decimal"/>
      <w:lvlText w:val="%1."/>
      <w:lvlJc w:val="left"/>
      <w:pPr>
        <w:ind w:left="360" w:hanging="360"/>
      </w:pPr>
      <w:rPr>
        <w:b/>
      </w:r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4" w15:restartNumberingAfterBreak="0">
    <w:nsid w:val="5DBA7AA3"/>
    <w:multiLevelType w:val="hybridMultilevel"/>
    <w:tmpl w:val="CBFABAFC"/>
    <w:lvl w:ilvl="0" w:tplc="DF569B80">
      <w:start w:val="1"/>
      <w:numFmt w:val="decimal"/>
      <w:pStyle w:val="Cabealho1"/>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606135BF"/>
    <w:multiLevelType w:val="hybridMultilevel"/>
    <w:tmpl w:val="789C53F4"/>
    <w:lvl w:ilvl="0" w:tplc="34284C46">
      <w:start w:val="1"/>
      <w:numFmt w:val="upperRoman"/>
      <w:pStyle w:val="Cabealho6"/>
      <w:lvlText w:val="Anexo %1"/>
      <w:lvlJc w:val="left"/>
      <w:pPr>
        <w:ind w:left="568" w:firstLine="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44319F0"/>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21D94"/>
    <w:multiLevelType w:val="multilevel"/>
    <w:tmpl w:val="7C6C9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14118E"/>
    <w:multiLevelType w:val="hybridMultilevel"/>
    <w:tmpl w:val="4684948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2E1035E"/>
    <w:multiLevelType w:val="hybridMultilevel"/>
    <w:tmpl w:val="ACAEFA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78066010"/>
    <w:multiLevelType w:val="hybridMultilevel"/>
    <w:tmpl w:val="700E61A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C895D4C"/>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FC452D6"/>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8"/>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 w:numId="13">
    <w:abstractNumId w:val="20"/>
  </w:num>
  <w:num w:numId="14">
    <w:abstractNumId w:val="10"/>
  </w:num>
  <w:num w:numId="15">
    <w:abstractNumId w:val="22"/>
  </w:num>
  <w:num w:numId="16">
    <w:abstractNumId w:val="22"/>
    <w:lvlOverride w:ilvl="0">
      <w:startOverride w:val="1"/>
    </w:lvlOverride>
  </w:num>
  <w:num w:numId="17">
    <w:abstractNumId w:val="13"/>
  </w:num>
  <w:num w:numId="18">
    <w:abstractNumId w:val="27"/>
  </w:num>
  <w:num w:numId="19">
    <w:abstractNumId w:val="19"/>
  </w:num>
  <w:num w:numId="20">
    <w:abstractNumId w:val="17"/>
  </w:num>
  <w:num w:numId="21">
    <w:abstractNumId w:val="31"/>
  </w:num>
  <w:num w:numId="22">
    <w:abstractNumId w:val="26"/>
  </w:num>
  <w:num w:numId="23">
    <w:abstractNumId w:val="11"/>
  </w:num>
  <w:num w:numId="24">
    <w:abstractNumId w:val="23"/>
  </w:num>
  <w:num w:numId="25">
    <w:abstractNumId w:val="21"/>
  </w:num>
  <w:num w:numId="26">
    <w:abstractNumId w:val="25"/>
  </w:num>
  <w:num w:numId="27">
    <w:abstractNumId w:val="14"/>
  </w:num>
  <w:num w:numId="28">
    <w:abstractNumId w:val="30"/>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32"/>
  </w:num>
  <w:num w:numId="32">
    <w:abstractNumId w:val="29"/>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updateFields w:val="true"/>
  <w:zoom w:percent="100"/>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E9"/>
    <w:rsid w:val="00005CAB"/>
    <w:rsid w:val="00017803"/>
    <w:rsid w:val="00030568"/>
    <w:rsid w:val="00041895"/>
    <w:rsid w:val="000505F8"/>
    <w:rsid w:val="00050BF7"/>
    <w:rsid w:val="00057618"/>
    <w:rsid w:val="00062DC8"/>
    <w:rsid w:val="00064C46"/>
    <w:rsid w:val="00075A65"/>
    <w:rsid w:val="0007626B"/>
    <w:rsid w:val="00084C8A"/>
    <w:rsid w:val="0009042B"/>
    <w:rsid w:val="000928A4"/>
    <w:rsid w:val="000B268B"/>
    <w:rsid w:val="000B5F25"/>
    <w:rsid w:val="000C2442"/>
    <w:rsid w:val="000F30FD"/>
    <w:rsid w:val="00102B21"/>
    <w:rsid w:val="00102E90"/>
    <w:rsid w:val="00107DCF"/>
    <w:rsid w:val="001123E2"/>
    <w:rsid w:val="00134519"/>
    <w:rsid w:val="00134EF8"/>
    <w:rsid w:val="00147071"/>
    <w:rsid w:val="00192EAC"/>
    <w:rsid w:val="00197141"/>
    <w:rsid w:val="001C5C50"/>
    <w:rsid w:val="001D7F66"/>
    <w:rsid w:val="001E19CC"/>
    <w:rsid w:val="001E73BE"/>
    <w:rsid w:val="0020028A"/>
    <w:rsid w:val="00203C89"/>
    <w:rsid w:val="00215F29"/>
    <w:rsid w:val="00216076"/>
    <w:rsid w:val="00226BDE"/>
    <w:rsid w:val="002321EB"/>
    <w:rsid w:val="00233E04"/>
    <w:rsid w:val="00237069"/>
    <w:rsid w:val="00243591"/>
    <w:rsid w:val="00250936"/>
    <w:rsid w:val="00273867"/>
    <w:rsid w:val="00274C57"/>
    <w:rsid w:val="00274D58"/>
    <w:rsid w:val="002751D9"/>
    <w:rsid w:val="00282986"/>
    <w:rsid w:val="00284C5E"/>
    <w:rsid w:val="002A22DB"/>
    <w:rsid w:val="002A5AB8"/>
    <w:rsid w:val="002B1BAF"/>
    <w:rsid w:val="002C734D"/>
    <w:rsid w:val="002E43AE"/>
    <w:rsid w:val="00305F96"/>
    <w:rsid w:val="00306872"/>
    <w:rsid w:val="0031209F"/>
    <w:rsid w:val="00321641"/>
    <w:rsid w:val="00321A69"/>
    <w:rsid w:val="00333221"/>
    <w:rsid w:val="00336F4F"/>
    <w:rsid w:val="003404FB"/>
    <w:rsid w:val="0035477C"/>
    <w:rsid w:val="00356377"/>
    <w:rsid w:val="00370BE0"/>
    <w:rsid w:val="003832A5"/>
    <w:rsid w:val="00387183"/>
    <w:rsid w:val="00394635"/>
    <w:rsid w:val="003A304E"/>
    <w:rsid w:val="003A4340"/>
    <w:rsid w:val="003B2550"/>
    <w:rsid w:val="003C3498"/>
    <w:rsid w:val="003C3EB8"/>
    <w:rsid w:val="003F00B0"/>
    <w:rsid w:val="00401434"/>
    <w:rsid w:val="0040156C"/>
    <w:rsid w:val="0040190A"/>
    <w:rsid w:val="004112D6"/>
    <w:rsid w:val="004170BC"/>
    <w:rsid w:val="00424414"/>
    <w:rsid w:val="00430200"/>
    <w:rsid w:val="004374BD"/>
    <w:rsid w:val="0044577F"/>
    <w:rsid w:val="0045454A"/>
    <w:rsid w:val="004673C2"/>
    <w:rsid w:val="00472FD9"/>
    <w:rsid w:val="004751B1"/>
    <w:rsid w:val="00495918"/>
    <w:rsid w:val="004A1F97"/>
    <w:rsid w:val="004B0B37"/>
    <w:rsid w:val="004D4A64"/>
    <w:rsid w:val="004E0F8E"/>
    <w:rsid w:val="004E101F"/>
    <w:rsid w:val="004F6AA5"/>
    <w:rsid w:val="005109BD"/>
    <w:rsid w:val="00532FB0"/>
    <w:rsid w:val="00567F1A"/>
    <w:rsid w:val="005834D8"/>
    <w:rsid w:val="00596D34"/>
    <w:rsid w:val="00596E10"/>
    <w:rsid w:val="005C26AF"/>
    <w:rsid w:val="005C378A"/>
    <w:rsid w:val="005C4FD2"/>
    <w:rsid w:val="005C76C1"/>
    <w:rsid w:val="005D01CF"/>
    <w:rsid w:val="005D0965"/>
    <w:rsid w:val="005D47C1"/>
    <w:rsid w:val="005D733B"/>
    <w:rsid w:val="005F195C"/>
    <w:rsid w:val="00604F70"/>
    <w:rsid w:val="006363D8"/>
    <w:rsid w:val="006543AC"/>
    <w:rsid w:val="006630CC"/>
    <w:rsid w:val="00666F8A"/>
    <w:rsid w:val="00674A99"/>
    <w:rsid w:val="00674EDA"/>
    <w:rsid w:val="00676BE7"/>
    <w:rsid w:val="0068689D"/>
    <w:rsid w:val="00690588"/>
    <w:rsid w:val="00692DC6"/>
    <w:rsid w:val="006A516A"/>
    <w:rsid w:val="006C7947"/>
    <w:rsid w:val="006D3C02"/>
    <w:rsid w:val="006D4AD7"/>
    <w:rsid w:val="006D7C26"/>
    <w:rsid w:val="006E0016"/>
    <w:rsid w:val="006E2DEE"/>
    <w:rsid w:val="006E7F80"/>
    <w:rsid w:val="006F1BE6"/>
    <w:rsid w:val="006F4486"/>
    <w:rsid w:val="007071DE"/>
    <w:rsid w:val="00713E95"/>
    <w:rsid w:val="00717191"/>
    <w:rsid w:val="0072215A"/>
    <w:rsid w:val="00722858"/>
    <w:rsid w:val="00733CAC"/>
    <w:rsid w:val="00743EA8"/>
    <w:rsid w:val="007470CB"/>
    <w:rsid w:val="0075197A"/>
    <w:rsid w:val="00775CE2"/>
    <w:rsid w:val="007804D0"/>
    <w:rsid w:val="007A59C7"/>
    <w:rsid w:val="007C093D"/>
    <w:rsid w:val="007D0882"/>
    <w:rsid w:val="007D33FA"/>
    <w:rsid w:val="008159E5"/>
    <w:rsid w:val="00820F09"/>
    <w:rsid w:val="00833A39"/>
    <w:rsid w:val="00853A05"/>
    <w:rsid w:val="00856B9E"/>
    <w:rsid w:val="00856CF3"/>
    <w:rsid w:val="0086382A"/>
    <w:rsid w:val="00873FC8"/>
    <w:rsid w:val="008842DC"/>
    <w:rsid w:val="008A0074"/>
    <w:rsid w:val="008A1320"/>
    <w:rsid w:val="008C79DF"/>
    <w:rsid w:val="008E3FF5"/>
    <w:rsid w:val="008F210E"/>
    <w:rsid w:val="008F4167"/>
    <w:rsid w:val="00915D7F"/>
    <w:rsid w:val="00916CBC"/>
    <w:rsid w:val="00921A90"/>
    <w:rsid w:val="00927CC5"/>
    <w:rsid w:val="00950623"/>
    <w:rsid w:val="0095462E"/>
    <w:rsid w:val="00974606"/>
    <w:rsid w:val="0097527C"/>
    <w:rsid w:val="00993993"/>
    <w:rsid w:val="00993FB8"/>
    <w:rsid w:val="009B0BAC"/>
    <w:rsid w:val="009B7D95"/>
    <w:rsid w:val="009D3287"/>
    <w:rsid w:val="009F682E"/>
    <w:rsid w:val="00A04772"/>
    <w:rsid w:val="00A3238C"/>
    <w:rsid w:val="00A50D4A"/>
    <w:rsid w:val="00A5611D"/>
    <w:rsid w:val="00A60E9A"/>
    <w:rsid w:val="00A6161A"/>
    <w:rsid w:val="00A727D1"/>
    <w:rsid w:val="00A729A9"/>
    <w:rsid w:val="00A81CC9"/>
    <w:rsid w:val="00A8364B"/>
    <w:rsid w:val="00AC39E9"/>
    <w:rsid w:val="00AD1A55"/>
    <w:rsid w:val="00AE1268"/>
    <w:rsid w:val="00AF7A2E"/>
    <w:rsid w:val="00B046C7"/>
    <w:rsid w:val="00B15DB1"/>
    <w:rsid w:val="00B3734D"/>
    <w:rsid w:val="00B41630"/>
    <w:rsid w:val="00B445CD"/>
    <w:rsid w:val="00B5205E"/>
    <w:rsid w:val="00B66A8D"/>
    <w:rsid w:val="00B84289"/>
    <w:rsid w:val="00B954C2"/>
    <w:rsid w:val="00B9723D"/>
    <w:rsid w:val="00BC074E"/>
    <w:rsid w:val="00BC17D2"/>
    <w:rsid w:val="00BD42AA"/>
    <w:rsid w:val="00BE2D67"/>
    <w:rsid w:val="00BF0B83"/>
    <w:rsid w:val="00C16688"/>
    <w:rsid w:val="00C33824"/>
    <w:rsid w:val="00C50D7B"/>
    <w:rsid w:val="00C733E0"/>
    <w:rsid w:val="00C85BD0"/>
    <w:rsid w:val="00C91A91"/>
    <w:rsid w:val="00CB31AD"/>
    <w:rsid w:val="00CC6506"/>
    <w:rsid w:val="00D0152C"/>
    <w:rsid w:val="00D06664"/>
    <w:rsid w:val="00D232D9"/>
    <w:rsid w:val="00D25499"/>
    <w:rsid w:val="00D41CF5"/>
    <w:rsid w:val="00D54F12"/>
    <w:rsid w:val="00D600C2"/>
    <w:rsid w:val="00D63343"/>
    <w:rsid w:val="00D843FE"/>
    <w:rsid w:val="00D9447A"/>
    <w:rsid w:val="00DB107D"/>
    <w:rsid w:val="00DC4EAC"/>
    <w:rsid w:val="00DD2612"/>
    <w:rsid w:val="00DE04CA"/>
    <w:rsid w:val="00DE7C27"/>
    <w:rsid w:val="00E4154E"/>
    <w:rsid w:val="00E66915"/>
    <w:rsid w:val="00E71882"/>
    <w:rsid w:val="00E8344F"/>
    <w:rsid w:val="00E8494F"/>
    <w:rsid w:val="00EA2892"/>
    <w:rsid w:val="00EB14A0"/>
    <w:rsid w:val="00EB7216"/>
    <w:rsid w:val="00EC740D"/>
    <w:rsid w:val="00ED5927"/>
    <w:rsid w:val="00ED6B3D"/>
    <w:rsid w:val="00ED7C9F"/>
    <w:rsid w:val="00EE10A9"/>
    <w:rsid w:val="00EF236D"/>
    <w:rsid w:val="00EF4B39"/>
    <w:rsid w:val="00EF5421"/>
    <w:rsid w:val="00EF7CAC"/>
    <w:rsid w:val="00F11448"/>
    <w:rsid w:val="00F20126"/>
    <w:rsid w:val="00F2739D"/>
    <w:rsid w:val="00F32D7F"/>
    <w:rsid w:val="00F42A0F"/>
    <w:rsid w:val="00F47439"/>
    <w:rsid w:val="00F477EC"/>
    <w:rsid w:val="00F55413"/>
    <w:rsid w:val="00F617DB"/>
    <w:rsid w:val="00F726DD"/>
    <w:rsid w:val="00F75A2D"/>
    <w:rsid w:val="00F861D1"/>
    <w:rsid w:val="00F950D6"/>
    <w:rsid w:val="00FA00B1"/>
    <w:rsid w:val="00FA55D1"/>
    <w:rsid w:val="00FA7155"/>
    <w:rsid w:val="00FB7BFD"/>
    <w:rsid w:val="00FF0390"/>
    <w:rsid w:val="00FF1E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1B70E"/>
  <w14:defaultImageDpi w14:val="32767"/>
  <w15:chartTrackingRefBased/>
  <w15:docId w15:val="{E8E6B509-E3F3-7442-BC08-0F4BB06D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1">
    <w:lsdException w:name="Normal" w:uiPriority="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 EST"/>
    <w:uiPriority w:val="1"/>
    <w:rsid w:val="00733CAC"/>
    <w:pPr>
      <w:spacing w:line="348" w:lineRule="auto"/>
      <w:ind w:firstLine="340"/>
      <w:jc w:val="both"/>
    </w:pPr>
    <w:rPr>
      <w:rFonts w:ascii="Times New Roman" w:hAnsi="Times New Roman" w:cs="Times New Roman"/>
      <w:sz w:val="20"/>
    </w:rPr>
  </w:style>
  <w:style w:type="paragraph" w:styleId="Cabealho1">
    <w:name w:val="heading 1"/>
    <w:aliases w:val="Título 1 - IPCA"/>
    <w:basedOn w:val="Normal"/>
    <w:next w:val="Normal"/>
    <w:link w:val="Cabealho1Carter"/>
    <w:autoRedefine/>
    <w:uiPriority w:val="9"/>
    <w:qFormat/>
    <w:rsid w:val="000505F8"/>
    <w:pPr>
      <w:keepNext/>
      <w:keepLines/>
      <w:numPr>
        <w:numId w:val="33"/>
      </w:numPr>
      <w:spacing w:after="240" w:line="240" w:lineRule="auto"/>
      <w:ind w:left="425" w:hanging="357"/>
      <w:contextualSpacing/>
      <w:jc w:val="left"/>
      <w:outlineLvl w:val="0"/>
    </w:pPr>
    <w:rPr>
      <w:rFonts w:ascii="Arial" w:eastAsiaTheme="majorEastAsia" w:hAnsi="Arial" w:cs="Times New Roman (Cabeçalho CS)"/>
      <w:b/>
      <w:caps/>
      <w:sz w:val="24"/>
      <w:szCs w:val="32"/>
    </w:rPr>
  </w:style>
  <w:style w:type="paragraph" w:styleId="Cabealho2">
    <w:name w:val="heading 2"/>
    <w:aliases w:val="Título Nível 2 - IPCA"/>
    <w:basedOn w:val="Normal"/>
    <w:next w:val="Normal"/>
    <w:link w:val="Cabealho2Carter"/>
    <w:autoRedefine/>
    <w:uiPriority w:val="1"/>
    <w:qFormat/>
    <w:rsid w:val="0035477C"/>
    <w:pPr>
      <w:numPr>
        <w:ilvl w:val="1"/>
        <w:numId w:val="1"/>
      </w:numPr>
      <w:spacing w:after="120" w:line="240" w:lineRule="auto"/>
      <w:contextualSpacing/>
      <w:jc w:val="left"/>
      <w:outlineLvl w:val="1"/>
    </w:pPr>
    <w:rPr>
      <w:rFonts w:ascii="Arial" w:eastAsia="Lucida Sans Unicode" w:hAnsi="Arial" w:cs="Lucida Sans Unicode"/>
      <w:b/>
      <w:caps/>
    </w:rPr>
  </w:style>
  <w:style w:type="paragraph" w:styleId="Cabealho3">
    <w:name w:val="heading 3"/>
    <w:aliases w:val="Título 3 - IPCA"/>
    <w:basedOn w:val="Normal"/>
    <w:next w:val="Normal"/>
    <w:link w:val="Cabealho3Carter"/>
    <w:autoRedefine/>
    <w:uiPriority w:val="9"/>
    <w:unhideWhenUsed/>
    <w:qFormat/>
    <w:rsid w:val="00733CAC"/>
    <w:pPr>
      <w:keepNext/>
      <w:keepLines/>
      <w:numPr>
        <w:ilvl w:val="2"/>
        <w:numId w:val="1"/>
      </w:numPr>
      <w:spacing w:after="120" w:line="240" w:lineRule="auto"/>
      <w:contextualSpacing/>
      <w:jc w:val="left"/>
      <w:outlineLvl w:val="2"/>
    </w:pPr>
    <w:rPr>
      <w:rFonts w:ascii="Arial" w:eastAsiaTheme="majorEastAsia" w:hAnsi="Arial" w:cs="Times New Roman (Cabeçalho CS)"/>
      <w:caps/>
    </w:rPr>
  </w:style>
  <w:style w:type="paragraph" w:styleId="Cabealho4">
    <w:name w:val="heading 4"/>
    <w:aliases w:val="Título 4 - IPCA"/>
    <w:basedOn w:val="Normal"/>
    <w:next w:val="Normal"/>
    <w:link w:val="Cabealho4Carter"/>
    <w:autoRedefine/>
    <w:uiPriority w:val="9"/>
    <w:unhideWhenUsed/>
    <w:qFormat/>
    <w:rsid w:val="00733CAC"/>
    <w:pPr>
      <w:keepNext/>
      <w:keepLines/>
      <w:numPr>
        <w:ilvl w:val="3"/>
        <w:numId w:val="1"/>
      </w:numPr>
      <w:spacing w:after="120" w:line="240" w:lineRule="auto"/>
      <w:contextualSpacing/>
      <w:jc w:val="left"/>
      <w:outlineLvl w:val="3"/>
    </w:pPr>
    <w:rPr>
      <w:rFonts w:ascii="Arial" w:eastAsiaTheme="majorEastAsia" w:hAnsi="Arial" w:cstheme="majorBidi"/>
      <w:b/>
      <w:iCs/>
    </w:rPr>
  </w:style>
  <w:style w:type="paragraph" w:styleId="Cabealho5">
    <w:name w:val="heading 5"/>
    <w:aliases w:val="Título 5 - IPCA"/>
    <w:basedOn w:val="Normal"/>
    <w:next w:val="Normal"/>
    <w:link w:val="Cabealho5Carter"/>
    <w:autoRedefine/>
    <w:uiPriority w:val="9"/>
    <w:unhideWhenUsed/>
    <w:qFormat/>
    <w:rsid w:val="00733CAC"/>
    <w:pPr>
      <w:keepNext/>
      <w:keepLines/>
      <w:numPr>
        <w:ilvl w:val="4"/>
        <w:numId w:val="1"/>
      </w:numPr>
      <w:spacing w:after="120" w:line="240" w:lineRule="auto"/>
      <w:contextualSpacing/>
      <w:jc w:val="left"/>
      <w:outlineLvl w:val="4"/>
    </w:pPr>
    <w:rPr>
      <w:rFonts w:ascii="Arial" w:eastAsiaTheme="majorEastAsia" w:hAnsi="Arial" w:cstheme="majorBidi"/>
      <w:i/>
    </w:rPr>
  </w:style>
  <w:style w:type="paragraph" w:styleId="Cabealho6">
    <w:name w:val="heading 6"/>
    <w:aliases w:val="Anexos - IPCA"/>
    <w:basedOn w:val="Normal"/>
    <w:next w:val="Normal"/>
    <w:link w:val="Cabealho6Carter"/>
    <w:autoRedefine/>
    <w:uiPriority w:val="9"/>
    <w:unhideWhenUsed/>
    <w:qFormat/>
    <w:rsid w:val="00C50D7B"/>
    <w:pPr>
      <w:keepNext/>
      <w:keepLines/>
      <w:numPr>
        <w:numId w:val="26"/>
      </w:numPr>
      <w:spacing w:after="120" w:line="240" w:lineRule="auto"/>
      <w:ind w:left="0"/>
      <w:contextualSpacing/>
      <w:jc w:val="left"/>
      <w:outlineLvl w:val="5"/>
    </w:pPr>
    <w:rPr>
      <w:rFonts w:ascii="Arial" w:eastAsia="Calibri" w:hAnsi="Arial" w:cs="Times New Roman (Cabeçalho CS)"/>
      <w:caps/>
      <w:szCs w:val="32"/>
    </w:rPr>
  </w:style>
  <w:style w:type="paragraph" w:styleId="Cabealho7">
    <w:name w:val="heading 7"/>
    <w:basedOn w:val="Normal"/>
    <w:next w:val="Normal"/>
    <w:link w:val="Cabealho7Carter"/>
    <w:uiPriority w:val="9"/>
    <w:semiHidden/>
    <w:unhideWhenUsed/>
    <w:qFormat/>
    <w:rsid w:val="00233E04"/>
    <w:pPr>
      <w:keepNext/>
      <w:keepLines/>
      <w:spacing w:before="40"/>
      <w:outlineLvl w:val="6"/>
    </w:pPr>
    <w:rPr>
      <w:rFonts w:asciiTheme="majorHAnsi" w:eastAsiaTheme="majorEastAsia" w:hAnsiTheme="majorHAnsi" w:cstheme="majorBidi"/>
      <w:i/>
      <w:iCs/>
      <w:color w:val="1F3763" w:themeColor="accent1" w:themeShade="7F"/>
    </w:rPr>
  </w:style>
  <w:style w:type="paragraph" w:styleId="Cabealho8">
    <w:name w:val="heading 8"/>
    <w:basedOn w:val="Normal"/>
    <w:next w:val="Normal"/>
    <w:link w:val="Cabealho8Carter"/>
    <w:uiPriority w:val="9"/>
    <w:semiHidden/>
    <w:unhideWhenUsed/>
    <w:qFormat/>
    <w:rsid w:val="00233E0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Cabealho9">
    <w:name w:val="heading 9"/>
    <w:basedOn w:val="Normal"/>
    <w:next w:val="Normal"/>
    <w:link w:val="Cabealho9Carter"/>
    <w:uiPriority w:val="9"/>
    <w:semiHidden/>
    <w:unhideWhenUsed/>
    <w:qFormat/>
    <w:rsid w:val="00233E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arter"/>
    <w:uiPriority w:val="99"/>
    <w:semiHidden/>
    <w:unhideWhenUsed/>
    <w:qFormat/>
    <w:rsid w:val="00D0152C"/>
    <w:pPr>
      <w:spacing w:line="240" w:lineRule="auto"/>
    </w:pPr>
    <w:rPr>
      <w:szCs w:val="20"/>
    </w:rPr>
  </w:style>
  <w:style w:type="character" w:customStyle="1" w:styleId="Cabealho2Carter">
    <w:name w:val="Cabeçalho 2 Caráter"/>
    <w:aliases w:val="Título Nível 2 - IPCA Caráter"/>
    <w:basedOn w:val="Tipodeletrapredefinidodopargrafo"/>
    <w:link w:val="Cabealho2"/>
    <w:uiPriority w:val="1"/>
    <w:rsid w:val="0035477C"/>
    <w:rPr>
      <w:rFonts w:ascii="Arial" w:eastAsia="Lucida Sans Unicode" w:hAnsi="Arial" w:cs="Lucida Sans Unicode"/>
      <w:b/>
      <w:caps/>
      <w:sz w:val="20"/>
    </w:rPr>
  </w:style>
  <w:style w:type="paragraph" w:customStyle="1" w:styleId="TextoNormal-IPCA">
    <w:name w:val="Texto Normal - IPCA"/>
    <w:basedOn w:val="Normal"/>
    <w:link w:val="TextoNormal-IPCACarter"/>
    <w:qFormat/>
    <w:rsid w:val="00950623"/>
    <w:pPr>
      <w:spacing w:line="360" w:lineRule="auto"/>
    </w:pPr>
  </w:style>
  <w:style w:type="character" w:customStyle="1" w:styleId="TextoNormal-IPCACarter">
    <w:name w:val="Texto Normal - IPCA Caráter"/>
    <w:basedOn w:val="Tipodeletrapredefinidodopargrafo"/>
    <w:link w:val="TextoNormal-IPCA"/>
    <w:rsid w:val="00950623"/>
    <w:rPr>
      <w:rFonts w:ascii="Times New Roman" w:hAnsi="Times New Roman" w:cs="Times New Roman"/>
      <w:sz w:val="20"/>
    </w:rPr>
  </w:style>
  <w:style w:type="paragraph" w:styleId="Cabealho">
    <w:name w:val="header"/>
    <w:aliases w:val="Cabeçalho - IPCA"/>
    <w:basedOn w:val="Normal"/>
    <w:link w:val="CabealhoCarter"/>
    <w:autoRedefine/>
    <w:unhideWhenUsed/>
    <w:qFormat/>
    <w:rsid w:val="00DB107D"/>
    <w:pPr>
      <w:tabs>
        <w:tab w:val="center" w:pos="4252"/>
        <w:tab w:val="right" w:pos="8504"/>
      </w:tabs>
      <w:spacing w:line="240" w:lineRule="auto"/>
      <w:ind w:firstLine="0"/>
      <w:jc w:val="center"/>
      <w:outlineLvl w:val="0"/>
    </w:pPr>
    <w:rPr>
      <w:rFonts w:ascii="Lucida Sans Unicode" w:hAnsi="Lucida Sans Unicode"/>
      <w:b/>
      <w:sz w:val="16"/>
    </w:rPr>
  </w:style>
  <w:style w:type="character" w:customStyle="1" w:styleId="CabealhoCarter">
    <w:name w:val="Cabeçalho Caráter"/>
    <w:aliases w:val="Cabeçalho - IPCA Caráter"/>
    <w:basedOn w:val="Tipodeletrapredefinidodopargrafo"/>
    <w:link w:val="Cabealho"/>
    <w:rsid w:val="00DB107D"/>
    <w:rPr>
      <w:rFonts w:ascii="Lucida Sans Unicode" w:hAnsi="Lucida Sans Unicode" w:cs="Times New Roman"/>
      <w:b/>
      <w:sz w:val="16"/>
    </w:rPr>
  </w:style>
  <w:style w:type="paragraph" w:styleId="Rodap">
    <w:name w:val="footer"/>
    <w:aliases w:val="Rodapé - IPCA"/>
    <w:basedOn w:val="Normal"/>
    <w:link w:val="RodapCarter"/>
    <w:autoRedefine/>
    <w:uiPriority w:val="99"/>
    <w:unhideWhenUsed/>
    <w:qFormat/>
    <w:rsid w:val="00D25499"/>
    <w:pPr>
      <w:tabs>
        <w:tab w:val="center" w:pos="4252"/>
        <w:tab w:val="right" w:pos="8504"/>
      </w:tabs>
      <w:spacing w:line="240" w:lineRule="auto"/>
      <w:ind w:firstLine="0"/>
      <w:jc w:val="center"/>
    </w:pPr>
    <w:rPr>
      <w:rFonts w:ascii="Lucida Sans Unicode" w:hAnsi="Lucida Sans Unicode"/>
    </w:rPr>
  </w:style>
  <w:style w:type="character" w:customStyle="1" w:styleId="RodapCarter">
    <w:name w:val="Rodapé Caráter"/>
    <w:aliases w:val="Rodapé - IPCA Caráter"/>
    <w:basedOn w:val="Tipodeletrapredefinidodopargrafo"/>
    <w:link w:val="Rodap"/>
    <w:uiPriority w:val="99"/>
    <w:rsid w:val="00D25499"/>
    <w:rPr>
      <w:rFonts w:ascii="Lucida Sans Unicode" w:hAnsi="Lucida Sans Unicode" w:cs="Times New Roman"/>
      <w:sz w:val="20"/>
    </w:rPr>
  </w:style>
  <w:style w:type="paragraph" w:customStyle="1" w:styleId="TtulosPrembulo-IPCA">
    <w:name w:val="Títulos Preâmbulo - IPCA"/>
    <w:next w:val="Normal"/>
    <w:link w:val="TtulosPrembulo-IPCACarter"/>
    <w:autoRedefine/>
    <w:qFormat/>
    <w:rsid w:val="000505F8"/>
    <w:pPr>
      <w:spacing w:after="120"/>
      <w:contextualSpacing/>
      <w:outlineLvl w:val="0"/>
    </w:pPr>
    <w:rPr>
      <w:rFonts w:ascii="Arial" w:eastAsiaTheme="majorEastAsia" w:hAnsi="Arial" w:cs="Times New Roman (Cabeçalho CS)"/>
      <w:b/>
      <w:caps/>
      <w:szCs w:val="32"/>
    </w:rPr>
  </w:style>
  <w:style w:type="character" w:customStyle="1" w:styleId="TtulosPrembulo-IPCACarter">
    <w:name w:val="Títulos Preâmbulo - IPCA Caráter"/>
    <w:basedOn w:val="Tipodeletrapredefinidodopargrafo"/>
    <w:link w:val="TtulosPrembulo-IPCA"/>
    <w:rsid w:val="000505F8"/>
    <w:rPr>
      <w:rFonts w:ascii="Arial" w:eastAsiaTheme="majorEastAsia" w:hAnsi="Arial" w:cs="Times New Roman (Cabeçalho CS)"/>
      <w:b/>
      <w:caps/>
      <w:szCs w:val="32"/>
    </w:rPr>
  </w:style>
  <w:style w:type="character" w:styleId="nfase">
    <w:name w:val="Emphasis"/>
    <w:basedOn w:val="Tipodeletrapredefinidodopargrafo"/>
    <w:uiPriority w:val="20"/>
    <w:rsid w:val="005F195C"/>
    <w:rPr>
      <w:i/>
      <w:iCs/>
    </w:rPr>
  </w:style>
  <w:style w:type="character" w:customStyle="1" w:styleId="Cabealho1Carter">
    <w:name w:val="Cabeçalho 1 Caráter"/>
    <w:aliases w:val="Título 1 - IPCA Caráter"/>
    <w:basedOn w:val="Tipodeletrapredefinidodopargrafo"/>
    <w:link w:val="Cabealho1"/>
    <w:uiPriority w:val="9"/>
    <w:rsid w:val="000505F8"/>
    <w:rPr>
      <w:rFonts w:ascii="Arial" w:eastAsiaTheme="majorEastAsia" w:hAnsi="Arial" w:cs="Times New Roman (Cabeçalho CS)"/>
      <w:b/>
      <w:caps/>
      <w:szCs w:val="32"/>
    </w:rPr>
  </w:style>
  <w:style w:type="character" w:styleId="Forte">
    <w:name w:val="Strong"/>
    <w:basedOn w:val="Tipodeletrapredefinidodopargrafo"/>
    <w:uiPriority w:val="22"/>
    <w:rsid w:val="005F195C"/>
    <w:rPr>
      <w:b/>
      <w:bCs/>
    </w:rPr>
  </w:style>
  <w:style w:type="character" w:customStyle="1" w:styleId="Cabealho3Carter">
    <w:name w:val="Cabeçalho 3 Caráter"/>
    <w:aliases w:val="Título 3 - IPCA Caráter"/>
    <w:basedOn w:val="Tipodeletrapredefinidodopargrafo"/>
    <w:link w:val="Cabealho3"/>
    <w:uiPriority w:val="9"/>
    <w:rsid w:val="00733CAC"/>
    <w:rPr>
      <w:rFonts w:ascii="Arial" w:eastAsiaTheme="majorEastAsia" w:hAnsi="Arial" w:cs="Times New Roman (Cabeçalho CS)"/>
      <w:caps/>
      <w:sz w:val="20"/>
    </w:rPr>
  </w:style>
  <w:style w:type="character" w:customStyle="1" w:styleId="Cabealho4Carter">
    <w:name w:val="Cabeçalho 4 Caráter"/>
    <w:aliases w:val="Título 4 - IPCA Caráter"/>
    <w:basedOn w:val="Tipodeletrapredefinidodopargrafo"/>
    <w:link w:val="Cabealho4"/>
    <w:uiPriority w:val="9"/>
    <w:rsid w:val="00733CAC"/>
    <w:rPr>
      <w:rFonts w:ascii="Arial" w:eastAsiaTheme="majorEastAsia" w:hAnsi="Arial" w:cstheme="majorBidi"/>
      <w:b/>
      <w:iCs/>
      <w:sz w:val="20"/>
    </w:rPr>
  </w:style>
  <w:style w:type="character" w:customStyle="1" w:styleId="Cabealho5Carter">
    <w:name w:val="Cabeçalho 5 Caráter"/>
    <w:aliases w:val="Título 5 - IPCA Caráter"/>
    <w:basedOn w:val="Tipodeletrapredefinidodopargrafo"/>
    <w:link w:val="Cabealho5"/>
    <w:uiPriority w:val="9"/>
    <w:rsid w:val="00733CAC"/>
    <w:rPr>
      <w:rFonts w:ascii="Arial" w:eastAsiaTheme="majorEastAsia" w:hAnsi="Arial" w:cstheme="majorBidi"/>
      <w:i/>
      <w:sz w:val="20"/>
    </w:rPr>
  </w:style>
  <w:style w:type="paragraph" w:styleId="SemEspaamento">
    <w:name w:val="No Spacing"/>
    <w:uiPriority w:val="1"/>
    <w:rsid w:val="00A3238C"/>
    <w:pPr>
      <w:ind w:firstLine="340"/>
      <w:jc w:val="both"/>
    </w:pPr>
    <w:rPr>
      <w:rFonts w:ascii="Times New Roman" w:hAnsi="Times New Roman" w:cs="Times New Roman"/>
      <w:color w:val="C45911" w:themeColor="accent2" w:themeShade="BF"/>
      <w:sz w:val="20"/>
    </w:rPr>
  </w:style>
  <w:style w:type="character" w:customStyle="1" w:styleId="TextodenotaderodapCarter">
    <w:name w:val="Texto de nota de rodapé Caráter"/>
    <w:basedOn w:val="Tipodeletrapredefinidodopargrafo"/>
    <w:link w:val="Textodenotaderodap"/>
    <w:uiPriority w:val="99"/>
    <w:semiHidden/>
    <w:rsid w:val="00D0152C"/>
    <w:rPr>
      <w:rFonts w:ascii="Times New Roman" w:hAnsi="Times New Roman" w:cs="Times New Roman"/>
      <w:color w:val="C45911" w:themeColor="accent2" w:themeShade="BF"/>
      <w:sz w:val="20"/>
      <w:szCs w:val="20"/>
    </w:rPr>
  </w:style>
  <w:style w:type="paragraph" w:customStyle="1" w:styleId="Pargrafo-Objetos-IPCA">
    <w:name w:val="Parágrafo - Objetos - IPCA"/>
    <w:basedOn w:val="Normal"/>
    <w:autoRedefine/>
    <w:uiPriority w:val="1"/>
    <w:qFormat/>
    <w:rsid w:val="0035477C"/>
    <w:pPr>
      <w:spacing w:before="120" w:after="120" w:line="240" w:lineRule="auto"/>
      <w:ind w:firstLine="0"/>
      <w:jc w:val="center"/>
    </w:pPr>
    <w:rPr>
      <w:noProof/>
    </w:rPr>
  </w:style>
  <w:style w:type="paragraph" w:styleId="Legenda">
    <w:name w:val="caption"/>
    <w:aliases w:val="Legenda - IPCA"/>
    <w:basedOn w:val="Normal"/>
    <w:next w:val="Nota-IPCA"/>
    <w:link w:val="LegendaCarter"/>
    <w:uiPriority w:val="35"/>
    <w:unhideWhenUsed/>
    <w:qFormat/>
    <w:rsid w:val="001C5C50"/>
    <w:pPr>
      <w:spacing w:after="60" w:line="240" w:lineRule="auto"/>
      <w:ind w:firstLine="0"/>
      <w:contextualSpacing/>
      <w:jc w:val="center"/>
    </w:pPr>
    <w:rPr>
      <w:rFonts w:ascii="Arial" w:hAnsi="Arial"/>
      <w:b/>
      <w:iCs/>
      <w:sz w:val="16"/>
      <w:szCs w:val="18"/>
    </w:rPr>
  </w:style>
  <w:style w:type="paragraph" w:customStyle="1" w:styleId="Nota-IPCA">
    <w:name w:val="Nota - IPCA"/>
    <w:basedOn w:val="Legenda"/>
    <w:autoRedefine/>
    <w:uiPriority w:val="1"/>
    <w:qFormat/>
    <w:rsid w:val="00733CAC"/>
    <w:pPr>
      <w:spacing w:after="120"/>
    </w:pPr>
    <w:rPr>
      <w:b w:val="0"/>
    </w:rPr>
  </w:style>
  <w:style w:type="paragraph" w:customStyle="1" w:styleId="Cabealho11">
    <w:name w:val="Cabeçalho 11"/>
    <w:basedOn w:val="Normal"/>
    <w:next w:val="Normal"/>
    <w:link w:val="Heading1Char"/>
    <w:uiPriority w:val="9"/>
    <w:rsid w:val="001E19CC"/>
    <w:pPr>
      <w:keepNext/>
      <w:keepLines/>
      <w:spacing w:before="480" w:line="276" w:lineRule="auto"/>
      <w:ind w:firstLine="0"/>
      <w:jc w:val="left"/>
      <w:outlineLvl w:val="0"/>
    </w:pPr>
    <w:rPr>
      <w:rFonts w:asciiTheme="majorHAnsi" w:eastAsiaTheme="majorEastAsia" w:hAnsiTheme="majorHAnsi" w:cstheme="majorBidi"/>
      <w:b/>
      <w:bCs/>
      <w:color w:val="2F5496" w:themeColor="accent1" w:themeShade="BF"/>
      <w:sz w:val="28"/>
      <w:szCs w:val="28"/>
      <w:lang w:eastAsia="pt-PT"/>
    </w:rPr>
  </w:style>
  <w:style w:type="character" w:customStyle="1" w:styleId="Heading1Char">
    <w:name w:val="Heading 1 Char"/>
    <w:basedOn w:val="Tipodeletrapredefinidodopargrafo"/>
    <w:link w:val="Cabealho11"/>
    <w:uiPriority w:val="9"/>
    <w:rsid w:val="001E19CC"/>
    <w:rPr>
      <w:rFonts w:asciiTheme="majorHAnsi" w:eastAsiaTheme="majorEastAsia" w:hAnsiTheme="majorHAnsi" w:cstheme="majorBidi"/>
      <w:b/>
      <w:bCs/>
      <w:color w:val="2F5496" w:themeColor="accent1" w:themeShade="BF"/>
      <w:sz w:val="28"/>
      <w:szCs w:val="28"/>
      <w:lang w:eastAsia="pt-PT"/>
    </w:rPr>
  </w:style>
  <w:style w:type="character" w:customStyle="1" w:styleId="Cabealho6Carter">
    <w:name w:val="Cabeçalho 6 Caráter"/>
    <w:aliases w:val="Anexos - IPCA Caráter"/>
    <w:basedOn w:val="Tipodeletrapredefinidodopargrafo"/>
    <w:link w:val="Cabealho6"/>
    <w:uiPriority w:val="9"/>
    <w:rsid w:val="00C50D7B"/>
    <w:rPr>
      <w:rFonts w:ascii="Arial" w:eastAsia="Calibri" w:hAnsi="Arial" w:cs="Times New Roman (Cabeçalho CS)"/>
      <w:caps/>
      <w:sz w:val="20"/>
      <w:szCs w:val="32"/>
    </w:rPr>
  </w:style>
  <w:style w:type="table" w:styleId="Tabelacomgrelha">
    <w:name w:val="Table Grid"/>
    <w:basedOn w:val="Tabelanormal"/>
    <w:uiPriority w:val="39"/>
    <w:rsid w:val="00921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921A90"/>
    <w:rPr>
      <w:color w:val="808080"/>
    </w:rPr>
  </w:style>
  <w:style w:type="paragraph" w:styleId="Lista">
    <w:name w:val="List"/>
    <w:basedOn w:val="Normal"/>
    <w:uiPriority w:val="99"/>
    <w:unhideWhenUsed/>
    <w:rsid w:val="00CC6506"/>
    <w:pPr>
      <w:ind w:left="283" w:hanging="283"/>
      <w:contextualSpacing/>
    </w:pPr>
  </w:style>
  <w:style w:type="numbering" w:customStyle="1" w:styleId="EstiloListaEquaes-ESR">
    <w:name w:val="Estilo Lista Equações - ESR"/>
    <w:uiPriority w:val="99"/>
    <w:rsid w:val="00CC6506"/>
    <w:pPr>
      <w:numPr>
        <w:numId w:val="13"/>
      </w:numPr>
    </w:pPr>
  </w:style>
  <w:style w:type="paragraph" w:customStyle="1" w:styleId="CitaesLinha-IPCA">
    <w:name w:val="Citações &gt;+ Linha - IPCA"/>
    <w:basedOn w:val="TextoNormal-IPCA"/>
    <w:autoRedefine/>
    <w:uiPriority w:val="1"/>
    <w:qFormat/>
    <w:rsid w:val="00916CBC"/>
    <w:pPr>
      <w:ind w:left="851" w:right="851"/>
    </w:pPr>
    <w:rPr>
      <w:i/>
    </w:rPr>
  </w:style>
  <w:style w:type="character" w:styleId="Refdenotaderodap">
    <w:name w:val="footnote reference"/>
    <w:basedOn w:val="Tipodeletrapredefinidodopargrafo"/>
    <w:uiPriority w:val="99"/>
    <w:semiHidden/>
    <w:unhideWhenUsed/>
    <w:rsid w:val="00102E90"/>
    <w:rPr>
      <w:vertAlign w:val="superscript"/>
    </w:rPr>
  </w:style>
  <w:style w:type="character" w:styleId="Hiperligao">
    <w:name w:val="Hyperlink"/>
    <w:basedOn w:val="Tipodeletrapredefinidodopargrafo"/>
    <w:uiPriority w:val="99"/>
    <w:unhideWhenUsed/>
    <w:rsid w:val="00722858"/>
    <w:rPr>
      <w:color w:val="0563C1" w:themeColor="hyperlink"/>
      <w:u w:val="single"/>
    </w:rPr>
  </w:style>
  <w:style w:type="paragraph" w:styleId="Bibliografia">
    <w:name w:val="Bibliography"/>
    <w:aliases w:val="Bibliografia - IPCA"/>
    <w:basedOn w:val="Normal"/>
    <w:next w:val="Normal"/>
    <w:autoRedefine/>
    <w:uiPriority w:val="37"/>
    <w:unhideWhenUsed/>
    <w:qFormat/>
    <w:rsid w:val="002C734D"/>
    <w:pPr>
      <w:spacing w:line="360" w:lineRule="auto"/>
    </w:pPr>
  </w:style>
  <w:style w:type="paragraph" w:styleId="Corpodetexto">
    <w:name w:val="Body Text"/>
    <w:basedOn w:val="Normal"/>
    <w:link w:val="CorpodetextoCarter"/>
    <w:uiPriority w:val="1"/>
    <w:semiHidden/>
    <w:unhideWhenUsed/>
    <w:qFormat/>
    <w:rsid w:val="00722858"/>
    <w:pPr>
      <w:spacing w:after="120"/>
    </w:pPr>
  </w:style>
  <w:style w:type="character" w:customStyle="1" w:styleId="CorpodetextoCarter">
    <w:name w:val="Corpo de texto Caráter"/>
    <w:basedOn w:val="Tipodeletrapredefinidodopargrafo"/>
    <w:link w:val="Corpodetexto"/>
    <w:uiPriority w:val="1"/>
    <w:semiHidden/>
    <w:rsid w:val="00722858"/>
    <w:rPr>
      <w:rFonts w:ascii="Times New Roman" w:hAnsi="Times New Roman" w:cs="Times New Roman"/>
      <w:color w:val="C45911" w:themeColor="accent2" w:themeShade="BF"/>
      <w:sz w:val="20"/>
    </w:rPr>
  </w:style>
  <w:style w:type="paragraph" w:styleId="Ttulo">
    <w:name w:val="Title"/>
    <w:basedOn w:val="Normal"/>
    <w:next w:val="Normal"/>
    <w:link w:val="TtuloCarter"/>
    <w:uiPriority w:val="10"/>
    <w:rsid w:val="00743EA8"/>
    <w:pPr>
      <w:spacing w:line="240" w:lineRule="auto"/>
      <w:contextualSpacing/>
    </w:pPr>
    <w:rPr>
      <w:rFonts w:asciiTheme="majorHAnsi" w:eastAsiaTheme="majorEastAsia" w:hAnsiTheme="majorHAnsi" w:cstheme="majorBidi"/>
      <w:spacing w:val="-10"/>
      <w:kern w:val="28"/>
      <w:sz w:val="56"/>
      <w:szCs w:val="56"/>
    </w:rPr>
  </w:style>
  <w:style w:type="character" w:styleId="Nmerodepgina">
    <w:name w:val="page number"/>
    <w:basedOn w:val="Tipodeletrapredefinidodopargrafo"/>
    <w:uiPriority w:val="99"/>
    <w:semiHidden/>
    <w:unhideWhenUsed/>
    <w:rsid w:val="00DD2612"/>
  </w:style>
  <w:style w:type="paragraph" w:customStyle="1" w:styleId="RodapRomano-IPCA">
    <w:name w:val="Rodapé Romano - IPCA"/>
    <w:basedOn w:val="Rodap"/>
    <w:autoRedefine/>
    <w:uiPriority w:val="1"/>
    <w:qFormat/>
    <w:rsid w:val="00D25499"/>
  </w:style>
  <w:style w:type="paragraph" w:styleId="PargrafodaLista">
    <w:name w:val="List Paragraph"/>
    <w:basedOn w:val="Normal"/>
    <w:uiPriority w:val="34"/>
    <w:rsid w:val="004112D6"/>
    <w:pPr>
      <w:ind w:left="720"/>
      <w:contextualSpacing/>
    </w:pPr>
  </w:style>
  <w:style w:type="paragraph" w:styleId="Subttulo">
    <w:name w:val="Subtitle"/>
    <w:basedOn w:val="Normal"/>
    <w:next w:val="Normal"/>
    <w:link w:val="SubttuloCarter"/>
    <w:uiPriority w:val="11"/>
    <w:rsid w:val="00743EA8"/>
    <w:pPr>
      <w:numPr>
        <w:ilvl w:val="1"/>
      </w:numPr>
      <w:spacing w:after="160"/>
      <w:ind w:firstLine="340"/>
    </w:pPr>
    <w:rPr>
      <w:rFonts w:asciiTheme="minorHAnsi" w:eastAsiaTheme="minorEastAsia" w:hAnsiTheme="minorHAnsi" w:cstheme="minorBidi"/>
      <w:color w:val="5A5A5A" w:themeColor="text1" w:themeTint="A5"/>
      <w:spacing w:val="15"/>
      <w:sz w:val="22"/>
      <w:szCs w:val="22"/>
    </w:rPr>
  </w:style>
  <w:style w:type="character" w:customStyle="1" w:styleId="LegendaCarter">
    <w:name w:val="Legenda Caráter"/>
    <w:aliases w:val="Legenda - IPCA Caráter"/>
    <w:basedOn w:val="Tipodeletrapredefinidodopargrafo"/>
    <w:link w:val="Legenda"/>
    <w:uiPriority w:val="35"/>
    <w:rsid w:val="001C5C50"/>
    <w:rPr>
      <w:rFonts w:ascii="Arial" w:hAnsi="Arial" w:cs="Times New Roman"/>
      <w:b/>
      <w:iCs/>
      <w:sz w:val="16"/>
      <w:szCs w:val="18"/>
    </w:rPr>
  </w:style>
  <w:style w:type="character" w:customStyle="1" w:styleId="SubttuloCarter">
    <w:name w:val="Subtítulo Caráter"/>
    <w:basedOn w:val="Tipodeletrapredefinidodopargrafo"/>
    <w:link w:val="Subttulo"/>
    <w:uiPriority w:val="11"/>
    <w:rsid w:val="00743EA8"/>
    <w:rPr>
      <w:rFonts w:eastAsiaTheme="minorEastAsia"/>
      <w:color w:val="5A5A5A" w:themeColor="text1" w:themeTint="A5"/>
      <w:spacing w:val="15"/>
      <w:sz w:val="22"/>
      <w:szCs w:val="22"/>
    </w:rPr>
  </w:style>
  <w:style w:type="paragraph" w:styleId="ndice2">
    <w:name w:val="toc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1">
    <w:name w:val="toc 1"/>
    <w:aliases w:val="Índice 1 - IPCA"/>
    <w:basedOn w:val="Normal"/>
    <w:next w:val="Normal"/>
    <w:autoRedefine/>
    <w:uiPriority w:val="39"/>
    <w:unhideWhenUsed/>
    <w:qFormat/>
    <w:rsid w:val="00336F4F"/>
    <w:pPr>
      <w:tabs>
        <w:tab w:val="right" w:leader="dot" w:pos="8204"/>
      </w:tabs>
      <w:spacing w:line="312" w:lineRule="auto"/>
      <w:ind w:firstLine="0"/>
      <w:contextualSpacing/>
      <w:jc w:val="left"/>
    </w:pPr>
    <w:rPr>
      <w:rFonts w:ascii="Arial" w:hAnsi="Arial"/>
      <w:caps/>
      <w:sz w:val="18"/>
    </w:rPr>
  </w:style>
  <w:style w:type="paragraph" w:styleId="ndice3">
    <w:name w:val="toc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4">
    <w:name w:val="toc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5">
    <w:name w:val="toc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 w:type="paragraph" w:styleId="ndicedeilustraes">
    <w:name w:val="table of figures"/>
    <w:aliases w:val="Índice de ilustrações - IPCA"/>
    <w:basedOn w:val="Normal"/>
    <w:next w:val="Normal"/>
    <w:autoRedefine/>
    <w:uiPriority w:val="99"/>
    <w:unhideWhenUsed/>
    <w:qFormat/>
    <w:rsid w:val="006D7C26"/>
    <w:pPr>
      <w:tabs>
        <w:tab w:val="right" w:leader="dot" w:pos="8204"/>
      </w:tabs>
    </w:pPr>
    <w:rPr>
      <w:rFonts w:ascii="Arial" w:hAnsi="Arial"/>
    </w:rPr>
  </w:style>
  <w:style w:type="character" w:customStyle="1" w:styleId="TtuloCarter">
    <w:name w:val="Título Caráter"/>
    <w:basedOn w:val="Tipodeletrapredefinidodopargrafo"/>
    <w:link w:val="Ttulo"/>
    <w:uiPriority w:val="10"/>
    <w:rsid w:val="00743EA8"/>
    <w:rPr>
      <w:rFonts w:asciiTheme="majorHAnsi" w:eastAsiaTheme="majorEastAsia" w:hAnsiTheme="majorHAnsi" w:cstheme="majorBidi"/>
      <w:spacing w:val="-10"/>
      <w:kern w:val="28"/>
      <w:sz w:val="56"/>
      <w:szCs w:val="56"/>
    </w:rPr>
  </w:style>
  <w:style w:type="character" w:styleId="TtulodoLivro">
    <w:name w:val="Book Title"/>
    <w:basedOn w:val="Tipodeletrapredefinidodopargrafo"/>
    <w:uiPriority w:val="33"/>
    <w:rsid w:val="00743EA8"/>
    <w:rPr>
      <w:b/>
      <w:bCs/>
      <w:i/>
      <w:iCs/>
      <w:spacing w:val="5"/>
    </w:rPr>
  </w:style>
  <w:style w:type="character" w:styleId="nfaseDiscreto">
    <w:name w:val="Subtle Emphasis"/>
    <w:basedOn w:val="Tipodeletrapredefinidodopargrafo"/>
    <w:uiPriority w:val="19"/>
    <w:rsid w:val="00743EA8"/>
    <w:rPr>
      <w:i/>
      <w:iCs/>
      <w:color w:val="404040" w:themeColor="text1" w:themeTint="BF"/>
    </w:rPr>
  </w:style>
  <w:style w:type="character" w:styleId="nfaseIntenso">
    <w:name w:val="Intense Emphasis"/>
    <w:basedOn w:val="Tipodeletrapredefinidodopargrafo"/>
    <w:uiPriority w:val="21"/>
    <w:rsid w:val="00743EA8"/>
    <w:rPr>
      <w:i/>
      <w:iCs/>
      <w:color w:val="4472C4" w:themeColor="accent1"/>
    </w:rPr>
  </w:style>
  <w:style w:type="paragraph" w:styleId="CitaoIntensa">
    <w:name w:val="Intense Quote"/>
    <w:basedOn w:val="Normal"/>
    <w:next w:val="Normal"/>
    <w:link w:val="CitaoIntensaCarter"/>
    <w:uiPriority w:val="30"/>
    <w:rsid w:val="00743EA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arter">
    <w:name w:val="Citação Intensa Caráter"/>
    <w:basedOn w:val="Tipodeletrapredefinidodopargrafo"/>
    <w:link w:val="CitaoIntensa"/>
    <w:uiPriority w:val="30"/>
    <w:rsid w:val="00743EA8"/>
    <w:rPr>
      <w:rFonts w:ascii="Times New Roman" w:hAnsi="Times New Roman" w:cs="Times New Roman"/>
      <w:i/>
      <w:iCs/>
      <w:color w:val="4472C4" w:themeColor="accent1"/>
      <w:sz w:val="20"/>
    </w:rPr>
  </w:style>
  <w:style w:type="character" w:styleId="RefernciaDiscreta">
    <w:name w:val="Subtle Reference"/>
    <w:basedOn w:val="Tipodeletrapredefinidodopargrafo"/>
    <w:uiPriority w:val="31"/>
    <w:rsid w:val="00743EA8"/>
    <w:rPr>
      <w:smallCaps/>
      <w:color w:val="5A5A5A" w:themeColor="text1" w:themeTint="A5"/>
    </w:rPr>
  </w:style>
  <w:style w:type="character" w:styleId="RefernciaIntensa">
    <w:name w:val="Intense Reference"/>
    <w:basedOn w:val="Tipodeletrapredefinidodopargrafo"/>
    <w:uiPriority w:val="32"/>
    <w:rsid w:val="00743EA8"/>
    <w:rPr>
      <w:b/>
      <w:bCs/>
      <w:smallCaps/>
      <w:color w:val="4472C4" w:themeColor="accent1"/>
      <w:spacing w:val="5"/>
    </w:rPr>
  </w:style>
  <w:style w:type="paragraph" w:styleId="Citao">
    <w:name w:val="Quote"/>
    <w:basedOn w:val="Normal"/>
    <w:next w:val="Normal"/>
    <w:link w:val="CitaoCarter"/>
    <w:uiPriority w:val="29"/>
    <w:rsid w:val="00743EA8"/>
    <w:pPr>
      <w:spacing w:before="200" w:after="16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743EA8"/>
    <w:rPr>
      <w:rFonts w:ascii="Times New Roman" w:hAnsi="Times New Roman" w:cs="Times New Roman"/>
      <w:i/>
      <w:iCs/>
      <w:color w:val="404040" w:themeColor="text1" w:themeTint="BF"/>
      <w:sz w:val="20"/>
    </w:rPr>
  </w:style>
  <w:style w:type="character" w:styleId="Refdecomentrio">
    <w:name w:val="annotation reference"/>
    <w:basedOn w:val="Tipodeletrapredefinidodopargrafo"/>
    <w:uiPriority w:val="99"/>
    <w:semiHidden/>
    <w:unhideWhenUsed/>
    <w:rsid w:val="00134EF8"/>
    <w:rPr>
      <w:sz w:val="16"/>
      <w:szCs w:val="16"/>
    </w:rPr>
  </w:style>
  <w:style w:type="paragraph" w:styleId="Textodecomentrio">
    <w:name w:val="annotation text"/>
    <w:basedOn w:val="Normal"/>
    <w:link w:val="TextodecomentrioCarter"/>
    <w:uiPriority w:val="99"/>
    <w:semiHidden/>
    <w:unhideWhenUsed/>
    <w:rsid w:val="00134EF8"/>
    <w:pPr>
      <w:spacing w:after="200" w:line="240" w:lineRule="auto"/>
      <w:ind w:firstLine="0"/>
      <w:jc w:val="left"/>
    </w:pPr>
    <w:rPr>
      <w:rFonts w:asciiTheme="minorHAnsi" w:hAnsiTheme="minorHAnsi" w:cstheme="minorBidi"/>
      <w:szCs w:val="20"/>
    </w:rPr>
  </w:style>
  <w:style w:type="character" w:customStyle="1" w:styleId="TextodecomentrioCarter">
    <w:name w:val="Texto de comentário Caráter"/>
    <w:basedOn w:val="Tipodeletrapredefinidodopargrafo"/>
    <w:link w:val="Textodecomentrio"/>
    <w:uiPriority w:val="99"/>
    <w:semiHidden/>
    <w:rsid w:val="00134EF8"/>
    <w:rPr>
      <w:sz w:val="20"/>
      <w:szCs w:val="20"/>
    </w:rPr>
  </w:style>
  <w:style w:type="paragraph" w:styleId="Textodebalo">
    <w:name w:val="Balloon Text"/>
    <w:basedOn w:val="Normal"/>
    <w:link w:val="TextodebaloCarter"/>
    <w:uiPriority w:val="99"/>
    <w:semiHidden/>
    <w:unhideWhenUsed/>
    <w:rsid w:val="00134EF8"/>
    <w:pPr>
      <w:spacing w:line="240" w:lineRule="auto"/>
    </w:pPr>
    <w:rPr>
      <w:sz w:val="26"/>
      <w:szCs w:val="26"/>
    </w:rPr>
  </w:style>
  <w:style w:type="character" w:customStyle="1" w:styleId="TextodebaloCarter">
    <w:name w:val="Texto de balão Caráter"/>
    <w:basedOn w:val="Tipodeletrapredefinidodopargrafo"/>
    <w:link w:val="Textodebalo"/>
    <w:uiPriority w:val="99"/>
    <w:semiHidden/>
    <w:rsid w:val="00134EF8"/>
    <w:rPr>
      <w:rFonts w:ascii="Times New Roman" w:hAnsi="Times New Roman" w:cs="Times New Roman"/>
      <w:sz w:val="26"/>
      <w:szCs w:val="26"/>
    </w:rPr>
  </w:style>
  <w:style w:type="character" w:customStyle="1" w:styleId="CabealhoCarcter">
    <w:name w:val="Cabeçalho Carácter"/>
    <w:basedOn w:val="Tipodeletrapredefinidodopargrafo"/>
    <w:semiHidden/>
    <w:rsid w:val="00DB107D"/>
    <w:rPr>
      <w:rFonts w:ascii="Times New Roman" w:eastAsia="Times New Roman" w:hAnsi="Times New Roman" w:cs="Times New Roman"/>
      <w:sz w:val="24"/>
      <w:szCs w:val="24"/>
      <w:lang w:eastAsia="pt-PT"/>
    </w:rPr>
  </w:style>
  <w:style w:type="character" w:customStyle="1" w:styleId="Cabealho9Carter">
    <w:name w:val="Cabeçalho 9 Caráter"/>
    <w:basedOn w:val="Tipodeletrapredefinidodopargrafo"/>
    <w:link w:val="Cabealho9"/>
    <w:uiPriority w:val="9"/>
    <w:semiHidden/>
    <w:rsid w:val="00233E04"/>
    <w:rPr>
      <w:rFonts w:asciiTheme="majorHAnsi" w:eastAsiaTheme="majorEastAsia" w:hAnsiTheme="majorHAnsi" w:cstheme="majorBidi"/>
      <w:i/>
      <w:iCs/>
      <w:color w:val="272727" w:themeColor="text1" w:themeTint="D8"/>
      <w:sz w:val="21"/>
      <w:szCs w:val="21"/>
    </w:rPr>
  </w:style>
  <w:style w:type="character" w:customStyle="1" w:styleId="Cabealho8Carter">
    <w:name w:val="Cabeçalho 8 Caráter"/>
    <w:basedOn w:val="Tipodeletrapredefinidodopargrafo"/>
    <w:link w:val="Cabealho8"/>
    <w:uiPriority w:val="9"/>
    <w:semiHidden/>
    <w:rsid w:val="00233E04"/>
    <w:rPr>
      <w:rFonts w:asciiTheme="majorHAnsi" w:eastAsiaTheme="majorEastAsia" w:hAnsiTheme="majorHAnsi" w:cstheme="majorBidi"/>
      <w:color w:val="272727" w:themeColor="text1" w:themeTint="D8"/>
      <w:sz w:val="21"/>
      <w:szCs w:val="21"/>
    </w:rPr>
  </w:style>
  <w:style w:type="character" w:customStyle="1" w:styleId="Cabealho7Carter">
    <w:name w:val="Cabeçalho 7 Caráter"/>
    <w:basedOn w:val="Tipodeletrapredefinidodopargrafo"/>
    <w:link w:val="Cabealho7"/>
    <w:uiPriority w:val="9"/>
    <w:semiHidden/>
    <w:rsid w:val="00233E04"/>
    <w:rPr>
      <w:rFonts w:asciiTheme="majorHAnsi" w:eastAsiaTheme="majorEastAsia" w:hAnsiTheme="majorHAnsi" w:cstheme="majorBidi"/>
      <w:i/>
      <w:iCs/>
      <w:color w:val="1F3763" w:themeColor="accent1" w:themeShade="7F"/>
      <w:sz w:val="20"/>
    </w:rPr>
  </w:style>
  <w:style w:type="character" w:customStyle="1" w:styleId="UnresolvedMention">
    <w:name w:val="Unresolved Mention"/>
    <w:basedOn w:val="Tipodeletrapredefinidodopargrafo"/>
    <w:uiPriority w:val="99"/>
    <w:rsid w:val="0031209F"/>
    <w:rPr>
      <w:color w:val="808080"/>
      <w:shd w:val="clear" w:color="auto" w:fill="E6E6E6"/>
    </w:rPr>
  </w:style>
  <w:style w:type="paragraph" w:customStyle="1" w:styleId="TtulodeCapaefolhaderosto-IPCA">
    <w:name w:val="Título de Capa e folha de rosto- IPCA"/>
    <w:basedOn w:val="Normal"/>
    <w:link w:val="Ttulode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b/>
      <w:caps/>
      <w:sz w:val="28"/>
      <w:szCs w:val="28"/>
    </w:rPr>
  </w:style>
  <w:style w:type="paragraph" w:customStyle="1" w:styleId="Subttulo-Capaefolhaderosto-IPCA">
    <w:name w:val="Subtítulo-Capa e folha de rosto-IPCA"/>
    <w:basedOn w:val="Normal"/>
    <w:link w:val="Subttulo-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caps/>
      <w:sz w:val="28"/>
      <w:szCs w:val="28"/>
    </w:rPr>
  </w:style>
  <w:style w:type="character" w:customStyle="1" w:styleId="TtulodeCapaefolhaderosto-IPCACarter">
    <w:name w:val="Título de Capa e folha de rosto- IPCA Caráter"/>
    <w:basedOn w:val="Tipodeletrapredefinidodopargrafo"/>
    <w:link w:val="TtulodeCapaefolhaderosto-IPCA"/>
    <w:uiPriority w:val="1"/>
    <w:rsid w:val="006E2DEE"/>
    <w:rPr>
      <w:rFonts w:ascii="Lucida Sans Unicode" w:hAnsi="Lucida Sans Unicode" w:cs="Lucida Sans Unicode"/>
      <w:b/>
      <w:caps/>
      <w:sz w:val="28"/>
      <w:szCs w:val="28"/>
    </w:rPr>
  </w:style>
  <w:style w:type="paragraph" w:customStyle="1" w:styleId="Nomes-e-Data-na-Capa-e-Folha-de-Rosto-IPCA">
    <w:name w:val="Nomes-e-Data-na-Capa-e-Folha-de-Rosto-IPCA"/>
    <w:basedOn w:val="Normal"/>
    <w:link w:val="Nomes-e-Data-na-Capa-e-Folha-de-Rosto-IPCACarter"/>
    <w:uiPriority w:val="1"/>
    <w:qFormat/>
    <w:rsid w:val="00EB14A0"/>
    <w:pPr>
      <w:tabs>
        <w:tab w:val="left" w:pos="3740"/>
      </w:tabs>
      <w:spacing w:line="312" w:lineRule="auto"/>
      <w:ind w:left="3686" w:firstLine="0"/>
    </w:pPr>
    <w:rPr>
      <w:rFonts w:ascii="Lucida Sans Unicode" w:hAnsi="Lucida Sans Unicode" w:cs="Lucida Sans Unicode"/>
      <w:sz w:val="24"/>
    </w:rPr>
  </w:style>
  <w:style w:type="character" w:customStyle="1" w:styleId="Subttulo-Capaefolhaderosto-IPCACarter">
    <w:name w:val="Subtítulo-Capa e folha de rosto-IPCA Caráter"/>
    <w:basedOn w:val="Tipodeletrapredefinidodopargrafo"/>
    <w:link w:val="Subttulo-Capaefolhaderosto-IPCA"/>
    <w:uiPriority w:val="1"/>
    <w:rsid w:val="006E2DEE"/>
    <w:rPr>
      <w:rFonts w:ascii="Lucida Sans Unicode" w:hAnsi="Lucida Sans Unicode" w:cs="Lucida Sans Unicode"/>
      <w:caps/>
      <w:sz w:val="28"/>
      <w:szCs w:val="28"/>
    </w:rPr>
  </w:style>
  <w:style w:type="paragraph" w:customStyle="1" w:styleId="Texto-normal-Capa-e-Folha-de-Rosto-IPCA">
    <w:name w:val="Texto-normal-Capa-e-Folha-de-Rosto-IPCA"/>
    <w:basedOn w:val="Normal"/>
    <w:link w:val="Texto-normal-Capa-e-Folha-de-Rosto-IPCACarter"/>
    <w:uiPriority w:val="1"/>
    <w:qFormat/>
    <w:rsid w:val="00EB14A0"/>
    <w:pPr>
      <w:autoSpaceDE w:val="0"/>
      <w:autoSpaceDN w:val="0"/>
      <w:adjustRightInd w:val="0"/>
      <w:spacing w:line="240" w:lineRule="auto"/>
      <w:ind w:left="3686" w:firstLine="0"/>
      <w:jc w:val="left"/>
    </w:pPr>
    <w:rPr>
      <w:rFonts w:ascii="Lucida Sans Unicode" w:hAnsi="Lucida Sans Unicode" w:cs="Lucida Sans Unicode"/>
      <w:sz w:val="18"/>
      <w:szCs w:val="18"/>
    </w:rPr>
  </w:style>
  <w:style w:type="character" w:customStyle="1" w:styleId="Nomes-e-Data-na-Capa-e-Folha-de-Rosto-IPCACarter">
    <w:name w:val="Nomes-e-Data-na-Capa-e-Folha-de-Rosto-IPCA Caráter"/>
    <w:basedOn w:val="Tipodeletrapredefinidodopargrafo"/>
    <w:link w:val="Nomes-e-Data-na-Capa-e-Folha-de-Rosto-IPCA"/>
    <w:uiPriority w:val="1"/>
    <w:rsid w:val="00EB14A0"/>
    <w:rPr>
      <w:rFonts w:ascii="Lucida Sans Unicode" w:hAnsi="Lucida Sans Unicode" w:cs="Lucida Sans Unicode"/>
    </w:rPr>
  </w:style>
  <w:style w:type="character" w:customStyle="1" w:styleId="Texto-normal-Capa-e-Folha-de-Rosto-IPCACarter">
    <w:name w:val="Texto-normal-Capa-e-Folha-de-Rosto-IPCA Caráter"/>
    <w:basedOn w:val="Tipodeletrapredefinidodopargrafo"/>
    <w:link w:val="Texto-normal-Capa-e-Folha-de-Rosto-IPCA"/>
    <w:uiPriority w:val="1"/>
    <w:rsid w:val="00EB14A0"/>
    <w:rPr>
      <w:rFonts w:ascii="Lucida Sans Unicode" w:hAnsi="Lucida Sans Unicode" w:cs="Lucida Sans Unicode"/>
      <w:sz w:val="18"/>
      <w:szCs w:val="18"/>
    </w:rPr>
  </w:style>
  <w:style w:type="paragraph" w:styleId="Textodenotadefim">
    <w:name w:val="endnote text"/>
    <w:basedOn w:val="Normal"/>
    <w:link w:val="TextodenotadefimCarter"/>
    <w:uiPriority w:val="99"/>
    <w:semiHidden/>
    <w:unhideWhenUsed/>
    <w:rsid w:val="00853A05"/>
    <w:pPr>
      <w:spacing w:line="240" w:lineRule="auto"/>
    </w:pPr>
    <w:rPr>
      <w:szCs w:val="20"/>
    </w:rPr>
  </w:style>
  <w:style w:type="character" w:customStyle="1" w:styleId="TextodenotadefimCarter">
    <w:name w:val="Texto de nota de fim Caráter"/>
    <w:basedOn w:val="Tipodeletrapredefinidodopargrafo"/>
    <w:link w:val="Textodenotadefim"/>
    <w:uiPriority w:val="99"/>
    <w:semiHidden/>
    <w:rsid w:val="00853A05"/>
    <w:rPr>
      <w:rFonts w:ascii="Times New Roman" w:hAnsi="Times New Roman" w:cs="Times New Roman"/>
      <w:sz w:val="20"/>
      <w:szCs w:val="20"/>
    </w:rPr>
  </w:style>
  <w:style w:type="character" w:styleId="Refdenotadefim">
    <w:name w:val="endnote reference"/>
    <w:basedOn w:val="Tipodeletrapredefinidodopargrafo"/>
    <w:uiPriority w:val="99"/>
    <w:semiHidden/>
    <w:unhideWhenUsed/>
    <w:rsid w:val="00853A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385">
      <w:bodyDiv w:val="1"/>
      <w:marLeft w:val="0"/>
      <w:marRight w:val="0"/>
      <w:marTop w:val="0"/>
      <w:marBottom w:val="0"/>
      <w:divBdr>
        <w:top w:val="none" w:sz="0" w:space="0" w:color="auto"/>
        <w:left w:val="none" w:sz="0" w:space="0" w:color="auto"/>
        <w:bottom w:val="none" w:sz="0" w:space="0" w:color="auto"/>
        <w:right w:val="none" w:sz="0" w:space="0" w:color="auto"/>
      </w:divBdr>
    </w:div>
    <w:div w:id="77288738">
      <w:bodyDiv w:val="1"/>
      <w:marLeft w:val="0"/>
      <w:marRight w:val="0"/>
      <w:marTop w:val="0"/>
      <w:marBottom w:val="0"/>
      <w:divBdr>
        <w:top w:val="none" w:sz="0" w:space="0" w:color="auto"/>
        <w:left w:val="none" w:sz="0" w:space="0" w:color="auto"/>
        <w:bottom w:val="none" w:sz="0" w:space="0" w:color="auto"/>
        <w:right w:val="none" w:sz="0" w:space="0" w:color="auto"/>
      </w:divBdr>
    </w:div>
    <w:div w:id="101538493">
      <w:bodyDiv w:val="1"/>
      <w:marLeft w:val="0"/>
      <w:marRight w:val="0"/>
      <w:marTop w:val="0"/>
      <w:marBottom w:val="0"/>
      <w:divBdr>
        <w:top w:val="none" w:sz="0" w:space="0" w:color="auto"/>
        <w:left w:val="none" w:sz="0" w:space="0" w:color="auto"/>
        <w:bottom w:val="none" w:sz="0" w:space="0" w:color="auto"/>
        <w:right w:val="none" w:sz="0" w:space="0" w:color="auto"/>
      </w:divBdr>
    </w:div>
    <w:div w:id="129715796">
      <w:bodyDiv w:val="1"/>
      <w:marLeft w:val="0"/>
      <w:marRight w:val="0"/>
      <w:marTop w:val="0"/>
      <w:marBottom w:val="0"/>
      <w:divBdr>
        <w:top w:val="none" w:sz="0" w:space="0" w:color="auto"/>
        <w:left w:val="none" w:sz="0" w:space="0" w:color="auto"/>
        <w:bottom w:val="none" w:sz="0" w:space="0" w:color="auto"/>
        <w:right w:val="none" w:sz="0" w:space="0" w:color="auto"/>
      </w:divBdr>
    </w:div>
    <w:div w:id="311830690">
      <w:bodyDiv w:val="1"/>
      <w:marLeft w:val="0"/>
      <w:marRight w:val="0"/>
      <w:marTop w:val="0"/>
      <w:marBottom w:val="0"/>
      <w:divBdr>
        <w:top w:val="none" w:sz="0" w:space="0" w:color="auto"/>
        <w:left w:val="none" w:sz="0" w:space="0" w:color="auto"/>
        <w:bottom w:val="none" w:sz="0" w:space="0" w:color="auto"/>
        <w:right w:val="none" w:sz="0" w:space="0" w:color="auto"/>
      </w:divBdr>
    </w:div>
    <w:div w:id="333922957">
      <w:bodyDiv w:val="1"/>
      <w:marLeft w:val="0"/>
      <w:marRight w:val="0"/>
      <w:marTop w:val="0"/>
      <w:marBottom w:val="0"/>
      <w:divBdr>
        <w:top w:val="none" w:sz="0" w:space="0" w:color="auto"/>
        <w:left w:val="none" w:sz="0" w:space="0" w:color="auto"/>
        <w:bottom w:val="none" w:sz="0" w:space="0" w:color="auto"/>
        <w:right w:val="none" w:sz="0" w:space="0" w:color="auto"/>
      </w:divBdr>
    </w:div>
    <w:div w:id="488982704">
      <w:bodyDiv w:val="1"/>
      <w:marLeft w:val="0"/>
      <w:marRight w:val="0"/>
      <w:marTop w:val="0"/>
      <w:marBottom w:val="0"/>
      <w:divBdr>
        <w:top w:val="none" w:sz="0" w:space="0" w:color="auto"/>
        <w:left w:val="none" w:sz="0" w:space="0" w:color="auto"/>
        <w:bottom w:val="none" w:sz="0" w:space="0" w:color="auto"/>
        <w:right w:val="none" w:sz="0" w:space="0" w:color="auto"/>
      </w:divBdr>
    </w:div>
    <w:div w:id="580650344">
      <w:bodyDiv w:val="1"/>
      <w:marLeft w:val="0"/>
      <w:marRight w:val="0"/>
      <w:marTop w:val="0"/>
      <w:marBottom w:val="0"/>
      <w:divBdr>
        <w:top w:val="none" w:sz="0" w:space="0" w:color="auto"/>
        <w:left w:val="none" w:sz="0" w:space="0" w:color="auto"/>
        <w:bottom w:val="none" w:sz="0" w:space="0" w:color="auto"/>
        <w:right w:val="none" w:sz="0" w:space="0" w:color="auto"/>
      </w:divBdr>
    </w:div>
    <w:div w:id="621038066">
      <w:bodyDiv w:val="1"/>
      <w:marLeft w:val="0"/>
      <w:marRight w:val="0"/>
      <w:marTop w:val="0"/>
      <w:marBottom w:val="0"/>
      <w:divBdr>
        <w:top w:val="none" w:sz="0" w:space="0" w:color="auto"/>
        <w:left w:val="none" w:sz="0" w:space="0" w:color="auto"/>
        <w:bottom w:val="none" w:sz="0" w:space="0" w:color="auto"/>
        <w:right w:val="none" w:sz="0" w:space="0" w:color="auto"/>
      </w:divBdr>
    </w:div>
    <w:div w:id="651955484">
      <w:bodyDiv w:val="1"/>
      <w:marLeft w:val="0"/>
      <w:marRight w:val="0"/>
      <w:marTop w:val="0"/>
      <w:marBottom w:val="0"/>
      <w:divBdr>
        <w:top w:val="none" w:sz="0" w:space="0" w:color="auto"/>
        <w:left w:val="none" w:sz="0" w:space="0" w:color="auto"/>
        <w:bottom w:val="none" w:sz="0" w:space="0" w:color="auto"/>
        <w:right w:val="none" w:sz="0" w:space="0" w:color="auto"/>
      </w:divBdr>
    </w:div>
    <w:div w:id="743063224">
      <w:bodyDiv w:val="1"/>
      <w:marLeft w:val="0"/>
      <w:marRight w:val="0"/>
      <w:marTop w:val="0"/>
      <w:marBottom w:val="0"/>
      <w:divBdr>
        <w:top w:val="none" w:sz="0" w:space="0" w:color="auto"/>
        <w:left w:val="none" w:sz="0" w:space="0" w:color="auto"/>
        <w:bottom w:val="none" w:sz="0" w:space="0" w:color="auto"/>
        <w:right w:val="none" w:sz="0" w:space="0" w:color="auto"/>
      </w:divBdr>
    </w:div>
    <w:div w:id="770276445">
      <w:bodyDiv w:val="1"/>
      <w:marLeft w:val="0"/>
      <w:marRight w:val="0"/>
      <w:marTop w:val="0"/>
      <w:marBottom w:val="0"/>
      <w:divBdr>
        <w:top w:val="none" w:sz="0" w:space="0" w:color="auto"/>
        <w:left w:val="none" w:sz="0" w:space="0" w:color="auto"/>
        <w:bottom w:val="none" w:sz="0" w:space="0" w:color="auto"/>
        <w:right w:val="none" w:sz="0" w:space="0" w:color="auto"/>
      </w:divBdr>
    </w:div>
    <w:div w:id="816456204">
      <w:bodyDiv w:val="1"/>
      <w:marLeft w:val="0"/>
      <w:marRight w:val="0"/>
      <w:marTop w:val="0"/>
      <w:marBottom w:val="0"/>
      <w:divBdr>
        <w:top w:val="none" w:sz="0" w:space="0" w:color="auto"/>
        <w:left w:val="none" w:sz="0" w:space="0" w:color="auto"/>
        <w:bottom w:val="none" w:sz="0" w:space="0" w:color="auto"/>
        <w:right w:val="none" w:sz="0" w:space="0" w:color="auto"/>
      </w:divBdr>
    </w:div>
    <w:div w:id="825706173">
      <w:bodyDiv w:val="1"/>
      <w:marLeft w:val="0"/>
      <w:marRight w:val="0"/>
      <w:marTop w:val="0"/>
      <w:marBottom w:val="0"/>
      <w:divBdr>
        <w:top w:val="none" w:sz="0" w:space="0" w:color="auto"/>
        <w:left w:val="none" w:sz="0" w:space="0" w:color="auto"/>
        <w:bottom w:val="none" w:sz="0" w:space="0" w:color="auto"/>
        <w:right w:val="none" w:sz="0" w:space="0" w:color="auto"/>
      </w:divBdr>
    </w:div>
    <w:div w:id="1053624240">
      <w:bodyDiv w:val="1"/>
      <w:marLeft w:val="0"/>
      <w:marRight w:val="0"/>
      <w:marTop w:val="0"/>
      <w:marBottom w:val="0"/>
      <w:divBdr>
        <w:top w:val="none" w:sz="0" w:space="0" w:color="auto"/>
        <w:left w:val="none" w:sz="0" w:space="0" w:color="auto"/>
        <w:bottom w:val="none" w:sz="0" w:space="0" w:color="auto"/>
        <w:right w:val="none" w:sz="0" w:space="0" w:color="auto"/>
      </w:divBdr>
    </w:div>
    <w:div w:id="1120031269">
      <w:bodyDiv w:val="1"/>
      <w:marLeft w:val="0"/>
      <w:marRight w:val="0"/>
      <w:marTop w:val="0"/>
      <w:marBottom w:val="0"/>
      <w:divBdr>
        <w:top w:val="none" w:sz="0" w:space="0" w:color="auto"/>
        <w:left w:val="none" w:sz="0" w:space="0" w:color="auto"/>
        <w:bottom w:val="none" w:sz="0" w:space="0" w:color="auto"/>
        <w:right w:val="none" w:sz="0" w:space="0" w:color="auto"/>
      </w:divBdr>
    </w:div>
    <w:div w:id="1218127863">
      <w:bodyDiv w:val="1"/>
      <w:marLeft w:val="0"/>
      <w:marRight w:val="0"/>
      <w:marTop w:val="0"/>
      <w:marBottom w:val="0"/>
      <w:divBdr>
        <w:top w:val="none" w:sz="0" w:space="0" w:color="auto"/>
        <w:left w:val="none" w:sz="0" w:space="0" w:color="auto"/>
        <w:bottom w:val="none" w:sz="0" w:space="0" w:color="auto"/>
        <w:right w:val="none" w:sz="0" w:space="0" w:color="auto"/>
      </w:divBdr>
    </w:div>
    <w:div w:id="1300577183">
      <w:bodyDiv w:val="1"/>
      <w:marLeft w:val="0"/>
      <w:marRight w:val="0"/>
      <w:marTop w:val="0"/>
      <w:marBottom w:val="0"/>
      <w:divBdr>
        <w:top w:val="none" w:sz="0" w:space="0" w:color="auto"/>
        <w:left w:val="none" w:sz="0" w:space="0" w:color="auto"/>
        <w:bottom w:val="none" w:sz="0" w:space="0" w:color="auto"/>
        <w:right w:val="none" w:sz="0" w:space="0" w:color="auto"/>
      </w:divBdr>
    </w:div>
    <w:div w:id="1454127693">
      <w:bodyDiv w:val="1"/>
      <w:marLeft w:val="0"/>
      <w:marRight w:val="0"/>
      <w:marTop w:val="0"/>
      <w:marBottom w:val="0"/>
      <w:divBdr>
        <w:top w:val="none" w:sz="0" w:space="0" w:color="auto"/>
        <w:left w:val="none" w:sz="0" w:space="0" w:color="auto"/>
        <w:bottom w:val="none" w:sz="0" w:space="0" w:color="auto"/>
        <w:right w:val="none" w:sz="0" w:space="0" w:color="auto"/>
      </w:divBdr>
    </w:div>
    <w:div w:id="1463844559">
      <w:bodyDiv w:val="1"/>
      <w:marLeft w:val="0"/>
      <w:marRight w:val="0"/>
      <w:marTop w:val="0"/>
      <w:marBottom w:val="0"/>
      <w:divBdr>
        <w:top w:val="none" w:sz="0" w:space="0" w:color="auto"/>
        <w:left w:val="none" w:sz="0" w:space="0" w:color="auto"/>
        <w:bottom w:val="none" w:sz="0" w:space="0" w:color="auto"/>
        <w:right w:val="none" w:sz="0" w:space="0" w:color="auto"/>
      </w:divBdr>
    </w:div>
    <w:div w:id="1470712026">
      <w:bodyDiv w:val="1"/>
      <w:marLeft w:val="0"/>
      <w:marRight w:val="0"/>
      <w:marTop w:val="0"/>
      <w:marBottom w:val="0"/>
      <w:divBdr>
        <w:top w:val="none" w:sz="0" w:space="0" w:color="auto"/>
        <w:left w:val="none" w:sz="0" w:space="0" w:color="auto"/>
        <w:bottom w:val="none" w:sz="0" w:space="0" w:color="auto"/>
        <w:right w:val="none" w:sz="0" w:space="0" w:color="auto"/>
      </w:divBdr>
    </w:div>
    <w:div w:id="1510219457">
      <w:bodyDiv w:val="1"/>
      <w:marLeft w:val="0"/>
      <w:marRight w:val="0"/>
      <w:marTop w:val="0"/>
      <w:marBottom w:val="0"/>
      <w:divBdr>
        <w:top w:val="none" w:sz="0" w:space="0" w:color="auto"/>
        <w:left w:val="none" w:sz="0" w:space="0" w:color="auto"/>
        <w:bottom w:val="none" w:sz="0" w:space="0" w:color="auto"/>
        <w:right w:val="none" w:sz="0" w:space="0" w:color="auto"/>
      </w:divBdr>
    </w:div>
    <w:div w:id="1534608118">
      <w:bodyDiv w:val="1"/>
      <w:marLeft w:val="0"/>
      <w:marRight w:val="0"/>
      <w:marTop w:val="0"/>
      <w:marBottom w:val="0"/>
      <w:divBdr>
        <w:top w:val="none" w:sz="0" w:space="0" w:color="auto"/>
        <w:left w:val="none" w:sz="0" w:space="0" w:color="auto"/>
        <w:bottom w:val="none" w:sz="0" w:space="0" w:color="auto"/>
        <w:right w:val="none" w:sz="0" w:space="0" w:color="auto"/>
      </w:divBdr>
    </w:div>
    <w:div w:id="1554123968">
      <w:bodyDiv w:val="1"/>
      <w:marLeft w:val="0"/>
      <w:marRight w:val="0"/>
      <w:marTop w:val="0"/>
      <w:marBottom w:val="0"/>
      <w:divBdr>
        <w:top w:val="none" w:sz="0" w:space="0" w:color="auto"/>
        <w:left w:val="none" w:sz="0" w:space="0" w:color="auto"/>
        <w:bottom w:val="none" w:sz="0" w:space="0" w:color="auto"/>
        <w:right w:val="none" w:sz="0" w:space="0" w:color="auto"/>
      </w:divBdr>
    </w:div>
    <w:div w:id="1573537915">
      <w:bodyDiv w:val="1"/>
      <w:marLeft w:val="0"/>
      <w:marRight w:val="0"/>
      <w:marTop w:val="0"/>
      <w:marBottom w:val="0"/>
      <w:divBdr>
        <w:top w:val="none" w:sz="0" w:space="0" w:color="auto"/>
        <w:left w:val="none" w:sz="0" w:space="0" w:color="auto"/>
        <w:bottom w:val="none" w:sz="0" w:space="0" w:color="auto"/>
        <w:right w:val="none" w:sz="0" w:space="0" w:color="auto"/>
      </w:divBdr>
    </w:div>
    <w:div w:id="1622571037">
      <w:bodyDiv w:val="1"/>
      <w:marLeft w:val="0"/>
      <w:marRight w:val="0"/>
      <w:marTop w:val="0"/>
      <w:marBottom w:val="0"/>
      <w:divBdr>
        <w:top w:val="none" w:sz="0" w:space="0" w:color="auto"/>
        <w:left w:val="none" w:sz="0" w:space="0" w:color="auto"/>
        <w:bottom w:val="none" w:sz="0" w:space="0" w:color="auto"/>
        <w:right w:val="none" w:sz="0" w:space="0" w:color="auto"/>
      </w:divBdr>
    </w:div>
    <w:div w:id="1768845617">
      <w:bodyDiv w:val="1"/>
      <w:marLeft w:val="0"/>
      <w:marRight w:val="0"/>
      <w:marTop w:val="0"/>
      <w:marBottom w:val="0"/>
      <w:divBdr>
        <w:top w:val="none" w:sz="0" w:space="0" w:color="auto"/>
        <w:left w:val="none" w:sz="0" w:space="0" w:color="auto"/>
        <w:bottom w:val="none" w:sz="0" w:space="0" w:color="auto"/>
        <w:right w:val="none" w:sz="0" w:space="0" w:color="auto"/>
      </w:divBdr>
    </w:div>
    <w:div w:id="1895772507">
      <w:bodyDiv w:val="1"/>
      <w:marLeft w:val="0"/>
      <w:marRight w:val="0"/>
      <w:marTop w:val="0"/>
      <w:marBottom w:val="0"/>
      <w:divBdr>
        <w:top w:val="none" w:sz="0" w:space="0" w:color="auto"/>
        <w:left w:val="none" w:sz="0" w:space="0" w:color="auto"/>
        <w:bottom w:val="none" w:sz="0" w:space="0" w:color="auto"/>
        <w:right w:val="none" w:sz="0" w:space="0" w:color="auto"/>
      </w:divBdr>
    </w:div>
    <w:div w:id="19115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source_image01.png"/><Relationship Id="rId23" Type="http://schemas.openxmlformats.org/officeDocument/2006/relationships/image" Target="media/source_image02.png"/><Relationship Id="rId24" Type="http://schemas.openxmlformats.org/officeDocument/2006/relationships/image" Target="media/source_image03.png"/><Relationship Id="rId25" Type="http://schemas.openxmlformats.org/officeDocument/2006/relationships/image" Target="media/source_image04.png"/><Relationship Id="rId26" Type="http://schemas.openxmlformats.org/officeDocument/2006/relationships/image" Target="media/source_image05.png"/><Relationship Id="rId27" Type="http://schemas.openxmlformats.org/officeDocument/2006/relationships/image" Target="media/source_image06.png"/><Relationship Id="rId28" Type="http://schemas.openxmlformats.org/officeDocument/2006/relationships/image" Target="media/source_image07.png"/><Relationship Id="rId29" Type="http://schemas.openxmlformats.org/officeDocument/2006/relationships/image" Target="media/source_image08.png"/><Relationship Id="rId30" Type="http://schemas.openxmlformats.org/officeDocument/2006/relationships/image" Target="media/source_image09.png"/><Relationship Id="rId31" Type="http://schemas.openxmlformats.org/officeDocument/2006/relationships/image" Target="media/source_image10.png"/><Relationship Id="rId32" Type="http://schemas.openxmlformats.org/officeDocument/2006/relationships/image" Target="media/source_image11.png"/><Relationship Id="rId33" Type="http://schemas.openxmlformats.org/officeDocument/2006/relationships/image" Target="media/source_image12.png"/><Relationship Id="rId34" Type="http://schemas.openxmlformats.org/officeDocument/2006/relationships/image" Target="media/source_image13.png"/><Relationship Id="rId35" Type="http://schemas.openxmlformats.org/officeDocument/2006/relationships/image" Target="media/source_image14.png"/><Relationship Id="rId36" Type="http://schemas.openxmlformats.org/officeDocument/2006/relationships/image" Target="media/source_image15.png"/><Relationship Id="rId37" Type="http://schemas.openxmlformats.org/officeDocument/2006/relationships/image" Target="media/source_image16.png"/><Relationship Id="rId38" Type="http://schemas.openxmlformats.org/officeDocument/2006/relationships/image" Target="media/source_image17.png"/><Relationship Id="rId39" Type="http://schemas.openxmlformats.org/officeDocument/2006/relationships/image" Target="media/source_image18.png"/><Relationship Id="rId40" Type="http://schemas.openxmlformats.org/officeDocument/2006/relationships/image" Target="media/source_image19.png"/><Relationship Id="rId41" Type="http://schemas.openxmlformats.org/officeDocument/2006/relationships/image" Target="media/source_image20.png"/><Relationship Id="rId42" Type="http://schemas.openxmlformats.org/officeDocument/2006/relationships/image" Target="media/source_image21.jpg"/><Relationship Id="rId43" Type="http://schemas.openxmlformats.org/officeDocument/2006/relationships/image" Target="media/source_image22.jpg"/><Relationship Id="rId44" Type="http://schemas.openxmlformats.org/officeDocument/2006/relationships/image" Target="media/source_image23.jpg"/><Relationship Id="rId45" Type="http://schemas.openxmlformats.org/officeDocument/2006/relationships/image" Target="media/source_image24.png"/><Relationship Id="rId46" Type="http://schemas.openxmlformats.org/officeDocument/2006/relationships/image" Target="media/sequencia_perfil_ia_openscad_exportacao.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2030</Words>
  <Characters>10963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Título do Trabalho</vt:lpstr>
    </vt:vector>
  </TitlesOfParts>
  <Manager/>
  <Company>IPCA | 2018</Company>
  <LinksUpToDate>false</LinksUpToDate>
  <CharactersWithSpaces>12968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INTEGRAÇÃO DO DESIGN E DA INTELIGÊNCIA ARTIFICIAL EM PROCESSOS PARAMÉTRICOS PARA O DESENVOLVIMENTO DE PRÓTESES DE MEMBROS SUPERIORES EM IMPRESSÃO 3D.</dc:title>
  <dc:subject>Projeto de Mestrado em Design e Desenvolvimento de Produto</dc:subject>
  <dc:creator>Pedro Miguel Candeias da Silva</dc:creator>
  <cp:keywords/>
  <dc:description/>
  <cp:lastModifiedBy>Pedro Miguel Candeias da Silva</cp:lastModifiedBy>
  <cp:revision>4</cp:revision>
  <cp:lastPrinted>2018-03-20T20:17:00Z</cp:lastPrinted>
  <dcterms:created xsi:type="dcterms:W3CDTF">2018-10-29T18:28:00Z</dcterms:created>
  <dcterms:modified xsi:type="dcterms:W3CDTF">2018-11-22T10:17:00Z</dcterms:modified>
  <cp:category/>
</cp:coreProperties>
</file>