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4.9 — Dicionário operacional dos parâmetros numéricos dos modelos avaliados</w:t>
        <w:tab/>
      </w:r>
      <w:r>
        <w:t>57</w:t>
      </w:r>
    </w:p>
    <w:p>
      <w:pPr>
        <w:pStyle w:val="ndice1"/>
        <w:tabs>
          <w:tab w:val="right" w:leader="dot" w:pos="8204"/>
        </w:tabs>
      </w:pPr>
      <w:r>
        <w:t>Tabela 4.10 — Percurso numérico do vector antropométrico até às malhas do Flexy Beast</w:t>
        <w:tab/>
      </w:r>
      <w:r>
        <w:t>60</w:t>
      </w:r>
    </w:p>
    <w:p>
      <w:pPr>
        <w:pStyle w:val="ndice1"/>
        <w:tabs>
          <w:tab w:val="right" w:leader="dot" w:pos="8204"/>
        </w:tabs>
      </w:pPr>
      <w:r>
        <w:t>Tabela 5.1 — Fluxo de dados e responsabilidades da plataforma</w:t>
        <w:tab/>
      </w:r>
      <w:r>
        <w:t>63</w:t>
      </w:r>
    </w:p>
    <w:p>
      <w:pPr>
        <w:pStyle w:val="ndice1"/>
        <w:tabs>
          <w:tab w:val="right" w:leader="dot" w:pos="8204"/>
        </w:tabs>
      </w:pPr>
      <w:r>
        <w:t>Tabela 5.2 — Inventário consolidado dos modelos no fecho do estudo</w:t>
        <w:tab/>
      </w:r>
      <w:r>
        <w:t>71</w:t>
      </w:r>
    </w:p>
    <w:p>
      <w:pPr>
        <w:pStyle w:val="ndice1"/>
        <w:tabs>
          <w:tab w:val="right" w:leader="dot" w:pos="8204"/>
        </w:tabs>
      </w:pPr>
      <w:r>
        <w:t>Tabela 6.1 — Especificação técnica dos modelos de IA e do contrato de sugestão paramétrica</w:t>
        <w:tab/>
      </w:r>
      <w:r>
        <w:t>77</w:t>
      </w:r>
    </w:p>
    <w:p>
      <w:pPr>
        <w:pStyle w:val="ndice1"/>
        <w:tabs>
          <w:tab w:val="right" w:leader="dot" w:pos="8204"/>
        </w:tabs>
      </w:pPr>
      <w:r>
        <w:t>Tabela 6.2 — Distribuição de tarefas entre regras, IA e supervisão humana</w:t>
        <w:tab/>
      </w:r>
      <w:r>
        <w:t>79</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90</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98</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Arquitectura da plataforma e fronteiras entre navegador, servidor, serviço externo de IA e preparação do fabrico.</w:t>
        <w:tab/>
      </w:r>
      <w:r>
        <w:t>63</w:t>
      </w:r>
    </w:p>
    <w:p>
      <w:pPr>
        <w:pStyle w:val="ndice1"/>
        <w:tabs>
          <w:tab w:val="right" w:leader="dot" w:pos="8204"/>
        </w:tabs>
      </w:pPr>
      <w:r>
        <w:t>Figura 5.3 — Sequência de dados e decisões desde o perfil ou descrição até à sugestão, confirmação, geração determinística e exportação.</w:t>
        <w:tab/>
      </w:r>
      <w:r>
        <w:t>64</w:t>
      </w:r>
    </w:p>
    <w:p>
      <w:pPr>
        <w:pStyle w:val="ndice1"/>
        <w:tabs>
          <w:tab w:val="right" w:leader="dot" w:pos="8204"/>
        </w:tabs>
      </w:pPr>
      <w:r>
        <w:t>Figura 5.4 — Fluxo geral de produção personalizada de próteses a partir de digitalização, CAD adaptativo e fabrico aditivo.</w:t>
        <w:tab/>
      </w:r>
      <w:r>
        <w:t>65</w:t>
      </w:r>
    </w:p>
    <w:p>
      <w:pPr>
        <w:pStyle w:val="ndice1"/>
        <w:tabs>
          <w:tab w:val="right" w:leader="dot" w:pos="8204"/>
        </w:tabs>
      </w:pPr>
      <w:r>
        <w:t>Figura 5.5 — Ferramenta paramétrica para configuração de ajudas técnicas com variação de dimensões, materiais e peso.</w:t>
        <w:tab/>
      </w:r>
      <w:r>
        <w:t>69</w:t>
      </w:r>
    </w:p>
    <w:p>
      <w:pPr>
        <w:pStyle w:val="ndice1"/>
        <w:tabs>
          <w:tab w:val="right" w:leader="dot" w:pos="8204"/>
        </w:tabs>
      </w:pPr>
      <w:r>
        <w:t>Figura 6.1 — Relação entre desafios de explicabilidade e princípios de IA responsável.</w:t>
        <w:tab/>
      </w:r>
      <w:r>
        <w:t>81</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Segmentos do Flexy Beast produzidos e assentes na plataforma da Bambu Lab A1.</w:t>
        <w:tab/>
      </w:r>
      <w:r>
        <w:t>93</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93</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93</w:t>
      </w:r>
    </w:p>
    <w:p>
      <w:pPr>
        <w:pStyle w:val="ndice1"/>
        <w:tabs>
          <w:tab w:val="right" w:leader="dot" w:pos="8204"/>
        </w:tabs>
      </w:pPr>
      <w:r>
        <w:t>Figura 8.4 — Tarefas funcionais usadas em avaliação de prótese personalizada de membro superior.</w:t>
        <w:tab/>
      </w:r>
      <w:r>
        <w:t>94</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23</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24</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29</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3"/>
        <w:tabs>
          <w:tab w:val="right" w:leader="dot" w:pos="8204"/>
        </w:tabs>
      </w:pPr>
      <w:r>
        <w:t>4.3.4 Dicionário operacional de parâmetros</w:t>
        <w:tab/>
      </w:r>
      <w:r>
        <w:t>57</w:t>
      </w:r>
    </w:p>
    <w:p>
      <w:pPr>
        <w:pStyle w:val="ndice3"/>
        <w:tabs>
          <w:tab w:val="right" w:leader="dot" w:pos="8204"/>
        </w:tabs>
      </w:pPr>
      <w:r>
        <w:t>4.3.5 Exemplo numérico completo: perfil infantil no Flexy Beast</w:t>
        <w:tab/>
      </w:r>
      <w:r>
        <w:t>60</w:t>
      </w:r>
    </w:p>
    <w:p>
      <w:pPr>
        <w:pStyle w:val="ndice2"/>
        <w:tabs>
          <w:tab w:val="right" w:leader="dot" w:pos="8204"/>
        </w:tabs>
      </w:pPr>
      <w:r>
        <w:t>4.4 Iterações, refinamento e discussão intermédia</w:t>
        <w:tab/>
      </w:r>
      <w:r>
        <w:t>58</w:t>
      </w:r>
    </w:p>
    <w:p>
      <w:pPr>
        <w:pStyle w:val="ndice1"/>
        <w:tabs>
          <w:tab w:val="right" w:leader="dot" w:pos="8204"/>
        </w:tabs>
      </w:pPr>
      <w:r>
        <w:t>Capítulo 5 — Plataforma Web e Integração Digital</w:t>
        <w:tab/>
      </w:r>
      <w:r>
        <w:t>61</w:t>
      </w:r>
    </w:p>
    <w:p>
      <w:pPr>
        <w:pStyle w:val="ndice2"/>
        <w:tabs>
          <w:tab w:val="right" w:leader="dot" w:pos="8204"/>
        </w:tabs>
      </w:pPr>
      <w:r>
        <w:t>5.1 Enquadramento conceptual e perfis de utilizador</w:t>
        <w:tab/>
      </w:r>
      <w:r>
        <w:t>61</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66</w:t>
      </w:r>
    </w:p>
    <w:p>
      <w:pPr>
        <w:pStyle w:val="ndice2"/>
        <w:tabs>
          <w:tab w:val="right" w:leader="dot" w:pos="8204"/>
        </w:tabs>
      </w:pPr>
      <w:r>
        <w:t>5.4 Estrutura funcional da plataforma</w:t>
        <w:tab/>
      </w:r>
      <w:r>
        <w:t>68</w:t>
      </w:r>
    </w:p>
    <w:p>
      <w:pPr>
        <w:pStyle w:val="ndice2"/>
        <w:tabs>
          <w:tab w:val="right" w:leader="dot" w:pos="8204"/>
        </w:tabs>
      </w:pPr>
      <w:r>
        <w:t>5.5 Gestão de parâmetros, versões e expansão</w:t>
        <w:tab/>
      </w:r>
      <w:r>
        <w:t>72</w:t>
      </w:r>
    </w:p>
    <w:p>
      <w:pPr>
        <w:pStyle w:val="ndice1"/>
        <w:tabs>
          <w:tab w:val="right" w:leader="dot" w:pos="8204"/>
        </w:tabs>
      </w:pPr>
      <w:r>
        <w:t>Capítulo 6 — Integração da Inteligência Artificial</w:t>
        <w:tab/>
      </w:r>
      <w:r>
        <w:t>75</w:t>
      </w:r>
    </w:p>
    <w:p>
      <w:pPr>
        <w:pStyle w:val="ndice2"/>
        <w:tabs>
          <w:tab w:val="right" w:leader="dot" w:pos="8204"/>
        </w:tabs>
      </w:pPr>
      <w:r>
        <w:t>6.1 Papel da IA no sistema proposto</w:t>
        <w:tab/>
      </w:r>
      <w:r>
        <w:t>75</w:t>
      </w:r>
    </w:p>
    <w:p>
      <w:pPr>
        <w:pStyle w:val="ndice2"/>
        <w:tabs>
          <w:tab w:val="right" w:leader="dot" w:pos="8204"/>
        </w:tabs>
      </w:pPr>
      <w:r>
        <w:t>6.2 IA na parametrização, personalização e apoio à decisão</w:t>
        <w:tab/>
      </w:r>
      <w:r>
        <w:t>76</w:t>
      </w:r>
    </w:p>
    <w:p>
      <w:pPr>
        <w:pStyle w:val="ndice2"/>
        <w:tabs>
          <w:tab w:val="right" w:leader="dot" w:pos="8204"/>
        </w:tabs>
      </w:pPr>
      <w:r>
        <w:t>6.3 Avaliação das sugestões paramétricas apoiadas por IA</w:t>
        <w:tab/>
      </w:r>
      <w:r>
        <w:t>78</w:t>
      </w:r>
    </w:p>
    <w:p>
      <w:pPr>
        <w:pStyle w:val="ndice2"/>
        <w:tabs>
          <w:tab w:val="right" w:leader="dot" w:pos="8204"/>
        </w:tabs>
      </w:pPr>
      <w:r>
        <w:t>6.4 Ajuste, verificação e limitações éticas e técnicas</w:t>
        <w:tab/>
      </w:r>
      <w:r>
        <w:t>80</w:t>
      </w:r>
    </w:p>
    <w:p>
      <w:pPr>
        <w:pStyle w:val="ndice1"/>
        <w:tabs>
          <w:tab w:val="right" w:leader="dot" w:pos="8204"/>
        </w:tabs>
      </w:pPr>
      <w:r>
        <w:t>Capítulo 7 — Princípios de Interface e Decisões de Interacção</w:t>
        <w:tab/>
      </w:r>
      <w:r>
        <w:t>82</w:t>
      </w:r>
    </w:p>
    <w:p>
      <w:pPr>
        <w:pStyle w:val="ndice2"/>
        <w:tabs>
          <w:tab w:val="right" w:leader="dot" w:pos="8204"/>
        </w:tabs>
      </w:pPr>
      <w:r>
        <w:t>7.1 Estratégia de interacção e decisões de UI/UX</w:t>
        <w:tab/>
      </w:r>
      <w:r>
        <w:t>82</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100</w:t>
      </w:r>
    </w:p>
    <w:p>
      <w:pPr>
        <w:pStyle w:val="ndice2"/>
        <w:tabs>
          <w:tab w:val="right" w:leader="dot" w:pos="8204"/>
        </w:tabs>
      </w:pPr>
      <w:r>
        <w:t>9.1 Resposta ao problema e às perguntas de investigação</w:t>
        <w:tab/>
      </w:r>
      <w:r>
        <w:t>100</w:t>
      </w:r>
    </w:p>
    <w:p>
      <w:pPr>
        <w:pStyle w:val="ndice2"/>
        <w:tabs>
          <w:tab w:val="right" w:leader="dot" w:pos="8204"/>
        </w:tabs>
      </w:pPr>
      <w:r>
        <w:t>9.2 Contributos da investigação</w:t>
        <w:tab/>
      </w:r>
      <w:r>
        <w:t>100</w:t>
      </w:r>
    </w:p>
    <w:p>
      <w:pPr>
        <w:pStyle w:val="ndice2"/>
        <w:tabs>
          <w:tab w:val="right" w:leader="dot" w:pos="8204"/>
        </w:tabs>
      </w:pPr>
      <w:r>
        <w:t>9.3 Limitações</w:t>
        <w:tab/>
      </w:r>
      <w:r>
        <w:t>101</w:t>
      </w:r>
    </w:p>
    <w:p>
      <w:pPr>
        <w:pStyle w:val="ndice2"/>
        <w:tabs>
          <w:tab w:val="right" w:leader="dot" w:pos="8204"/>
        </w:tabs>
      </w:pPr>
      <w:r>
        <w:t>9.4 Trabalho futuro</w:t>
        <w:tab/>
      </w:r>
      <w:r>
        <w:t>101</w:t>
      </w:r>
    </w:p>
    <w:p>
      <w:pPr>
        <w:pStyle w:val="ndice1"/>
        <w:tabs>
          <w:tab w:val="right" w:leader="dot" w:pos="8204"/>
        </w:tabs>
      </w:pPr>
      <w:r>
        <w:t>Referências Bibliográficas</w:t>
        <w:tab/>
      </w:r>
      <w:r>
        <w:t>103</w:t>
      </w:r>
    </w:p>
    <w:p>
      <w:pPr>
        <w:pStyle w:val="ndice1"/>
        <w:tabs>
          <w:tab w:val="right" w:leader="dot" w:pos="8204"/>
        </w:tabs>
      </w:pPr>
      <w:r>
        <w:t>Anexo A — Metodologia de extracção e codificação de dados antropométricos da mão</w:t>
        <w:tab/>
      </w:r>
      <w:r>
        <w:t>115</w:t>
      </w:r>
    </w:p>
    <w:p>
      <w:pPr>
        <w:pStyle w:val="ndice2"/>
        <w:tabs>
          <w:tab w:val="right" w:leader="dot" w:pos="8204"/>
        </w:tabs>
      </w:pPr>
      <w:r>
        <w:t>A.1 Contexto e Objectivo</w:t>
        <w:tab/>
      </w:r>
      <w:r>
        <w:t>115</w:t>
      </w:r>
    </w:p>
    <w:p>
      <w:pPr>
        <w:pStyle w:val="ndice3"/>
        <w:tabs>
          <w:tab w:val="right" w:leader="dot" w:pos="8204"/>
        </w:tabs>
      </w:pPr>
      <w:r>
        <w:t>A.1.1 Localização, versão e integridade dos ficheiros</w:t>
        <w:tab/>
      </w:r>
      <w:r>
        <w:t>115</w:t>
      </w:r>
    </w:p>
    <w:p>
      <w:pPr>
        <w:pStyle w:val="ndice2"/>
        <w:tabs>
          <w:tab w:val="right" w:leader="dot" w:pos="8204"/>
        </w:tabs>
      </w:pPr>
      <w:r>
        <w:t>A.2 Estratégia de Pesquisa Bibliográfica</w:t>
        <w:tab/>
      </w:r>
      <w:r>
        <w:t>115</w:t>
      </w:r>
    </w:p>
    <w:p>
      <w:pPr>
        <w:pStyle w:val="ndice3"/>
        <w:tabs>
          <w:tab w:val="right" w:leader="dot" w:pos="8204"/>
        </w:tabs>
      </w:pPr>
      <w:r>
        <w:t>A.2.1 Pesquisa bibliográfica orientada</w:t>
        <w:tab/>
      </w:r>
      <w:r>
        <w:t>115</w:t>
      </w:r>
    </w:p>
    <w:p>
      <w:pPr>
        <w:pStyle w:val="ndice3"/>
        <w:tabs>
          <w:tab w:val="right" w:leader="dot" w:pos="8204"/>
        </w:tabs>
      </w:pPr>
      <w:r>
        <w:t>A.2.2 Base ANSUR 1988</w:t>
        <w:tab/>
      </w:r>
      <w:r>
        <w:t>115</w:t>
      </w:r>
    </w:p>
    <w:p>
      <w:pPr>
        <w:pStyle w:val="ndice2"/>
        <w:tabs>
          <w:tab w:val="right" w:leader="dot" w:pos="8204"/>
        </w:tabs>
      </w:pPr>
      <w:r>
        <w:t>A.3 Critérios de Inclusão e Exclusão de Estudos</w:t>
        <w:tab/>
      </w:r>
      <w:r>
        <w:t>115</w:t>
      </w:r>
    </w:p>
    <w:p>
      <w:pPr>
        <w:pStyle w:val="ndice3"/>
        <w:tabs>
          <w:tab w:val="right" w:leader="dot" w:pos="8204"/>
        </w:tabs>
      </w:pPr>
      <w:r>
        <w:t>A.3.1 Critérios de inclusão</w:t>
        <w:tab/>
      </w:r>
      <w:r>
        <w:t>115</w:t>
      </w:r>
    </w:p>
    <w:p>
      <w:pPr>
        <w:pStyle w:val="ndice3"/>
        <w:tabs>
          <w:tab w:val="right" w:leader="dot" w:pos="8204"/>
        </w:tabs>
      </w:pPr>
      <w:r>
        <w:t>A.3.2 Critérios de exclusão</w:t>
        <w:tab/>
      </w:r>
      <w:r>
        <w:t>116</w:t>
      </w:r>
    </w:p>
    <w:p>
      <w:pPr>
        <w:pStyle w:val="ndice2"/>
        <w:tabs>
          <w:tab w:val="right" w:leader="dot" w:pos="8204"/>
        </w:tabs>
      </w:pPr>
      <w:r>
        <w:t>A.4 Processo de Extracção de Dados</w:t>
        <w:tab/>
      </w:r>
      <w:r>
        <w:t>116</w:t>
      </w:r>
    </w:p>
    <w:p>
      <w:pPr>
        <w:pStyle w:val="ndice3"/>
        <w:tabs>
          <w:tab w:val="right" w:leader="dot" w:pos="8204"/>
        </w:tabs>
      </w:pPr>
      <w:r>
        <w:t>A.4.1 Leitura dos PDFs e localização das tabelas</w:t>
        <w:tab/>
      </w:r>
      <w:r>
        <w:t>116</w:t>
      </w:r>
    </w:p>
    <w:p>
      <w:pPr>
        <w:pStyle w:val="ndice3"/>
        <w:tabs>
          <w:tab w:val="right" w:leader="dot" w:pos="8204"/>
        </w:tabs>
      </w:pPr>
      <w:r>
        <w:t>A.4.2 Identificação das unidades e conversão</w:t>
        <w:tab/>
      </w:r>
      <w:r>
        <w:t>116</w:t>
      </w:r>
    </w:p>
    <w:p>
      <w:pPr>
        <w:pStyle w:val="ndice3"/>
        <w:tabs>
          <w:tab w:val="right" w:leader="dot" w:pos="8204"/>
        </w:tabs>
      </w:pPr>
      <w:r>
        <w:t>A.4.3 Decomposição em linhas atómicas</w:t>
        <w:tab/>
      </w:r>
      <w:r>
        <w:t>117</w:t>
      </w:r>
    </w:p>
    <w:p>
      <w:pPr>
        <w:pStyle w:val="ndice3"/>
        <w:tabs>
          <w:tab w:val="right" w:leader="dot" w:pos="8204"/>
        </w:tabs>
      </w:pPr>
      <w:r>
        <w:t>A.4.4 Registo fiel do contexto da medição</w:t>
        <w:tab/>
      </w:r>
      <w:r>
        <w:t>117</w:t>
      </w:r>
    </w:p>
    <w:p>
      <w:pPr>
        <w:pStyle w:val="ndice2"/>
        <w:tabs>
          <w:tab w:val="right" w:leader="dot" w:pos="8204"/>
        </w:tabs>
      </w:pPr>
      <w:r>
        <w:t>A.5 Decisões por Estudo</w:t>
        <w:tab/>
      </w:r>
      <w:r>
        <w:t>117</w:t>
      </w:r>
    </w:p>
    <w:p>
      <w:pPr>
        <w:pStyle w:val="ndice3"/>
        <w:tabs>
          <w:tab w:val="right" w:leader="dot" w:pos="8204"/>
        </w:tabs>
      </w:pPr>
      <w:r>
        <w:t>A.5.1 ANSUR 1988 — EUA, militares (Gordon et al., 1989)</w:t>
        <w:tab/>
      </w:r>
      <w:r>
        <w:t>117</w:t>
      </w:r>
    </w:p>
    <w:p>
      <w:pPr>
        <w:pStyle w:val="ndice3"/>
        <w:tabs>
          <w:tab w:val="right" w:leader="dot" w:pos="8204"/>
        </w:tabs>
      </w:pPr>
      <w:r>
        <w:t>A.5.2 Turquia — jovens adultos (Chatzioglou et al., 2024)</w:t>
        <w:tab/>
      </w:r>
      <w:r>
        <w:t>118</w:t>
      </w:r>
    </w:p>
    <w:p>
      <w:pPr>
        <w:pStyle w:val="ndice3"/>
        <w:tabs>
          <w:tab w:val="right" w:leader="dot" w:pos="8204"/>
        </w:tabs>
      </w:pPr>
      <w:r>
        <w:t>A.5.3 México — população geral (Rodríguez-Vega &amp; Rodríguez-Vega, 2024)</w:t>
        <w:tab/>
      </w:r>
      <w:r>
        <w:t>118</w:t>
      </w:r>
    </w:p>
    <w:p>
      <w:pPr>
        <w:pStyle w:val="ndice3"/>
        <w:tabs>
          <w:tab w:val="right" w:leader="dot" w:pos="8204"/>
        </w:tabs>
      </w:pPr>
      <w:r>
        <w:t>A.5.4 Índia — mulheres trabalhadoras (Nag et al., 2003)</w:t>
        <w:tab/>
      </w:r>
      <w:r>
        <w:t>118</w:t>
      </w:r>
    </w:p>
    <w:p>
      <w:pPr>
        <w:pStyle w:val="ndice3"/>
        <w:tabs>
          <w:tab w:val="right" w:leader="dot" w:pos="8204"/>
        </w:tabs>
      </w:pPr>
      <w:r>
        <w:t>A.5.5 Portugal — trabalhadores industriais (Anacleto Filho et al., 2023)</w:t>
        <w:tab/>
      </w:r>
      <w:r>
        <w:t>118</w:t>
      </w:r>
    </w:p>
    <w:p>
      <w:pPr>
        <w:pStyle w:val="ndice3"/>
        <w:tabs>
          <w:tab w:val="right" w:leader="dot" w:pos="8204"/>
        </w:tabs>
      </w:pPr>
      <w:r>
        <w:t>A.5.6 Nigéria — atletas universitários (Ibiwari et al., 2025)</w:t>
        <w:tab/>
      </w:r>
      <w:r>
        <w:t>118</w:t>
      </w:r>
    </w:p>
    <w:p>
      <w:pPr>
        <w:pStyle w:val="ndice3"/>
        <w:tabs>
          <w:tab w:val="right" w:leader="dot" w:pos="8204"/>
        </w:tabs>
      </w:pPr>
      <w:r>
        <w:t>A.5.7 Jordânia — trabalhadores com deficiência (Mistarihi, 2020)</w:t>
        <w:tab/>
      </w:r>
      <w:r>
        <w:t>119</w:t>
      </w:r>
    </w:p>
    <w:p>
      <w:pPr>
        <w:pStyle w:val="ndice3"/>
        <w:tabs>
          <w:tab w:val="right" w:leader="dot" w:pos="8204"/>
        </w:tabs>
      </w:pPr>
      <w:r>
        <w:t>A.5.8 EUA — dedo indicador (Lim et al., 2018)</w:t>
        <w:tab/>
      </w:r>
      <w:r>
        <w:t>119</w:t>
      </w:r>
    </w:p>
    <w:p>
      <w:pPr>
        <w:pStyle w:val="ndice3"/>
        <w:tabs>
          <w:tab w:val="right" w:leader="dot" w:pos="8204"/>
        </w:tabs>
      </w:pPr>
      <w:r>
        <w:t>A.5.9 Estudo excluído: Moreo (2016)</w:t>
        <w:tab/>
      </w:r>
      <w:r>
        <w:t>119</w:t>
      </w:r>
    </w:p>
    <w:p>
      <w:pPr>
        <w:pStyle w:val="ndice3"/>
        <w:tabs>
          <w:tab w:val="right" w:leader="dot" w:pos="8204"/>
        </w:tabs>
      </w:pPr>
      <w:r>
        <w:t>A.5.10 EUA — militares ANSUR II (Gordon et al., 2015)</w:t>
        <w:tab/>
      </w:r>
      <w:r>
        <w:t>119</w:t>
      </w:r>
    </w:p>
    <w:p>
      <w:pPr>
        <w:pStyle w:val="ndice3"/>
        <w:tabs>
          <w:tab w:val="right" w:leader="dot" w:pos="8204"/>
        </w:tabs>
      </w:pPr>
      <w:r>
        <w:t>A.5.11 Países Baixos — DINED (TU Delft, 1993–2004)</w:t>
        <w:tab/>
      </w:r>
      <w:r>
        <w:t>120</w:t>
      </w:r>
    </w:p>
    <w:p>
      <w:pPr>
        <w:pStyle w:val="ndice3"/>
        <w:tabs>
          <w:tab w:val="right" w:leader="dot" w:pos="8204"/>
        </w:tabs>
      </w:pPr>
      <w:r>
        <w:t>A.5.12 China — idosos de Pequim (Hu et al., 2007)</w:t>
        <w:tab/>
      </w:r>
      <w:r>
        <w:t>120</w:t>
      </w:r>
    </w:p>
    <w:p>
      <w:pPr>
        <w:pStyle w:val="ndice3"/>
        <w:tabs>
          <w:tab w:val="right" w:leader="dot" w:pos="8204"/>
        </w:tabs>
      </w:pPr>
      <w:r>
        <w:t>A.5.13 Estudo excluído: reconstrução corporal 3D a partir de fotografias ortogonais</w:t>
        <w:tab/>
      </w:r>
      <w:r>
        <w:t>121</w:t>
      </w:r>
    </w:p>
    <w:p>
      <w:pPr>
        <w:pStyle w:val="ndice2"/>
        <w:tabs>
          <w:tab w:val="right" w:leader="dot" w:pos="8204"/>
        </w:tabs>
      </w:pPr>
      <w:r>
        <w:t>A.6 Estrutura do CSV e esquema de dados</w:t>
        <w:tab/>
      </w:r>
      <w:r>
        <w:t>121</w:t>
      </w:r>
    </w:p>
    <w:p>
      <w:pPr>
        <w:pStyle w:val="ndice3"/>
        <w:tabs>
          <w:tab w:val="right" w:leader="dot" w:pos="8204"/>
        </w:tabs>
      </w:pPr>
      <w:r>
        <w:t>A.6.1 Campos</w:t>
        <w:tab/>
      </w:r>
      <w:r>
        <w:t>121</w:t>
      </w:r>
    </w:p>
    <w:p>
      <w:pPr>
        <w:pStyle w:val="ndice3"/>
        <w:tabs>
          <w:tab w:val="right" w:leader="dot" w:pos="8204"/>
        </w:tabs>
      </w:pPr>
      <w:r>
        <w:t>A.6.2 Formato longo (long format)</w:t>
        <w:tab/>
      </w:r>
      <w:r>
        <w:t>122</w:t>
      </w:r>
    </w:p>
    <w:p>
      <w:pPr>
        <w:pStyle w:val="ndice2"/>
        <w:tabs>
          <w:tab w:val="right" w:leader="dot" w:pos="8204"/>
        </w:tabs>
      </w:pPr>
      <w:r>
        <w:t>A.7 Controlo de Qualidade dos Dados</w:t>
        <w:tab/>
      </w:r>
      <w:r>
        <w:t>122</w:t>
      </w:r>
    </w:p>
    <w:p>
      <w:pPr>
        <w:pStyle w:val="ndice3"/>
        <w:tabs>
          <w:tab w:val="right" w:leader="dot" w:pos="8204"/>
        </w:tabs>
      </w:pPr>
      <w:r>
        <w:t>A.7.1 Marcação inline de limitações</w:t>
        <w:tab/>
      </w:r>
      <w:r>
        <w:t>122</w:t>
      </w:r>
    </w:p>
    <w:p>
      <w:pPr>
        <w:pStyle w:val="ndice3"/>
        <w:tabs>
          <w:tab w:val="right" w:leader="dot" w:pos="8204"/>
        </w:tabs>
      </w:pPr>
      <w:r>
        <w:t>A.7.2 Verificação de unidades</w:t>
        <w:tab/>
      </w:r>
      <w:r>
        <w:t>122</w:t>
      </w:r>
    </w:p>
    <w:p>
      <w:pPr>
        <w:pStyle w:val="ndice3"/>
        <w:tabs>
          <w:tab w:val="right" w:leader="dot" w:pos="8204"/>
        </w:tabs>
      </w:pPr>
      <w:r>
        <w:t>A.7.3 Ligação à fonte</w:t>
        <w:tab/>
      </w:r>
      <w:r>
        <w:t>123</w:t>
      </w:r>
    </w:p>
    <w:p>
      <w:pPr>
        <w:pStyle w:val="ndice2"/>
        <w:tabs>
          <w:tab w:val="right" w:leader="dot" w:pos="8204"/>
        </w:tabs>
      </w:pPr>
      <w:r>
        <w:t>A.8 Escrita do Código de Geração</w:t>
        <w:tab/>
      </w:r>
      <w:r>
        <w:t>123</w:t>
      </w:r>
    </w:p>
    <w:p>
      <w:pPr>
        <w:pStyle w:val="ndice3"/>
        <w:tabs>
          <w:tab w:val="right" w:leader="dot" w:pos="8204"/>
        </w:tabs>
      </w:pPr>
      <w:r>
        <w:t>A.8.1 Correspondência entre os CSV e os parâmetros da plataforma</w:t>
        <w:tab/>
      </w:r>
      <w:r>
        <w:t>124</w:t>
      </w:r>
    </w:p>
    <w:p>
      <w:pPr>
        <w:pStyle w:val="ndice2"/>
        <w:tabs>
          <w:tab w:val="right" w:leader="dot" w:pos="8204"/>
        </w:tabs>
      </w:pPr>
      <w:r>
        <w:t>A.9 Resultado Final</w:t>
        <w:tab/>
      </w:r>
      <w:r>
        <w:t>124</w:t>
      </w:r>
    </w:p>
    <w:p>
      <w:pPr>
        <w:pStyle w:val="ndice2"/>
        <w:tabs>
          <w:tab w:val="right" w:leader="dot" w:pos="8204"/>
        </w:tabs>
      </w:pPr>
      <w:r>
        <w:t>A.10 Cobertura Global da Base de Dados e Lacunas</w:t>
        <w:tab/>
      </w:r>
      <w:r>
        <w:t>125</w:t>
      </w:r>
    </w:p>
    <w:p>
      <w:pPr>
        <w:pStyle w:val="ndice3"/>
        <w:tabs>
          <w:tab w:val="right" w:leader="dot" w:pos="8204"/>
        </w:tabs>
      </w:pPr>
      <w:r>
        <w:t>A.10.1 O que está coberto</w:t>
        <w:tab/>
      </w:r>
      <w:r>
        <w:t>124</w:t>
      </w:r>
    </w:p>
    <w:p>
      <w:pPr>
        <w:pStyle w:val="ndice4"/>
        <w:tabs>
          <w:tab w:val="right" w:leader="dot" w:pos="8204"/>
        </w:tabs>
      </w:pPr>
      <w:r>
        <w:t>A.10.1.1 Cobertura geográfica</w:t>
        <w:tab/>
      </w:r>
      <w:r>
        <w:t>124</w:t>
      </w:r>
    </w:p>
    <w:p>
      <w:pPr>
        <w:pStyle w:val="ndice4"/>
        <w:tabs>
          <w:tab w:val="right" w:leader="dot" w:pos="8204"/>
        </w:tabs>
      </w:pPr>
      <w:r>
        <w:t>A.10.1.2 Cobertura etária</w:t>
        <w:tab/>
      </w:r>
      <w:r>
        <w:t>124</w:t>
      </w:r>
    </w:p>
    <w:p>
      <w:pPr>
        <w:pStyle w:val="ndice4"/>
        <w:tabs>
          <w:tab w:val="right" w:leader="dot" w:pos="8204"/>
        </w:tabs>
      </w:pPr>
      <w:r>
        <w:t>A.10.1.3 Cobertura estatística</w:t>
        <w:tab/>
      </w:r>
      <w:r>
        <w:t>125</w:t>
      </w:r>
    </w:p>
    <w:p>
      <w:pPr>
        <w:pStyle w:val="ndice3"/>
        <w:tabs>
          <w:tab w:val="right" w:leader="dot" w:pos="8204"/>
        </w:tabs>
      </w:pPr>
      <w:r>
        <w:t>A.10.2 Onde a cobertura falha</w:t>
        <w:tab/>
      </w:r>
      <w:r>
        <w:t>125</w:t>
      </w:r>
    </w:p>
    <w:p>
      <w:pPr>
        <w:pStyle w:val="ndice4"/>
        <w:tabs>
          <w:tab w:val="right" w:leader="dot" w:pos="8204"/>
        </w:tabs>
      </w:pPr>
      <w:r>
        <w:t>A.10.2.1 Lacunas geográficas</w:t>
        <w:tab/>
      </w:r>
      <w:r>
        <w:t>125</w:t>
      </w:r>
    </w:p>
    <w:p>
      <w:pPr>
        <w:pStyle w:val="ndice4"/>
        <w:tabs>
          <w:tab w:val="right" w:leader="dot" w:pos="8204"/>
        </w:tabs>
      </w:pPr>
      <w:r>
        <w:t>A.10.2.2 Lacunas demográficas</w:t>
        <w:tab/>
      </w:r>
      <w:r>
        <w:t>126</w:t>
      </w:r>
    </w:p>
    <w:p>
      <w:pPr>
        <w:pStyle w:val="ndice4"/>
        <w:tabs>
          <w:tab w:val="right" w:leader="dot" w:pos="8204"/>
        </w:tabs>
      </w:pPr>
      <w:r>
        <w:t>A.10.2.3 Limitações qualitativas dos dados existentes</w:t>
        <w:tab/>
      </w:r>
      <w:r>
        <w:t>126</w:t>
      </w:r>
    </w:p>
    <w:p>
      <w:pPr>
        <w:pStyle w:val="ndice3"/>
        <w:tabs>
          <w:tab w:val="right" w:leader="dot" w:pos="8204"/>
        </w:tabs>
      </w:pPr>
      <w:r>
        <w:t>A.10.3 Frentes identificadas para expansão futura</w:t>
        <w:tab/>
      </w:r>
      <w:r>
        <w:t>126</w:t>
      </w:r>
    </w:p>
    <w:p>
      <w:pPr>
        <w:pStyle w:val="ndice4"/>
        <w:tabs>
          <w:tab w:val="right" w:leader="dot" w:pos="8204"/>
        </w:tabs>
      </w:pPr>
      <w:r>
        <w:t>A.10.3.1 Prioridade alta</w:t>
        <w:tab/>
      </w:r>
      <w:r>
        <w:t>126</w:t>
      </w:r>
    </w:p>
    <w:p>
      <w:pPr>
        <w:pStyle w:val="ndice4"/>
        <w:tabs>
          <w:tab w:val="right" w:leader="dot" w:pos="8204"/>
        </w:tabs>
      </w:pPr>
      <w:r>
        <w:t>A.10.3.2 Prioridade média</w:t>
        <w:tab/>
      </w:r>
      <w:r>
        <w:t>127</w:t>
      </w:r>
    </w:p>
    <w:p>
      <w:pPr>
        <w:pStyle w:val="ndice4"/>
        <w:tabs>
          <w:tab w:val="right" w:leader="dot" w:pos="8204"/>
        </w:tabs>
      </w:pPr>
      <w:r>
        <w:t>A.10.3.3 Pertinência directa para o tema da tese</w:t>
        <w:tab/>
      </w:r>
      <w:r>
        <w:t>127</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O projecto parte do design industrial como campo de prática e investigação capaz de mediar inovação tecnológica, requisitos de fabrico e experiência humana. Esta perspectiva relaciona-se com os designerly ways of knowing, que reconhecem modos próprios de formular problemas e produzir conhecimento através da experimentação material, da geração de alternativas e da articulação de exigências técnicas e humanas (Cross, 1982). Nesta dissertação, essa mediação é examinada na tradução entre fontes antropométricas, parâmetros editáveis, regras geométricas, mensagens da interface e peças fabricadas.</w:t>
      </w:r>
    </w:p>
    <w:p>
      <w:pPr>
        <w:pStyle w:val="TextoNormal-IPCA"/>
      </w:pPr>
      <w:r>
        <w:t>O contributo de investigação decorre da explicitação dessas traduções e das falhas encontradas durante o desenvolvimento. O trabalho não demonstra desempenho clínico do dispositivo nem efeitos na experiência de pessoas amputadas. A dimensão humana é tratada como requisito e limite ético, com base na literatura, e permanece como matéria de estudo posterior com participantes.</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Existem dois projectos Bambu Lab A1, para Flexy Beast e UnLimbited Phoenix, gerados no Bambu Studio 1.10.02.76, e um projecto Prusa MINI para Paraglider Hand, gerado no PrusaSlicer 2.8.1. Os dois projectos Bambu registam camada de 0,24 mm, duas paredes, 15% de enchimento em grelha, suporte em árvore automático e aba de 5 mm. O projecto Prusa regista camada de 0,20 mm, duas paredes, 15% de enchimento em grelha, PLA, bico de 0,4 mm, mesa a 60 °C e suporte desactivado. Os parâmetros comparáveis foram mantidos nas restantes impressões, segundo o registo do projecto, embora não exista um ficheiro de configuração individual para cada peça produzida.</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2050"/>
        <w:gridCol w:w="650"/>
        <w:gridCol w:w="1450"/>
        <w:gridCol w:w="3250"/>
      </w:tblGrid>
      <w:tr>
        <w:trPr>
          <w:tblHeader/>
          <w:cantSplit/>
        </w:trPr>
        <w:tc>
          <w:tcPr>
            <w:tcW w:w="1700" w:type="dxa"/>
          </w:tcPr>
          <w:p>
            <w:pPr>
              <w:spacing w:before="0" w:after="0" w:line="220" w:lineRule="auto"/>
            </w:pPr>
            <w:r>
              <w:rPr>
                <w:b/>
                <w:sz w:val="14"/>
                <w:szCs w:val="14"/>
              </w:rPr>
              <w:t>Modelo e parâmetro</w:t>
            </w:r>
          </w:p>
        </w:tc>
        <w:tc>
          <w:tcPr>
            <w:tcW w:w="2050" w:type="dxa"/>
          </w:tcPr>
          <w:p>
            <w:pPr>
              <w:spacing w:before="0" w:after="0" w:line="220" w:lineRule="auto"/>
            </w:pPr>
            <w:r>
              <w:rPr>
                <w:b/>
                <w:sz w:val="14"/>
                <w:szCs w:val="14"/>
              </w:rPr>
              <w:t>Significado e origem</w:t>
            </w:r>
          </w:p>
        </w:tc>
        <w:tc>
          <w:tcPr>
            <w:tcW w:w="650" w:type="dxa"/>
          </w:tcPr>
          <w:p>
            <w:pPr>
              <w:spacing w:before="0" w:after="0" w:line="220" w:lineRule="auto"/>
            </w:pPr>
            <w:r>
              <w:rPr>
                <w:b/>
                <w:sz w:val="14"/>
                <w:szCs w:val="14"/>
              </w:rPr>
              <w:t>Inicial</w:t>
            </w:r>
          </w:p>
        </w:tc>
        <w:tc>
          <w:tcPr>
            <w:tcW w:w="1450" w:type="dxa"/>
          </w:tcPr>
          <w:p>
            <w:pPr>
              <w:spacing w:before="0" w:after="0" w:line="220" w:lineRule="auto"/>
            </w:pPr>
            <w:r>
              <w:rPr>
                <w:b/>
                <w:sz w:val="14"/>
                <w:szCs w:val="14"/>
              </w:rPr>
              <w:t>Intervalo; incremento</w:t>
            </w:r>
          </w:p>
        </w:tc>
        <w:tc>
          <w:tcPr>
            <w:tcW w:w="3250" w:type="dxa"/>
          </w:tcPr>
          <w:p>
            <w:pPr>
              <w:spacing w:before="0" w:after="0" w:line="220" w:lineRule="auto"/>
            </w:pPr>
            <w:r>
              <w:rPr>
                <w:b/>
                <w:sz w:val="14"/>
                <w:szCs w:val="14"/>
              </w:rPr>
              <w:t>Regra ou efeito geométrico</w:t>
            </w:r>
          </w:p>
        </w:tc>
      </w:tr>
      <w:tr>
        <w:trPr>
          <w:cantSplit/>
        </w:trPr>
        <w:tc>
          <w:tcPr>
            <w:tcW w:w="1700" w:type="dxa"/>
          </w:tcPr>
          <w:p>
            <w:pPr>
              <w:spacing w:before="0" w:after="0" w:line="220" w:lineRule="auto"/>
            </w:pPr>
            <w:r>
              <w:rPr>
                <w:sz w:val="14"/>
                <w:szCs w:val="14"/>
              </w:rPr>
              <w:t>Flexy Beast — palm_breadth_mm</w:t>
            </w:r>
          </w:p>
        </w:tc>
        <w:tc>
          <w:tcPr>
            <w:tcW w:w="2050" w:type="dxa"/>
          </w:tcPr>
          <w:p>
            <w:pPr>
              <w:spacing w:before="0" w:after="0" w:line="220" w:lineRule="auto"/>
            </w:pPr>
            <w:r>
              <w:rPr>
                <w:sz w:val="14"/>
                <w:szCs w:val="14"/>
              </w:rPr>
              <w:t>Largura metacarpal; palm.width_mm</w:t>
            </w:r>
          </w:p>
        </w:tc>
        <w:tc>
          <w:tcPr>
            <w:tcW w:w="650" w:type="dxa"/>
          </w:tcPr>
          <w:p>
            <w:pPr>
              <w:spacing w:before="0" w:after="0" w:line="220" w:lineRule="auto"/>
            </w:pPr>
            <w:r>
              <w:rPr>
                <w:sz w:val="14"/>
                <w:szCs w:val="14"/>
              </w:rPr>
              <w:t>83</w:t>
            </w:r>
          </w:p>
        </w:tc>
        <w:tc>
          <w:tcPr>
            <w:tcW w:w="1450" w:type="dxa"/>
          </w:tcPr>
          <w:p>
            <w:pPr>
              <w:spacing w:before="0" w:after="0" w:line="220" w:lineRule="auto"/>
            </w:pPr>
            <w:r>
              <w:rPr>
                <w:sz w:val="14"/>
                <w:szCs w:val="14"/>
              </w:rPr>
              <w:t>55–110; 1</w:t>
            </w:r>
          </w:p>
        </w:tc>
        <w:tc>
          <w:tcPr>
            <w:tcW w:w="3250" w:type="dxa"/>
          </w:tcPr>
          <w:p>
            <w:pPr>
              <w:spacing w:before="0" w:after="0" w:line="220" w:lineRule="auto"/>
            </w:pPr>
            <w:r>
              <w:rPr>
                <w:sz w:val="14"/>
                <w:szCs w:val="14"/>
              </w:rPr>
              <w:t>Escala uniforme: xScaleFactor = (valor + 5) / 55</w:t>
            </w:r>
          </w:p>
        </w:tc>
      </w:tr>
      <w:tr>
        <w:trPr>
          <w:cantSplit/>
        </w:trPr>
        <w:tc>
          <w:tcPr>
            <w:tcW w:w="1700" w:type="dxa"/>
          </w:tcPr>
          <w:p>
            <w:pPr>
              <w:spacing w:before="0" w:after="0" w:line="220" w:lineRule="auto"/>
            </w:pPr>
            <w:r>
              <w:rPr>
                <w:sz w:val="14"/>
                <w:szCs w:val="14"/>
              </w:rPr>
              <w:t>Flexy Beast — middle_finger_length_mm</w:t>
            </w:r>
          </w:p>
        </w:tc>
        <w:tc>
          <w:tcPr>
            <w:tcW w:w="2050" w:type="dxa"/>
          </w:tcPr>
          <w:p>
            <w:pPr>
              <w:spacing w:before="0" w:after="0" w:line="220" w:lineRule="auto"/>
            </w:pPr>
            <w:r>
              <w:rPr>
                <w:sz w:val="14"/>
                <w:szCs w:val="14"/>
              </w:rPr>
              <w:t>Dobra MCP à ponta do dedo médio; digits.middle.total_length_mm</w:t>
            </w:r>
          </w:p>
        </w:tc>
        <w:tc>
          <w:tcPr>
            <w:tcW w:w="650" w:type="dxa"/>
          </w:tcPr>
          <w:p>
            <w:pPr>
              <w:spacing w:before="0" w:after="0" w:line="220" w:lineRule="auto"/>
            </w:pPr>
            <w:r>
              <w:rPr>
                <w:sz w:val="14"/>
                <w:szCs w:val="14"/>
              </w:rPr>
              <w:t>72</w:t>
            </w:r>
          </w:p>
        </w:tc>
        <w:tc>
          <w:tcPr>
            <w:tcW w:w="1450" w:type="dxa"/>
          </w:tcPr>
          <w:p>
            <w:pPr>
              <w:spacing w:before="0" w:after="0" w:line="220" w:lineRule="auto"/>
            </w:pPr>
            <w:r>
              <w:rPr>
                <w:sz w:val="14"/>
                <w:szCs w:val="14"/>
              </w:rPr>
              <w:t>40–120; 1</w:t>
            </w:r>
          </w:p>
        </w:tc>
        <w:tc>
          <w:tcPr>
            <w:tcW w:w="3250" w:type="dxa"/>
          </w:tcPr>
          <w:p>
            <w:pPr>
              <w:spacing w:before="0" w:after="0" w:line="220" w:lineRule="auto"/>
            </w:pPr>
            <w:r>
              <w:rPr>
                <w:sz w:val="14"/>
                <w:szCs w:val="14"/>
              </w:rPr>
              <w:t>Comprimento mestre: fingerLength = valor / (37 × xScaleFactor)</w:t>
            </w:r>
          </w:p>
        </w:tc>
      </w:tr>
      <w:tr>
        <w:trPr>
          <w:cantSplit/>
        </w:trPr>
        <w:tc>
          <w:tcPr>
            <w:tcW w:w="1700" w:type="dxa"/>
          </w:tcPr>
          <w:p>
            <w:pPr>
              <w:spacing w:before="0" w:after="0" w:line="220" w:lineRule="auto"/>
            </w:pPr>
            <w:r>
              <w:rPr>
                <w:sz w:val="14"/>
                <w:szCs w:val="14"/>
              </w:rPr>
              <w:t>Flexy Beast — index_finger_length_mm; ring_finger_length_mm</w:t>
            </w:r>
          </w:p>
        </w:tc>
        <w:tc>
          <w:tcPr>
            <w:tcW w:w="2050" w:type="dxa"/>
          </w:tcPr>
          <w:p>
            <w:pPr>
              <w:spacing w:before="0" w:after="0" w:line="220" w:lineRule="auto"/>
            </w:pPr>
            <w:r>
              <w:rPr>
                <w:sz w:val="14"/>
                <w:szCs w:val="14"/>
              </w:rPr>
              <w:t>Comprimento total do indicador e anelar</w:t>
            </w:r>
          </w:p>
        </w:tc>
        <w:tc>
          <w:tcPr>
            <w:tcW w:w="650" w:type="dxa"/>
          </w:tcPr>
          <w:p>
            <w:pPr>
              <w:spacing w:before="0" w:after="0" w:line="220" w:lineRule="auto"/>
            </w:pPr>
            <w:r>
              <w:rPr>
                <w:sz w:val="14"/>
                <w:szCs w:val="14"/>
              </w:rPr>
              <w:t>68; 68</w:t>
            </w:r>
          </w:p>
        </w:tc>
        <w:tc>
          <w:tcPr>
            <w:tcW w:w="1450" w:type="dxa"/>
          </w:tcPr>
          <w:p>
            <w:pPr>
              <w:spacing w:before="0" w:after="0" w:line="220" w:lineRule="auto"/>
            </w:pPr>
            <w:r>
              <w:rPr>
                <w:sz w:val="14"/>
                <w:szCs w:val="14"/>
              </w:rPr>
              <w:t>40–120; 1</w:t>
            </w:r>
          </w:p>
        </w:tc>
        <w:tc>
          <w:tcPr>
            <w:tcW w:w="3250" w:type="dxa"/>
          </w:tcPr>
          <w:p>
            <w:pPr>
              <w:spacing w:before="0" w:after="0" w:line="220" w:lineRule="auto"/>
            </w:pPr>
            <w:r>
              <w:rPr>
                <w:sz w:val="14"/>
                <w:szCs w:val="14"/>
              </w:rPr>
              <w:t>Proporção de cada dedo relativamente ao médio</w:t>
            </w:r>
          </w:p>
        </w:tc>
      </w:tr>
      <w:tr>
        <w:trPr>
          <w:cantSplit/>
        </w:trPr>
        <w:tc>
          <w:tcPr>
            <w:tcW w:w="1700" w:type="dxa"/>
          </w:tcPr>
          <w:p>
            <w:pPr>
              <w:spacing w:before="0" w:after="0" w:line="220" w:lineRule="auto"/>
            </w:pPr>
            <w:r>
              <w:rPr>
                <w:sz w:val="14"/>
                <w:szCs w:val="14"/>
              </w:rPr>
              <w:t>Flexy Beast — pinky_finger_length_mm; thumb_length_mm</w:t>
            </w:r>
          </w:p>
        </w:tc>
        <w:tc>
          <w:tcPr>
            <w:tcW w:w="2050" w:type="dxa"/>
          </w:tcPr>
          <w:p>
            <w:pPr>
              <w:spacing w:before="0" w:after="0" w:line="220" w:lineRule="auto"/>
            </w:pPr>
            <w:r>
              <w:rPr>
                <w:sz w:val="14"/>
                <w:szCs w:val="14"/>
              </w:rPr>
              <w:t>Comprimento total do mindinho e polegar</w:t>
            </w:r>
          </w:p>
        </w:tc>
        <w:tc>
          <w:tcPr>
            <w:tcW w:w="650" w:type="dxa"/>
          </w:tcPr>
          <w:p>
            <w:pPr>
              <w:spacing w:before="0" w:after="0" w:line="220" w:lineRule="auto"/>
            </w:pPr>
            <w:r>
              <w:rPr>
                <w:sz w:val="14"/>
                <w:szCs w:val="14"/>
              </w:rPr>
              <w:t>55; 65</w:t>
            </w:r>
          </w:p>
        </w:tc>
        <w:tc>
          <w:tcPr>
            <w:tcW w:w="1450" w:type="dxa"/>
          </w:tcPr>
          <w:p>
            <w:pPr>
              <w:spacing w:before="0" w:after="0" w:line="220" w:lineRule="auto"/>
            </w:pPr>
            <w:r>
              <w:rPr>
                <w:sz w:val="14"/>
                <w:szCs w:val="14"/>
              </w:rPr>
              <w:t>30–100; 1; 35–100; 1</w:t>
            </w:r>
          </w:p>
        </w:tc>
        <w:tc>
          <w:tcPr>
            <w:tcW w:w="3250" w:type="dxa"/>
          </w:tcPr>
          <w:p>
            <w:pPr>
              <w:spacing w:before="0" w:after="0" w:line="220" w:lineRule="auto"/>
            </w:pPr>
            <w:r>
              <w:rPr>
                <w:sz w:val="14"/>
                <w:szCs w:val="14"/>
              </w:rPr>
              <w:t>Proporção local relativamente ao dedo médio</w:t>
            </w:r>
          </w:p>
        </w:tc>
      </w:tr>
      <w:tr>
        <w:trPr>
          <w:cantSplit/>
        </w:trPr>
        <w:tc>
          <w:tcPr>
            <w:tcW w:w="1700" w:type="dxa"/>
          </w:tcPr>
          <w:p>
            <w:pPr>
              <w:spacing w:before="0" w:after="0" w:line="220" w:lineRule="auto"/>
            </w:pPr>
            <w:r>
              <w:rPr>
                <w:sz w:val="14"/>
                <w:szCs w:val="14"/>
              </w:rPr>
              <w:t>Flexy Beast — joint_dia; joint_thick</w:t>
            </w:r>
          </w:p>
        </w:tc>
        <w:tc>
          <w:tcPr>
            <w:tcW w:w="2050" w:type="dxa"/>
          </w:tcPr>
          <w:p>
            <w:pPr>
              <w:spacing w:before="0" w:after="0" w:line="220" w:lineRule="auto"/>
            </w:pPr>
            <w:r>
              <w:rPr>
                <w:sz w:val="14"/>
                <w:szCs w:val="14"/>
              </w:rPr>
              <w:t>Diâmetro do furo e espessura da ranhura da junta flexível</w:t>
            </w:r>
          </w:p>
        </w:tc>
        <w:tc>
          <w:tcPr>
            <w:tcW w:w="650" w:type="dxa"/>
          </w:tcPr>
          <w:p>
            <w:pPr>
              <w:spacing w:before="0" w:after="0" w:line="220" w:lineRule="auto"/>
            </w:pPr>
            <w:r>
              <w:rPr>
                <w:sz w:val="14"/>
                <w:szCs w:val="14"/>
              </w:rPr>
              <w:t>7; 4</w:t>
            </w:r>
          </w:p>
        </w:tc>
        <w:tc>
          <w:tcPr>
            <w:tcW w:w="1450" w:type="dxa"/>
          </w:tcPr>
          <w:p>
            <w:pPr>
              <w:spacing w:before="0" w:after="0" w:line="220" w:lineRule="auto"/>
            </w:pPr>
            <w:r>
              <w:rPr>
                <w:sz w:val="14"/>
                <w:szCs w:val="14"/>
              </w:rPr>
              <w:t>4–10; 0,5; 1–6; 0,5</w:t>
            </w:r>
          </w:p>
        </w:tc>
        <w:tc>
          <w:tcPr>
            <w:tcW w:w="3250" w:type="dxa"/>
          </w:tcPr>
          <w:p>
            <w:pPr>
              <w:spacing w:before="0" w:after="0" w:line="220" w:lineRule="auto"/>
            </w:pPr>
            <w:r>
              <w:rPr>
                <w:sz w:val="14"/>
                <w:szCs w:val="14"/>
              </w:rPr>
              <w:t>Dimensionam furos, ranhuras e conectores flexíveis; não são medidas corporais</w:t>
            </w:r>
          </w:p>
        </w:tc>
      </w:tr>
      <w:tr>
        <w:trPr>
          <w:cantSplit/>
        </w:trPr>
        <w:tc>
          <w:tcPr>
            <w:tcW w:w="1700" w:type="dxa"/>
          </w:tcPr>
          <w:p>
            <w:pPr>
              <w:spacing w:before="0" w:after="0" w:line="220" w:lineRule="auto"/>
            </w:pPr>
            <w:r>
              <w:rPr>
                <w:sz w:val="14"/>
                <w:szCs w:val="14"/>
              </w:rPr>
              <w:t>Flexy Beast — gauntlet_width_mm; gauntlet_length_mm; gauntlet_wall_mm</w:t>
            </w:r>
          </w:p>
        </w:tc>
        <w:tc>
          <w:tcPr>
            <w:tcW w:w="2050" w:type="dxa"/>
          </w:tcPr>
          <w:p>
            <w:pPr>
              <w:spacing w:before="0" w:after="0" w:line="220" w:lineRule="auto"/>
            </w:pPr>
            <w:r>
              <w:rPr>
                <w:sz w:val="14"/>
                <w:szCs w:val="14"/>
              </w:rPr>
              <w:t>Largura, comprimento e parede da braçadeira</w:t>
            </w:r>
          </w:p>
        </w:tc>
        <w:tc>
          <w:tcPr>
            <w:tcW w:w="650" w:type="dxa"/>
          </w:tcPr>
          <w:p>
            <w:pPr>
              <w:spacing w:before="0" w:after="0" w:line="220" w:lineRule="auto"/>
            </w:pPr>
            <w:r>
              <w:rPr>
                <w:sz w:val="14"/>
                <w:szCs w:val="14"/>
              </w:rPr>
              <w:t>60; 108; 3</w:t>
            </w:r>
          </w:p>
        </w:tc>
        <w:tc>
          <w:tcPr>
            <w:tcW w:w="1450" w:type="dxa"/>
          </w:tcPr>
          <w:p>
            <w:pPr>
              <w:spacing w:before="0" w:after="0" w:line="220" w:lineRule="auto"/>
            </w:pPr>
            <w:r>
              <w:rPr>
                <w:sz w:val="14"/>
                <w:szCs w:val="14"/>
              </w:rPr>
              <w:t>40–90; 1; 70–150; 1; 2–5; 0,5</w:t>
            </w:r>
          </w:p>
        </w:tc>
        <w:tc>
          <w:tcPr>
            <w:tcW w:w="3250" w:type="dxa"/>
          </w:tcPr>
          <w:p>
            <w:pPr>
              <w:spacing w:before="0" w:after="0" w:line="220" w:lineRule="auto"/>
            </w:pPr>
            <w:r>
              <w:rPr>
                <w:sz w:val="14"/>
                <w:szCs w:val="14"/>
              </w:rPr>
              <w:t>Escala e espessura da braçadeira; a largura pode derivar do punho com folga</w:t>
            </w:r>
          </w:p>
        </w:tc>
      </w:tr>
      <w:tr>
        <w:trPr>
          <w:cantSplit/>
        </w:trPr>
        <w:tc>
          <w:tcPr>
            <w:tcW w:w="1700" w:type="dxa"/>
          </w:tcPr>
          <w:p>
            <w:pPr>
              <w:spacing w:before="0" w:after="0" w:line="220" w:lineRule="auto"/>
            </w:pPr>
            <w:r>
              <w:rPr>
                <w:sz w:val="14"/>
                <w:szCs w:val="14"/>
              </w:rPr>
              <w:t>Flexy Beast — gauntlet_pos_adjust; strap_splay_adjust</w:t>
            </w:r>
          </w:p>
        </w:tc>
        <w:tc>
          <w:tcPr>
            <w:tcW w:w="2050" w:type="dxa"/>
          </w:tcPr>
          <w:p>
            <w:pPr>
              <w:spacing w:before="0" w:after="0" w:line="220" w:lineRule="auto"/>
            </w:pPr>
            <w:r>
              <w:rPr>
                <w:sz w:val="14"/>
                <w:szCs w:val="14"/>
              </w:rPr>
              <w:t>Ajuste longitudinal e afastamento das abas</w:t>
            </w:r>
          </w:p>
        </w:tc>
        <w:tc>
          <w:tcPr>
            <w:tcW w:w="650" w:type="dxa"/>
          </w:tcPr>
          <w:p>
            <w:pPr>
              <w:spacing w:before="0" w:after="0" w:line="220" w:lineRule="auto"/>
            </w:pPr>
            <w:r>
              <w:rPr>
                <w:sz w:val="14"/>
                <w:szCs w:val="14"/>
              </w:rPr>
              <w:t>0; 0</w:t>
            </w:r>
          </w:p>
        </w:tc>
        <w:tc>
          <w:tcPr>
            <w:tcW w:w="1450" w:type="dxa"/>
          </w:tcPr>
          <w:p>
            <w:pPr>
              <w:spacing w:before="0" w:after="0" w:line="220" w:lineRule="auto"/>
            </w:pPr>
            <w:r>
              <w:rPr>
                <w:sz w:val="14"/>
                <w:szCs w:val="14"/>
              </w:rPr>
              <w:t>−25–25; 1; −8–8; 0,5</w:t>
            </w:r>
          </w:p>
        </w:tc>
        <w:tc>
          <w:tcPr>
            <w:tcW w:w="3250" w:type="dxa"/>
          </w:tcPr>
          <w:p>
            <w:pPr>
              <w:spacing w:before="0" w:after="0" w:line="220" w:lineRule="auto"/>
            </w:pPr>
            <w:r>
              <w:rPr>
                <w:sz w:val="14"/>
                <w:szCs w:val="14"/>
              </w:rPr>
              <w:t>Correcções locais de posição e compatibilidade; introdução manual</w:t>
            </w:r>
          </w:p>
        </w:tc>
      </w:tr>
      <w:tr>
        <w:trPr>
          <w:cantSplit/>
        </w:trPr>
        <w:tc>
          <w:tcPr>
            <w:tcW w:w="1700" w:type="dxa"/>
          </w:tcPr>
          <w:p>
            <w:pPr>
              <w:spacing w:before="0" w:after="0" w:line="220" w:lineRule="auto"/>
            </w:pPr>
            <w:r>
              <w:rPr>
                <w:sz w:val="14"/>
                <w:szCs w:val="14"/>
              </w:rPr>
              <w:t>Flexy Beast — wrist_pin_dia; wrist_pin_clearance</w:t>
            </w:r>
          </w:p>
        </w:tc>
        <w:tc>
          <w:tcPr>
            <w:tcW w:w="2050" w:type="dxa"/>
          </w:tcPr>
          <w:p>
            <w:pPr>
              <w:spacing w:before="0" w:after="0" w:line="220" w:lineRule="auto"/>
            </w:pPr>
            <w:r>
              <w:rPr>
                <w:sz w:val="14"/>
                <w:szCs w:val="14"/>
              </w:rPr>
              <w:t>Diâmetro do pino do punho e folga de rotação</w:t>
            </w:r>
          </w:p>
        </w:tc>
        <w:tc>
          <w:tcPr>
            <w:tcW w:w="650" w:type="dxa"/>
          </w:tcPr>
          <w:p>
            <w:pPr>
              <w:spacing w:before="0" w:after="0" w:line="220" w:lineRule="auto"/>
            </w:pPr>
            <w:r>
              <w:rPr>
                <w:sz w:val="14"/>
                <w:szCs w:val="14"/>
              </w:rPr>
              <w:t>7; 0,35</w:t>
            </w:r>
          </w:p>
        </w:tc>
        <w:tc>
          <w:tcPr>
            <w:tcW w:w="1450" w:type="dxa"/>
          </w:tcPr>
          <w:p>
            <w:pPr>
              <w:spacing w:before="0" w:after="0" w:line="220" w:lineRule="auto"/>
            </w:pPr>
            <w:r>
              <w:rPr>
                <w:sz w:val="14"/>
                <w:szCs w:val="14"/>
              </w:rPr>
              <w:t>3–8; 0,5; 0,10–0,80; 0,05</w:t>
            </w:r>
          </w:p>
        </w:tc>
        <w:tc>
          <w:tcPr>
            <w:tcW w:w="3250" w:type="dxa"/>
          </w:tcPr>
          <w:p>
            <w:pPr>
              <w:spacing w:before="0" w:after="0" w:line="220" w:lineRule="auto"/>
            </w:pPr>
            <w:r>
              <w:rPr>
                <w:sz w:val="14"/>
                <w:szCs w:val="14"/>
              </w:rPr>
              <w:t>Dimensionam a interface articulada entre palma e braçadeira</w:t>
            </w:r>
          </w:p>
        </w:tc>
      </w:tr>
      <w:tr>
        <w:trPr>
          <w:cantSplit/>
        </w:trPr>
        <w:tc>
          <w:tcPr>
            <w:tcW w:w="1700" w:type="dxa"/>
          </w:tcPr>
          <w:p>
            <w:pPr>
              <w:spacing w:before="0" w:after="0" w:line="220" w:lineRule="auto"/>
            </w:pPr>
            <w:r>
              <w:rPr>
                <w:sz w:val="14"/>
                <w:szCs w:val="14"/>
              </w:rPr>
              <w:t>Paraglider — palm_breadth_mm</w:t>
            </w:r>
          </w:p>
        </w:tc>
        <w:tc>
          <w:tcPr>
            <w:tcW w:w="2050" w:type="dxa"/>
          </w:tcPr>
          <w:p>
            <w:pPr>
              <w:spacing w:before="0" w:after="0" w:line="220" w:lineRule="auto"/>
            </w:pPr>
            <w:r>
              <w:rPr>
                <w:sz w:val="14"/>
                <w:szCs w:val="14"/>
              </w:rPr>
              <w:t>Largura metacarpal; palm.width_mm</w:t>
            </w:r>
          </w:p>
        </w:tc>
        <w:tc>
          <w:tcPr>
            <w:tcW w:w="650" w:type="dxa"/>
          </w:tcPr>
          <w:p>
            <w:pPr>
              <w:spacing w:before="0" w:after="0" w:line="220" w:lineRule="auto"/>
            </w:pPr>
            <w:r>
              <w:rPr>
                <w:sz w:val="14"/>
                <w:szCs w:val="14"/>
              </w:rPr>
              <w:t>83</w:t>
            </w:r>
          </w:p>
        </w:tc>
        <w:tc>
          <w:tcPr>
            <w:tcW w:w="1450" w:type="dxa"/>
          </w:tcPr>
          <w:p>
            <w:pPr>
              <w:spacing w:before="0" w:after="0" w:line="220" w:lineRule="auto"/>
            </w:pPr>
            <w:r>
              <w:rPr>
                <w:sz w:val="14"/>
                <w:szCs w:val="14"/>
              </w:rPr>
              <w:t>55–110; 1</w:t>
            </w:r>
          </w:p>
        </w:tc>
        <w:tc>
          <w:tcPr>
            <w:tcW w:w="3250" w:type="dxa"/>
          </w:tcPr>
          <w:p>
            <w:pPr>
              <w:spacing w:before="0" w:after="0" w:line="220" w:lineRule="auto"/>
            </w:pPr>
            <w:r>
              <w:rPr>
                <w:sz w:val="14"/>
                <w:szCs w:val="14"/>
              </w:rPr>
              <w:t>overall_scale = valor / 66,4; palma escalada uniformemente</w:t>
            </w:r>
          </w:p>
        </w:tc>
      </w:tr>
      <w:tr>
        <w:trPr>
          <w:cantSplit/>
        </w:trPr>
        <w:tc>
          <w:tcPr>
            <w:tcW w:w="1700" w:type="dxa"/>
          </w:tcPr>
          <w:p>
            <w:pPr>
              <w:spacing w:before="0" w:after="0" w:line="220" w:lineRule="auto"/>
            </w:pPr>
            <w:r>
              <w:rPr>
                <w:sz w:val="14"/>
                <w:szCs w:val="14"/>
              </w:rPr>
              <w:t>Paraglider — palm_length_mm; palm_thickness_mm</w:t>
            </w:r>
          </w:p>
        </w:tc>
        <w:tc>
          <w:tcPr>
            <w:tcW w:w="2050" w:type="dxa"/>
          </w:tcPr>
          <w:p>
            <w:pPr>
              <w:spacing w:before="0" w:after="0" w:line="220" w:lineRule="auto"/>
            </w:pPr>
            <w:r>
              <w:rPr>
                <w:sz w:val="14"/>
                <w:szCs w:val="14"/>
              </w:rPr>
              <w:t>Comprimento e espessura da palma</w:t>
            </w:r>
          </w:p>
        </w:tc>
        <w:tc>
          <w:tcPr>
            <w:tcW w:w="650" w:type="dxa"/>
          </w:tcPr>
          <w:p>
            <w:pPr>
              <w:spacing w:before="0" w:after="0" w:line="220" w:lineRule="auto"/>
            </w:pPr>
            <w:r>
              <w:rPr>
                <w:sz w:val="14"/>
                <w:szCs w:val="14"/>
              </w:rPr>
              <w:t>95; 32</w:t>
            </w:r>
          </w:p>
        </w:tc>
        <w:tc>
          <w:tcPr>
            <w:tcW w:w="1450" w:type="dxa"/>
          </w:tcPr>
          <w:p>
            <w:pPr>
              <w:spacing w:before="0" w:after="0" w:line="220" w:lineRule="auto"/>
            </w:pPr>
            <w:r>
              <w:rPr>
                <w:sz w:val="14"/>
                <w:szCs w:val="14"/>
              </w:rPr>
              <w:t>60–140; 1; 18–50; 1</w:t>
            </w:r>
          </w:p>
        </w:tc>
        <w:tc>
          <w:tcPr>
            <w:tcW w:w="3250" w:type="dxa"/>
          </w:tcPr>
          <w:p>
            <w:pPr>
              <w:spacing w:before="0" w:after="0" w:line="220" w:lineRule="auto"/>
            </w:pPr>
            <w:r>
              <w:rPr>
                <w:sz w:val="14"/>
                <w:szCs w:val="14"/>
              </w:rPr>
              <w:t>Informação contextual para a IA; não deforma independentemente a palma</w:t>
            </w:r>
          </w:p>
        </w:tc>
      </w:tr>
      <w:tr>
        <w:trPr>
          <w:cantSplit/>
        </w:trPr>
        <w:tc>
          <w:tcPr>
            <w:tcW w:w="1700" w:type="dxa"/>
          </w:tcPr>
          <w:p>
            <w:pPr>
              <w:spacing w:before="0" w:after="0" w:line="220" w:lineRule="auto"/>
            </w:pPr>
            <w:r>
              <w:rPr>
                <w:sz w:val="14"/>
                <w:szCs w:val="14"/>
              </w:rPr>
              <w:t>Paraglider — index_finger_length_mm; middle_finger_length_mm; ring_finger_length_mm</w:t>
            </w:r>
          </w:p>
        </w:tc>
        <w:tc>
          <w:tcPr>
            <w:tcW w:w="2050" w:type="dxa"/>
          </w:tcPr>
          <w:p>
            <w:pPr>
              <w:spacing w:before="0" w:after="0" w:line="220" w:lineRule="auto"/>
            </w:pPr>
            <w:r>
              <w:rPr>
                <w:sz w:val="14"/>
                <w:szCs w:val="14"/>
              </w:rPr>
              <w:t>Comprimentos totais do indicador, médio e anelar</w:t>
            </w:r>
          </w:p>
        </w:tc>
        <w:tc>
          <w:tcPr>
            <w:tcW w:w="650" w:type="dxa"/>
          </w:tcPr>
          <w:p>
            <w:pPr>
              <w:spacing w:before="0" w:after="0" w:line="220" w:lineRule="auto"/>
            </w:pPr>
            <w:r>
              <w:rPr>
                <w:sz w:val="14"/>
                <w:szCs w:val="14"/>
              </w:rPr>
              <w:t>68; 72; 68</w:t>
            </w:r>
          </w:p>
        </w:tc>
        <w:tc>
          <w:tcPr>
            <w:tcW w:w="1450" w:type="dxa"/>
          </w:tcPr>
          <w:p>
            <w:pPr>
              <w:spacing w:before="0" w:after="0" w:line="220" w:lineRule="auto"/>
            </w:pPr>
            <w:r>
              <w:rPr>
                <w:sz w:val="14"/>
                <w:szCs w:val="14"/>
              </w:rPr>
              <w:t>40–120; 1</w:t>
            </w:r>
          </w:p>
        </w:tc>
        <w:tc>
          <w:tcPr>
            <w:tcW w:w="3250" w:type="dxa"/>
          </w:tcPr>
          <w:p>
            <w:pPr>
              <w:spacing w:before="0" w:after="0" w:line="220" w:lineRule="auto"/>
            </w:pPr>
            <w:r>
              <w:rPr>
                <w:sz w:val="14"/>
                <w:szCs w:val="14"/>
              </w:rPr>
              <w:t>Escalas próprias dos dedos; o médio define a escala-base digital</w:t>
            </w:r>
          </w:p>
        </w:tc>
      </w:tr>
      <w:tr>
        <w:trPr>
          <w:cantSplit/>
        </w:trPr>
        <w:tc>
          <w:tcPr>
            <w:tcW w:w="1700" w:type="dxa"/>
          </w:tcPr>
          <w:p>
            <w:pPr>
              <w:spacing w:before="0" w:after="0" w:line="220" w:lineRule="auto"/>
            </w:pPr>
            <w:r>
              <w:rPr>
                <w:sz w:val="14"/>
                <w:szCs w:val="14"/>
              </w:rPr>
              <w:t>Paraglider — pinky_finger_length_mm; thumb_length_mm</w:t>
            </w:r>
          </w:p>
        </w:tc>
        <w:tc>
          <w:tcPr>
            <w:tcW w:w="2050" w:type="dxa"/>
          </w:tcPr>
          <w:p>
            <w:pPr>
              <w:spacing w:before="0" w:after="0" w:line="220" w:lineRule="auto"/>
            </w:pPr>
            <w:r>
              <w:rPr>
                <w:sz w:val="14"/>
                <w:szCs w:val="14"/>
              </w:rPr>
              <w:t>Comprimentos totais do mindinho e polegar</w:t>
            </w:r>
          </w:p>
        </w:tc>
        <w:tc>
          <w:tcPr>
            <w:tcW w:w="650" w:type="dxa"/>
          </w:tcPr>
          <w:p>
            <w:pPr>
              <w:spacing w:before="0" w:after="0" w:line="220" w:lineRule="auto"/>
            </w:pPr>
            <w:r>
              <w:rPr>
                <w:sz w:val="14"/>
                <w:szCs w:val="14"/>
              </w:rPr>
              <w:t>55; 65</w:t>
            </w:r>
          </w:p>
        </w:tc>
        <w:tc>
          <w:tcPr>
            <w:tcW w:w="1450" w:type="dxa"/>
          </w:tcPr>
          <w:p>
            <w:pPr>
              <w:spacing w:before="0" w:after="0" w:line="220" w:lineRule="auto"/>
            </w:pPr>
            <w:r>
              <w:rPr>
                <w:sz w:val="14"/>
                <w:szCs w:val="14"/>
              </w:rPr>
              <w:t>30–100; 1; 35–100; 1</w:t>
            </w:r>
          </w:p>
        </w:tc>
        <w:tc>
          <w:tcPr>
            <w:tcW w:w="3250" w:type="dxa"/>
          </w:tcPr>
          <w:p>
            <w:pPr>
              <w:spacing w:before="0" w:after="0" w:line="220" w:lineRule="auto"/>
            </w:pPr>
            <w:r>
              <w:rPr>
                <w:sz w:val="14"/>
                <w:szCs w:val="14"/>
              </w:rPr>
              <w:t>O mindinho recebe escala própria; o polegar acompanha a escala-base</w:t>
            </w:r>
          </w:p>
        </w:tc>
      </w:tr>
      <w:tr>
        <w:trPr>
          <w:cantSplit/>
        </w:trPr>
        <w:tc>
          <w:tcPr>
            <w:tcW w:w="1700" w:type="dxa"/>
          </w:tcPr>
          <w:p>
            <w:pPr>
              <w:spacing w:before="0" w:after="0" w:line="220" w:lineRule="auto"/>
            </w:pPr>
            <w:r>
              <w:rPr>
                <w:sz w:val="14"/>
                <w:szCs w:val="14"/>
              </w:rPr>
              <w:t>Paraglider — string_channel_scale; elastic_channel_scale</w:t>
            </w:r>
          </w:p>
        </w:tc>
        <w:tc>
          <w:tcPr>
            <w:tcW w:w="2050" w:type="dxa"/>
          </w:tcPr>
          <w:p>
            <w:pPr>
              <w:spacing w:before="0" w:after="0" w:line="220" w:lineRule="auto"/>
            </w:pPr>
            <w:r>
              <w:rPr>
                <w:sz w:val="14"/>
                <w:szCs w:val="14"/>
              </w:rPr>
              <w:t>Escala relativa dos canais de tracção e de elástico</w:t>
            </w:r>
          </w:p>
        </w:tc>
        <w:tc>
          <w:tcPr>
            <w:tcW w:w="650" w:type="dxa"/>
          </w:tcPr>
          <w:p>
            <w:pPr>
              <w:spacing w:before="0" w:after="0" w:line="220" w:lineRule="auto"/>
            </w:pPr>
            <w:r>
              <w:rPr>
                <w:sz w:val="14"/>
                <w:szCs w:val="14"/>
              </w:rPr>
              <w:t>0,9; 0,9</w:t>
            </w:r>
          </w:p>
        </w:tc>
        <w:tc>
          <w:tcPr>
            <w:tcW w:w="1450" w:type="dxa"/>
          </w:tcPr>
          <w:p>
            <w:pPr>
              <w:spacing w:before="0" w:after="0" w:line="220" w:lineRule="auto"/>
            </w:pPr>
            <w:r>
              <w:rPr>
                <w:sz w:val="14"/>
                <w:szCs w:val="14"/>
              </w:rPr>
              <w:t>0,50–1,00; 0,05; 0,50–1,50; 0,05</w:t>
            </w:r>
          </w:p>
        </w:tc>
        <w:tc>
          <w:tcPr>
            <w:tcW w:w="3250" w:type="dxa"/>
          </w:tcPr>
          <w:p>
            <w:pPr>
              <w:spacing w:before="0" w:after="0" w:line="220" w:lineRule="auto"/>
            </w:pPr>
            <w:r>
              <w:rPr>
                <w:sz w:val="14"/>
                <w:szCs w:val="14"/>
              </w:rPr>
              <w:t>Razões adimensionais aplicadas aos canais mecânicos</w:t>
            </w:r>
          </w:p>
        </w:tc>
      </w:tr>
      <w:tr>
        <w:trPr>
          <w:cantSplit/>
        </w:trPr>
        <w:tc>
          <w:tcPr>
            <w:tcW w:w="1700" w:type="dxa"/>
          </w:tcPr>
          <w:p>
            <w:pPr>
              <w:spacing w:before="0" w:after="0" w:line="220" w:lineRule="auto"/>
            </w:pPr>
            <w:r>
              <w:rPr>
                <w:sz w:val="14"/>
                <w:szCs w:val="14"/>
              </w:rPr>
              <w:t>Paraglider — ARM_HandLen; ARM_ForearmLen; ARM_BicepCircum; ARM_CuffLength</w:t>
            </w:r>
          </w:p>
        </w:tc>
        <w:tc>
          <w:tcPr>
            <w:tcW w:w="2050" w:type="dxa"/>
          </w:tcPr>
          <w:p>
            <w:pPr>
              <w:spacing w:before="0" w:after="0" w:line="220" w:lineRule="auto"/>
            </w:pPr>
            <w:r>
              <w:rPr>
                <w:sz w:val="14"/>
                <w:szCs w:val="14"/>
              </w:rPr>
              <w:t>Mão, antebraço, circunferência do braço e braçadeira</w:t>
            </w:r>
          </w:p>
        </w:tc>
        <w:tc>
          <w:tcPr>
            <w:tcW w:w="650" w:type="dxa"/>
          </w:tcPr>
          <w:p>
            <w:pPr>
              <w:spacing w:before="0" w:after="0" w:line="220" w:lineRule="auto"/>
            </w:pPr>
            <w:r>
              <w:rPr>
                <w:sz w:val="14"/>
                <w:szCs w:val="14"/>
              </w:rPr>
              <w:t>135; 140; 160; 65</w:t>
            </w:r>
          </w:p>
        </w:tc>
        <w:tc>
          <w:tcPr>
            <w:tcW w:w="1450" w:type="dxa"/>
          </w:tcPr>
          <w:p>
            <w:pPr>
              <w:spacing w:before="0" w:after="0" w:line="220" w:lineRule="auto"/>
            </w:pPr>
            <w:r>
              <w:rPr>
                <w:sz w:val="14"/>
                <w:szCs w:val="14"/>
              </w:rPr>
              <w:t>135–230; 120–315; 110–350; 65–90; inc. 1</w:t>
            </w:r>
          </w:p>
        </w:tc>
        <w:tc>
          <w:tcPr>
            <w:tcW w:w="3250" w:type="dxa"/>
          </w:tcPr>
          <w:p>
            <w:pPr>
              <w:spacing w:before="0" w:after="0" w:line="220" w:lineRule="auto"/>
            </w:pPr>
            <w:r>
              <w:rPr>
                <w:sz w:val="14"/>
                <w:szCs w:val="14"/>
              </w:rPr>
              <w:t>Dimensionam a extensão opcional do braço; não entraram na comparação da mão</w:t>
            </w:r>
          </w:p>
        </w:tc>
      </w:tr>
      <w:tr>
        <w:trPr>
          <w:cantSplit/>
        </w:trPr>
        <w:tc>
          <w:tcPr>
            <w:tcW w:w="1700" w:type="dxa"/>
          </w:tcPr>
          <w:p>
            <w:pPr>
              <w:spacing w:before="0" w:after="0" w:line="220" w:lineRule="auto"/>
            </w:pPr>
            <w:r>
              <w:rPr>
                <w:sz w:val="14"/>
                <w:szCs w:val="14"/>
              </w:rPr>
              <w:t>Paraglider — ARM_PinHoleDia</w:t>
            </w:r>
          </w:p>
        </w:tc>
        <w:tc>
          <w:tcPr>
            <w:tcW w:w="2050" w:type="dxa"/>
          </w:tcPr>
          <w:p>
            <w:pPr>
              <w:spacing w:before="0" w:after="0" w:line="220" w:lineRule="auto"/>
            </w:pPr>
            <w:r>
              <w:rPr>
                <w:sz w:val="14"/>
                <w:szCs w:val="14"/>
              </w:rPr>
              <w:t>Diâmetro dos furos das articulações do braço</w:t>
            </w:r>
          </w:p>
        </w:tc>
        <w:tc>
          <w:tcPr>
            <w:tcW w:w="650" w:type="dxa"/>
          </w:tcPr>
          <w:p>
            <w:pPr>
              <w:spacing w:before="0" w:after="0" w:line="220" w:lineRule="auto"/>
            </w:pPr>
            <w:r>
              <w:rPr>
                <w:sz w:val="14"/>
                <w:szCs w:val="14"/>
              </w:rPr>
              <w:t>3</w:t>
            </w:r>
          </w:p>
        </w:tc>
        <w:tc>
          <w:tcPr>
            <w:tcW w:w="1450" w:type="dxa"/>
          </w:tcPr>
          <w:p>
            <w:pPr>
              <w:spacing w:before="0" w:after="0" w:line="220" w:lineRule="auto"/>
            </w:pPr>
            <w:r>
              <w:rPr>
                <w:sz w:val="14"/>
                <w:szCs w:val="14"/>
              </w:rPr>
              <w:t>3–6; 1</w:t>
            </w:r>
          </w:p>
        </w:tc>
        <w:tc>
          <w:tcPr>
            <w:tcW w:w="3250" w:type="dxa"/>
          </w:tcPr>
          <w:p>
            <w:pPr>
              <w:spacing w:before="0" w:after="0" w:line="220" w:lineRule="auto"/>
            </w:pPr>
            <w:r>
              <w:rPr>
                <w:sz w:val="14"/>
                <w:szCs w:val="14"/>
              </w:rPr>
              <w:t>Interface mecânica da extensão opcional do braço</w:t>
            </w:r>
          </w:p>
        </w:tc>
      </w:tr>
      <w:tr>
        <w:trPr>
          <w:cantSplit/>
        </w:trPr>
        <w:tc>
          <w:tcPr>
            <w:tcW w:w="1700" w:type="dxa"/>
          </w:tcPr>
          <w:p>
            <w:pPr>
              <w:spacing w:before="0" w:after="0" w:line="220" w:lineRule="auto"/>
            </w:pPr>
            <w:r>
              <w:rPr>
                <w:sz w:val="14"/>
                <w:szCs w:val="14"/>
              </w:rPr>
              <w:t>UnLimbited Phoenix — palm_breadth_mm</w:t>
            </w:r>
          </w:p>
        </w:tc>
        <w:tc>
          <w:tcPr>
            <w:tcW w:w="2050" w:type="dxa"/>
          </w:tcPr>
          <w:p>
            <w:pPr>
              <w:spacing w:before="0" w:after="0" w:line="220" w:lineRule="auto"/>
            </w:pPr>
            <w:r>
              <w:rPr>
                <w:sz w:val="14"/>
                <w:szCs w:val="14"/>
              </w:rPr>
              <w:t>Largura metacarpal; palm.width_mm</w:t>
            </w:r>
          </w:p>
        </w:tc>
        <w:tc>
          <w:tcPr>
            <w:tcW w:w="650" w:type="dxa"/>
          </w:tcPr>
          <w:p>
            <w:pPr>
              <w:spacing w:before="0" w:after="0" w:line="220" w:lineRule="auto"/>
            </w:pPr>
            <w:r>
              <w:rPr>
                <w:sz w:val="14"/>
                <w:szCs w:val="14"/>
              </w:rPr>
              <w:t>82</w:t>
            </w:r>
          </w:p>
        </w:tc>
        <w:tc>
          <w:tcPr>
            <w:tcW w:w="1450" w:type="dxa"/>
          </w:tcPr>
          <w:p>
            <w:pPr>
              <w:spacing w:before="0" w:after="0" w:line="220" w:lineRule="auto"/>
            </w:pPr>
            <w:r>
              <w:rPr>
                <w:sz w:val="14"/>
                <w:szCs w:val="14"/>
              </w:rPr>
              <w:t>82–131; 1</w:t>
            </w:r>
          </w:p>
        </w:tc>
        <w:tc>
          <w:tcPr>
            <w:tcW w:w="3250" w:type="dxa"/>
          </w:tcPr>
          <w:p>
            <w:pPr>
              <w:spacing w:before="0" w:after="0" w:line="220" w:lineRule="auto"/>
            </w:pPr>
            <w:r>
              <w:rPr>
                <w:sz w:val="14"/>
                <w:szCs w:val="14"/>
              </w:rPr>
              <w:t>HandPerc = valor / 82 × 100, limitado a 100%–160%</w:t>
            </w:r>
          </w:p>
        </w:tc>
      </w:tr>
      <w:tr>
        <w:trPr>
          <w:cantSplit/>
        </w:trPr>
        <w:tc>
          <w:tcPr>
            <w:tcW w:w="1700" w:type="dxa"/>
          </w:tcPr>
          <w:p>
            <w:pPr>
              <w:spacing w:before="0" w:after="0" w:line="220" w:lineRule="auto"/>
            </w:pPr>
            <w:r>
              <w:rPr>
                <w:sz w:val="14"/>
                <w:szCs w:val="14"/>
              </w:rPr>
              <w:t>UnLimbited Phoenix — HandPerc_override</w:t>
            </w:r>
          </w:p>
        </w:tc>
        <w:tc>
          <w:tcPr>
            <w:tcW w:w="2050" w:type="dxa"/>
          </w:tcPr>
          <w:p>
            <w:pPr>
              <w:spacing w:before="0" w:after="0" w:line="220" w:lineRule="auto"/>
            </w:pPr>
            <w:r>
              <w:rPr>
                <w:sz w:val="14"/>
                <w:szCs w:val="14"/>
              </w:rPr>
              <w:t>Substituição manual da percentagem de escala</w:t>
            </w:r>
          </w:p>
        </w:tc>
        <w:tc>
          <w:tcPr>
            <w:tcW w:w="650" w:type="dxa"/>
          </w:tcPr>
          <w:p>
            <w:pPr>
              <w:spacing w:before="0" w:after="0" w:line="220" w:lineRule="auto"/>
            </w:pPr>
            <w:r>
              <w:rPr>
                <w:sz w:val="14"/>
                <w:szCs w:val="14"/>
              </w:rPr>
              <w:t>0</w:t>
            </w:r>
          </w:p>
        </w:tc>
        <w:tc>
          <w:tcPr>
            <w:tcW w:w="1450" w:type="dxa"/>
          </w:tcPr>
          <w:p>
            <w:pPr>
              <w:spacing w:before="0" w:after="0" w:line="220" w:lineRule="auto"/>
            </w:pPr>
            <w:r>
              <w:rPr>
                <w:sz w:val="14"/>
                <w:szCs w:val="14"/>
              </w:rPr>
              <w:t>0–160; 1</w:t>
            </w:r>
          </w:p>
        </w:tc>
        <w:tc>
          <w:tcPr>
            <w:tcW w:w="3250" w:type="dxa"/>
          </w:tcPr>
          <w:p>
            <w:pPr>
              <w:spacing w:before="0" w:after="0" w:line="220" w:lineRule="auto"/>
            </w:pPr>
            <w:r>
              <w:rPr>
                <w:sz w:val="14"/>
                <w:szCs w:val="14"/>
              </w:rPr>
              <w:t>Zero deriva a escala; valores positivos continuam sujeitos ao piso de 100%</w:t>
            </w:r>
          </w:p>
        </w:tc>
      </w:tr>
      <w:tr>
        <w:trPr>
          <w:cantSplit/>
        </w:trPr>
        <w:tc>
          <w:tcPr>
            <w:tcW w:w="1700" w:type="dxa"/>
          </w:tcPr>
          <w:p>
            <w:pPr>
              <w:spacing w:before="0" w:after="0" w:line="220" w:lineRule="auto"/>
            </w:pPr>
            <w:r>
              <w:rPr>
                <w:sz w:val="14"/>
                <w:szCs w:val="14"/>
              </w:rPr>
              <w:t>UnLimbited Phoenix — index_; middle_; ring_; pinky_finger_length_mm</w:t>
            </w:r>
          </w:p>
        </w:tc>
        <w:tc>
          <w:tcPr>
            <w:tcW w:w="2050" w:type="dxa"/>
          </w:tcPr>
          <w:p>
            <w:pPr>
              <w:spacing w:before="0" w:after="0" w:line="220" w:lineRule="auto"/>
            </w:pPr>
            <w:r>
              <w:rPr>
                <w:sz w:val="14"/>
                <w:szCs w:val="14"/>
              </w:rPr>
              <w:t>Comprimentos totais dos quatro dedos</w:t>
            </w:r>
          </w:p>
        </w:tc>
        <w:tc>
          <w:tcPr>
            <w:tcW w:w="650" w:type="dxa"/>
          </w:tcPr>
          <w:p>
            <w:pPr>
              <w:spacing w:before="0" w:after="0" w:line="220" w:lineRule="auto"/>
            </w:pPr>
            <w:r>
              <w:rPr>
                <w:sz w:val="14"/>
                <w:szCs w:val="14"/>
              </w:rPr>
              <w:t>72 cada</w:t>
            </w:r>
          </w:p>
        </w:tc>
        <w:tc>
          <w:tcPr>
            <w:tcW w:w="1450" w:type="dxa"/>
          </w:tcPr>
          <w:p>
            <w:pPr>
              <w:spacing w:before="0" w:after="0" w:line="220" w:lineRule="auto"/>
            </w:pPr>
            <w:r>
              <w:rPr>
                <w:sz w:val="14"/>
                <w:szCs w:val="14"/>
              </w:rPr>
              <w:t>55–115; 1</w:t>
            </w:r>
          </w:p>
        </w:tc>
        <w:tc>
          <w:tcPr>
            <w:tcW w:w="3250" w:type="dxa"/>
          </w:tcPr>
          <w:p>
            <w:pPr>
              <w:spacing w:before="0" w:after="0" w:line="220" w:lineRule="auto"/>
            </w:pPr>
            <w:r>
              <w:rPr>
                <w:sz w:val="14"/>
                <w:szCs w:val="14"/>
              </w:rPr>
              <w:t>Alongamento dos segmentos, preservando a circularidade dos furos</w:t>
            </w:r>
          </w:p>
        </w:tc>
      </w:tr>
      <w:tr>
        <w:trPr>
          <w:cantSplit/>
        </w:trPr>
        <w:tc>
          <w:tcPr>
            <w:tcW w:w="1700" w:type="dxa"/>
          </w:tcPr>
          <w:p>
            <w:pPr>
              <w:spacing w:before="0" w:after="0" w:line="220" w:lineRule="auto"/>
            </w:pPr>
            <w:r>
              <w:rPr>
                <w:sz w:val="14"/>
                <w:szCs w:val="14"/>
              </w:rPr>
              <w:t>UnLimbited Phoenix — index_; middle_; ring_; pinky_base_length_mm</w:t>
            </w:r>
          </w:p>
        </w:tc>
        <w:tc>
          <w:tcPr>
            <w:tcW w:w="2050" w:type="dxa"/>
          </w:tcPr>
          <w:p>
            <w:pPr>
              <w:spacing w:before="0" w:after="0" w:line="220" w:lineRule="auto"/>
            </w:pPr>
            <w:r>
              <w:rPr>
                <w:sz w:val="14"/>
                <w:szCs w:val="14"/>
              </w:rPr>
              <w:t>Comprimentos dos segmentos proximais</w:t>
            </w:r>
          </w:p>
        </w:tc>
        <w:tc>
          <w:tcPr>
            <w:tcW w:w="650" w:type="dxa"/>
          </w:tcPr>
          <w:p>
            <w:pPr>
              <w:spacing w:before="0" w:after="0" w:line="220" w:lineRule="auto"/>
            </w:pPr>
            <w:r>
              <w:rPr>
                <w:sz w:val="14"/>
                <w:szCs w:val="14"/>
              </w:rPr>
              <w:t>31 cada</w:t>
            </w:r>
          </w:p>
        </w:tc>
        <w:tc>
          <w:tcPr>
            <w:tcW w:w="1450" w:type="dxa"/>
          </w:tcPr>
          <w:p>
            <w:pPr>
              <w:spacing w:before="0" w:after="0" w:line="220" w:lineRule="auto"/>
            </w:pPr>
            <w:r>
              <w:rPr>
                <w:sz w:val="14"/>
                <w:szCs w:val="14"/>
              </w:rPr>
              <w:t>18–55; 1</w:t>
            </w:r>
          </w:p>
        </w:tc>
        <w:tc>
          <w:tcPr>
            <w:tcW w:w="3250" w:type="dxa"/>
          </w:tcPr>
          <w:p>
            <w:pPr>
              <w:spacing w:before="0" w:after="0" w:line="220" w:lineRule="auto"/>
            </w:pPr>
            <w:r>
              <w:rPr>
                <w:sz w:val="14"/>
                <w:szCs w:val="14"/>
              </w:rPr>
              <w:t>Divide o comprimento total entre segmento proximal e ponta</w:t>
            </w:r>
          </w:p>
        </w:tc>
      </w:tr>
      <w:tr>
        <w:trPr>
          <w:cantSplit/>
        </w:trPr>
        <w:tc>
          <w:tcPr>
            <w:tcW w:w="1700" w:type="dxa"/>
          </w:tcPr>
          <w:p>
            <w:pPr>
              <w:spacing w:before="0" w:after="0" w:line="220" w:lineRule="auto"/>
            </w:pPr>
            <w:r>
              <w:rPr>
                <w:sz w:val="14"/>
                <w:szCs w:val="14"/>
              </w:rPr>
              <w:t>UnLimbited Phoenix — thumb_length_mm; thumb_base_length_mm</w:t>
            </w:r>
          </w:p>
        </w:tc>
        <w:tc>
          <w:tcPr>
            <w:tcW w:w="2050" w:type="dxa"/>
          </w:tcPr>
          <w:p>
            <w:pPr>
              <w:spacing w:before="0" w:after="0" w:line="220" w:lineRule="auto"/>
            </w:pPr>
            <w:r>
              <w:rPr>
                <w:sz w:val="14"/>
                <w:szCs w:val="14"/>
              </w:rPr>
              <w:t>Comprimento total e proximal do polegar</w:t>
            </w:r>
          </w:p>
        </w:tc>
        <w:tc>
          <w:tcPr>
            <w:tcW w:w="650" w:type="dxa"/>
          </w:tcPr>
          <w:p>
            <w:pPr>
              <w:spacing w:before="0" w:after="0" w:line="220" w:lineRule="auto"/>
            </w:pPr>
            <w:r>
              <w:rPr>
                <w:sz w:val="14"/>
                <w:szCs w:val="14"/>
              </w:rPr>
              <w:t>72; 31</w:t>
            </w:r>
          </w:p>
        </w:tc>
        <w:tc>
          <w:tcPr>
            <w:tcW w:w="1450" w:type="dxa"/>
          </w:tcPr>
          <w:p>
            <w:pPr>
              <w:spacing w:before="0" w:after="0" w:line="220" w:lineRule="auto"/>
            </w:pPr>
            <w:r>
              <w:rPr>
                <w:sz w:val="14"/>
                <w:szCs w:val="14"/>
              </w:rPr>
              <w:t>45–80; 1; 18–50; 1</w:t>
            </w:r>
          </w:p>
        </w:tc>
        <w:tc>
          <w:tcPr>
            <w:tcW w:w="325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rPr>
                <w:sz w:val="15"/>
                <w:szCs w:val="15"/>
              </w:rPr>
              <w:t>Flexy-Beast de daprice; CC BY-SA 4.0</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TextoNormal-IPCA"/>
      </w:pPr>
      <w:r>
        <w:t>Os estudos consultados indicam que, no caso das próteses de membro superior, os métodos computacionais de adaptação e controlo têm incidido sobretudo na interpretação de sinais, na intenção motora e no desempenho operativo do dispositivo. Esta linha de trabalho difere do uso de um modelo de linguagem para sugerir parâmetros iniciais de geometria, que constitui o foco desta plataforma (Cordella et al., 2016; Marinelli et al., 2022; Peerdeman et al., 2011).</w:t>
      </w:r>
    </w:p>
    <w:p>
      <w:pPr>
        <w:pStyle w:val="TextoNormal-IPCA"/>
      </w:pPr>
      <w:r>
        <w:t>Em contrapartida, continuam pouco consolidadas as abordagens que articulam, no mesmo sistema, a entrada antropométrica, o modelo paramétrico explícito, a sugestão apoiada de parâmetros e a supervisão técnica. Esta lacuna é central para a presente investigação, pois permite situar a proposta como uma articulação entre componentes que os estudos consultados tendem a desenvolver de forma fragmentada.</w:t>
      </w:r>
    </w:p>
    <w:p>
      <w:pPr>
        <w:pStyle w:val="TextoNormal-IPCA"/>
      </w:pPr>
      <w:r>
        <w:t>Neste enquadramento, a IA assume a função de camada complementar de apoio à configuração, operando sobre uma base paramétrica já definida e articulando-se com a lógica geométrica do modelo, a decisão de projecto e a verificação técnica. Os trabalhos de da Silveira Romero et al. (2025), Lim et al. (2018) e Saldarriaga et al. (2024) fornecem fundamento técnico para construir geometrias configuráveis com regras explícitas, parâmetros dimensionais e relações geométricas controladas.</w:t>
      </w:r>
    </w:p>
    <w:p>
      <w:pPr>
        <w:pStyle w:val="TextoNormal-IPCA"/>
      </w:pPr>
      <w:r>
        <w:t>Em conjunto, esses estudos mostram que a personalização pode ser estruturada através de modelos explícitos e fluxos CAD/CAM ajustáveis. O sistema aqui proposto parte desta premissa: a geometria é produzida por um modelo paramétrico definido em OpenSCAD e manipulável através de parâmetros cuja origem e efeito podem ser identificados.</w:t>
      </w:r>
    </w:p>
    <w:p>
      <w:pPr>
        <w:pStyle w:val="TextoNormal-IPCA"/>
      </w:pPr>
      <w:r>
        <w:t>É neste ponto que a IA assume uma função específica. Actua como mecanismo de mediação entre os dados de entrada e a exploração inicial do espaço paramétrico. O seu papel é apoiar a tradução de informação antropométrica e de critérios de fabrico em sugestões paramétricas compatíveis com o esquema, reduzindo a complexidade associada à definição manual de valores iniciais e à navegação em sistemas com múltiplas dependências internas. Esta posição aproxima-se de abordagens orientadas por dados, mantendo a necessidade de interpretação humana (Gu et al., 2024).</w:t>
      </w:r>
    </w:p>
    <w:p>
      <w:pPr>
        <w:pStyle w:val="TextoNormal-IPCA"/>
      </w:pPr>
      <w:r>
        <w:t>No processo de desenvolvimento, a IA funciona como uma ferramenta de apoio à decisão e à iteração: propõe pontos de partida, ajuda a comparar cenários, acelera os ciclos de teste e permanece articulada com a estrutura técnica do sistema.</w:t>
      </w:r>
    </w:p>
    <w:p>
      <w:pPr>
        <w:pStyle w:val="TextoNormal-IPCA"/>
      </w:pPr>
      <w:r>
        <w:t>Entre os antecedentes mais próximos desta lógica encontram-se trabalhos que combinam personalização anatómica, modelação paramétrica, fabrico aditivo e componentes inteligentes, como o estudo de Romero et al. (2025), bem como modelos de optimização estrutural orientados por dados anatómicos e restrições de adaptação, como o proposto por Gu et al. (2024).</w:t>
      </w:r>
    </w:p>
    <w:p>
      <w:pPr>
        <w:pStyle w:val="TextoNormal-IPCA"/>
      </w:pPr>
      <w:r>
        <w:t>Esta leitura é coerente com a arquitectura da plataforma descrita no capítulo anterior. O sistema separa a camada de interface, a lógica paramétrica, a renderização local em WebAssembly e a comunicação controlada com serviços externos de IA. Tal organização preserva uma ligação verificável entre a entrada inicial, a sugestão produzida pela IA e o resultado geométrico gerado pelo modelo.</w:t>
      </w:r>
    </w:p>
    <w:p>
      <w:pPr>
        <w:pStyle w:val="TextoNormal-IPCA"/>
      </w:pPr>
      <w:r>
        <w:t>O sistema mantém a IA sob supervisão: sugere valores sem determinar a configuração, apoia a exploração sem validar o resultado e acelera tarefas sem substituir o julgamento técnico. Esta opção responde à supervisão clínica ou técnica limitada nos estudos que articulam modelação digital, CAD, IA, co-design apoiado ou impressão 3D (Romero et al., 2025; Elbreki et al., 2022; Idris et al., 2024). O valor da IA reside no apoio a um processo já estruturado por lógica paramétrica explícita, requisitos de fabrico e responsabilidade humana.</w:t>
      </w:r>
    </w:p>
    <w:p>
      <w:pPr>
        <w:pStyle w:val="Cabealho2"/>
        <w:numPr>
          <w:ilvl w:val="1"/>
          <w:numId w:val="0"/>
        </w:numPr>
      </w:pPr>
      <w:r>
        <w:t>6.2 IA na parametrização, personalização e apoio à decisão</w:t>
      </w:r>
    </w:p>
    <w:p>
      <w:pPr>
        <w:pStyle w:val="TextoNormal-IPCA"/>
      </w:pPr>
      <w:r>
        <w:t>No domínio da parametrização, a inteligência artificial torna-se mais relevante quando opera sobre uma estrutura geométrica previamente formalizada. Em sistemas como o aqui proposto, isso significa receber dados antropométricos e restrições de fabrico e convertê-los em sugestões iniciais para os parâmetros já definidos no modelo. A literatura sobre próteses paramétricas e personalização anatómica mostra que a configuração depende de relações explícitas entre medidas, proporções e componentes geométricos (Saldarriaga et al., 2024; da Silveira Romero et al., 2025). Neste enquadramento, a IA ajuda a propor valores dentro dos intervalos definidos e combinações iniciais sujeitas a verificação.</w:t>
      </w:r>
    </w:p>
    <w:p>
      <w:pPr>
        <w:pStyle w:val="TextoNormal-IPCA"/>
      </w:pPr>
      <w:r>
        <w:t>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O estudo de Lim et al. (2018),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TextoNormal-IPCA"/>
      </w:pPr>
      <w:r>
        <w:t>De forma convergente, Gu et al. (2024)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exactos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activo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servidor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activo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directa e mais no facto de mostrar que a personalização digital e a camada inteligente podem coexistir no mesmo fluxo, desde que cada componente mantenha uma função claramente delimitada.</w:t>
      </w:r>
    </w:p>
    <w:p>
      <w:pPr>
        <w:pStyle w:val="TextoNormal-IPCA"/>
      </w:pPr>
      <w:r>
        <w:t>É por isso que, nesta investigação, a personalização apoiada por IA deve ser entendida como uma prática de supervisão humana contínua.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projecto, a aceitação final, porém, continua dependente de verificação técnica e de julgamento contextual. Deste modo, a parametrização apoiada por IA não corresponde a uma automatização cega da personalização, mas a um mecanismo de apoio à decisão que atua sobre uma base geométrica explícita, documentada e tecnicamente verificável.</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A introdução de IA num sistema como o proposto exige distinguir claramente entre sugestão paramétrica, ajuste efectivo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os valores sugeridos pela IA devem ser entendidos como hipóteses operativas sujeitas a validação posterior, e não como prescrições definitivas.</w:t>
      </w:r>
    </w:p>
    <w:p>
      <w:pPr>
        <w:pStyle w:val="TextoNormal-IPCA"/>
      </w:pPr>
      <w:r>
        <w:t>Do ponto de vista técnico, subsistem limitações significativas. A IA pode produzir sugestões aparentemente coerentes, mas inadequadas para casos extremos, perfis antropométricos pouco representados ou combinações paramétricas fora da distribuição esperada. Pode também introduzir inconsistências difíceis de detectar se a sua saída não for confrontada com restrições geométricas, limites de fabrico e critérios funcionais explícitos. Assim, a integração responsável da IA depende de salvaguardas incorporadas no sistema, incluindo limites paramétricos, verificação de intervalos, controlo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apoiado por IA, que sublinha a importância de compreender os dados considerados, os critérios aplicados e os limites das sugestões produzidas pelo modelo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TextoNormal-IPCA"/>
      </w:pPr>
      <w:r>
        <w:t>Mesmo quando a plataforma utiliza apenas dados antropométricos não clínicos ou cenários experimentais, a sua arquitectura deve limitar a recolha ao necessário, controlar quem pode aceder às configurações e explicitar que a IA atua como apoio à configuração, e não como autoridade técnica ou clínica.</w:t>
      </w:r>
    </w:p>
    <w:p>
      <w:pPr>
        <w:pStyle w:val="TextoNormal-IPCA"/>
      </w:pPr>
      <w: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correctamente o âmbito da ferramenta.</w:t>
      </w:r>
    </w:p>
    <w:p>
      <w:pPr>
        <w:pStyle w:val="TextoNormal-IPCA"/>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projectual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O ponto de partida desta secção é a organização, através da interface, de um sistema de modelação paramétrica baseado em código. A aplicação apresenta uma sequência de acções: seleccionar um modelo, introduzir dados antropométricos, ajustar parâmetros, observar a geometria, guardar a configuração e exportar ficheiros. Esta sequência descreve uma decisão projectual implementada; a sua facilidade de uso não foi avaliada com participantes.</w:t>
      </w:r>
    </w:p>
    <w:p>
      <w:pPr>
        <w:pStyle w:val="TextoNormal-IPCA"/>
      </w:pPr>
      <w: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Peixoto et al., 2025).</w:t>
      </w:r>
    </w:p>
    <w:p>
      <w:pPr>
        <w:pStyle w:val="TextoNormal-IPCA"/>
      </w:pPr>
      <w:r>
        <w:t>Do ponto de vista estrutural, a interface adopta uma composição modular orientada por tarefa. A selecção do modelo funciona como ponto de entrada; os parâmetros surgem como elementos editáveis; a visualização tridimensional apresenta o resultado da geração; e as acções de guardar, recuperar e exportar prolongam o processo. A organização foi concebida para manter uma relação clara entre intenção, acção e consequência formal. A redução de carga cognitiva e a adequação desta sequência a diferentes perfis permanecem hipóteses de design que exigem avaliação com utilizadores (Peixoto et al., 2025; Quintero et al., 2018).</w:t>
      </w:r>
    </w:p>
    <w:p>
      <w:pPr>
        <w:pStyle w:val="TextoNormal-IPCA"/>
      </w:pPr>
      <w:r>
        <w:t>Uma decisão relevante reside na tradução da lógica paramétrica para linguagem operacional. Cada controlo dá acesso a uma relação geométrica definida no modelo. A plataforma expõe uma parte delimitada do espaço de configuração e reserva parâmetros críticos a regras ou perfis com maior responsabilidade. Esta contenção reduz a possibilidade de combinações fora dos limites declarados, embora o seu efeito na compreensão e na confiança ainda não tenha sido medido.</w:t>
      </w:r>
    </w:p>
    <w:p>
      <w:pPr>
        <w:pStyle w:val="TextoNormal-IPCA"/>
      </w:pPr>
      <w:r>
        <w:t>A articulação entre edição paramétrica e pré-visualização constitui outra decisão relevante, pois a renderização local através de WebAssembly permite que a resposta visual resulte directamente da geometria gerada pelo sistema, evitando o recurso a imagens estáticas ou a representações simplificadas desligadas do modelo.</w:t>
      </w:r>
    </w:p>
    <w:p>
      <w:pPr>
        <w:pStyle w:val="TextoNormal-IPCA"/>
      </w:pPr>
      <w:r>
        <w:t>A pré-visualização resulta da geometria gerada e permite comparar o valor introduzido com a forma apresentada. O Web Worker separa o cálculo da tarefa principal da interface. Esta decisão técnica evita o bloqueio directo durante a execução, mas o tempo percebido, a compreensão dos estados e a qualidade da interacção não foram medidos (Abbas Alili et al., 2023; Colombo et al., 2015; Peixoto et al., 2025).</w:t>
      </w:r>
    </w:p>
    <w:p>
      <w:pPr>
        <w:pStyle w:val="TextoNormal-IPCA"/>
      </w:pPr>
      <w:r>
        <w:t>A interface privilegia a clareza operacional em relação à exuberância formal, em coerência com o contexto do projecto: trata-se de uma ferramenta de configuração protésica, e não de um configurador lúdico ou promocional.</w:t>
      </w:r>
    </w:p>
    <w:p>
      <w:pPr>
        <w:pStyle w:val="TextoNormal-IPCA"/>
      </w:pPr>
      <w:r>
        <w:t>As decisões de desenho da interface procuram, assim, favorecer a clareza operacional, a consistência entre controlos, a previsibilidade das acções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Quintero et al., 2018).</w:t>
      </w:r>
    </w:p>
    <w:p>
      <w:pPr>
        <w:pStyle w:val="TextoNormal-IPCA"/>
      </w:pPr>
      <w:r>
        <w:t>Deste modo, a estratégia de interacção constitui uma especificação projectual para expor parâmetros, resultados e estados guardados. A avaliação da clareza desta especificação requer observação de uso futura.</w:t>
      </w:r>
    </w:p>
    <w:p>
      <w:pPr>
        <w:pStyle w:val="TextoNormal-IPCA"/>
      </w:pPr>
      <w:r>
        <w:t>A interface medeia o conhecimento técnico, os dados de entrada e a decisão de projecto. A sua organização preserva continuidade com a lógica paramétrica e com o papel de apoio atribuído à IA.</w:t>
      </w:r>
    </w:p>
    <w:p>
      <w:pPr>
        <w:pStyle w:val="Cabealho2"/>
        <w:numPr>
          <w:ilvl w:val="1"/>
          <w:numId w:val="0"/>
        </w:numPr>
      </w:pPr>
      <w:r>
        <w:t>7.2 Papéis previstos e distribuição de decisões</w:t>
      </w:r>
    </w:p>
    <w:p>
      <w:pPr>
        <w:pStyle w:val="TextoNormal-IPCA"/>
      </w:pPr>
      <w:r>
        <w:t>A plataforma prevê formas distintas de participação, porque designers, técnicos, clínicos e utilizadores finais não intervêm sobre os mesmos parâmetros nem assumem o mesmo grau de responsabilidade. Estes papéis resultam do enquadramento teórico e da arquitectura de permissões; não foram confirmados por observação de práticas profissionais ou por testes com utilizadores.</w:t>
      </w:r>
    </w:p>
    <w:p>
      <w:pPr>
        <w:pStyle w:val="TextoNormal-IPCA"/>
      </w:pPr>
      <w:r>
        <w:t>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clareza do sistema ou aspectos estéticos que o utilizador consegue avaliar directamente, a sua participação torna-se mais substantiva.</w:t>
      </w:r>
    </w:p>
    <w:p>
      <w:pPr>
        <w:pStyle w:val="TextoNormal-IPCA"/>
      </w:pPr>
      <w:r>
        <w:t>O contraste entre estes domínios é central para compreender a diferenciação entre perfis de uso, ainda que a literatura directa sobre plataformas paramétricas para o membro superior permaneça escassa e muitas conclusões tenham de ser complementadas por evidência transferível de contextos adjacentes (Cordella et al., 2016; Saldarriaga et al., 2024).</w:t>
      </w:r>
    </w:p>
    <w:p>
      <w:pPr>
        <w:pStyle w:val="TextoNormal-IPCA"/>
      </w:pPr>
      <w:r>
        <w:t>Para o designer, o técnico de próteses e ortóteses ou o clínico, a plataforma foi concebida como ambiente de configuração, teste, comparação e supervisão. A literatura indica que estes profissionais valorizam relações compreensíveis entre parâmetros e consequências geométricas, continuidade com o raciocínio técnico e preservação do conhecimento prático. A adequação da implementação a essas expectativas permanece por testar (Colombo et al., 2015; Quintero et al., 2018; Bai et al., 2024).</w:t>
      </w:r>
    </w:p>
    <w:p>
      <w:pPr>
        <w:pStyle w:val="TextoNormal-IPCA"/>
      </w:pPr>
      <w:r>
        <w:t>Para o utilizador final, foram previstos consulta da configuração, visualização do modelo e acompanhamento do processo. O estudo não permite afirmar que estas funções aumentem a compreensão, a confiança ou a participação.</w:t>
      </w:r>
    </w:p>
    <w:p>
      <w:pPr>
        <w:pStyle w:val="TextoNormal-IPCA"/>
      </w:pPr>
      <w:r>
        <w:t>A aceitação de uma prótese relaciona-se com o desempenho funcional, a percepção de adequação, a participação e o controlo sobre o resultado. Os estudos analisados indicam que a comunicação do funcionamento pode influenciar a experiência de utilização.</w:t>
      </w:r>
    </w:p>
    <w:p>
      <w:pPr>
        <w:pStyle w:val="TextoNormal-IPCA"/>
      </w:pPr>
      <w:r>
        <w:t>Na plataforma, os limites dos parâmetros e os efeitos geométricos são apresentados como suporte à decisão. O efeito desta apresentação na facilidade de utilização e na confiança subjectiva permanece por avaliar.</w:t>
      </w:r>
    </w:p>
    <w:p>
      <w:pPr>
        <w:pStyle w:val="TextoNormal-IPCA"/>
      </w:pPr>
      <w:r>
        <w:t>As plataformas de personalização estética e os sistemas com visualização explícita do espaço de decisão sugerem que a participação activa do utilizador aumenta quando as opções editáveis são claras, compreensíveis e associadas a consequências de baixo risco. (Peixoto et al., 2025).</w:t>
      </w:r>
    </w:p>
    <w:p>
      <w:pPr>
        <w:pStyle w:val="TextoNormal-IPCA"/>
      </w:pPr>
      <w:r>
        <w:t>A diferença entre estes níveis de participação torna-se mais clara quando se consideram três domínios de personalização que os estudos analisados abordam de forma diferenciada. 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directa. O terceiro domínio relaciona-se com a personalização estética e identitária, em que a autonomia do utilizador pode ser mais ampla, dado que o risco clínico e biomecânico é menor e o critério de adequação depende mais directamente da sua percepção.</w:t>
      </w:r>
    </w:p>
    <w:p>
      <w:pPr>
        <w:pStyle w:val="TextoNormal-IPCA"/>
      </w:pPr>
      <w:r>
        <w:t>A coexistência destes perfis e domínios justifica a adopção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acções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TextoNormal-IPCA"/>
      </w:pPr>
      <w:r>
        <w:t>A plataforma propõe uma colaboração assimétrica: o perfil técnico possui maior capacidade de configuração e o utilizador final dispõe de consulta e acompanhamento. Esta distribuição é coerente com abordagens de supervisão humana contínua e com a necessidade de supervisão, mas os seus efeitos sobre rapidez, compreensão e qualidade da decisão não foram avaliados (Alili et al., 2023; Oldfrey et al., 2024).</w:t>
      </w:r>
    </w:p>
    <w:p>
      <w:pPr>
        <w:pStyle w:val="Cabealho2"/>
        <w:numPr>
          <w:ilvl w:val="1"/>
          <w:numId w:val="0"/>
        </w:numPr>
      </w:pPr>
      <w:r>
        <w:t>7.3 Mediação do processo de design e reflexão crítica</w:t>
      </w:r>
    </w:p>
    <w:p>
      <w:pPr>
        <w:pStyle w:val="TextoNormal-IPCA"/>
      </w:pPr>
      <w:r>
        <w:t>A interface permite editar parâmetros e medeia o processo de design. Introduz uma camada entre o modelo algorítmico, a decisão técnica e a interpretação do utilizador, organizando uma sequência de leitura de dados, proposta de configuração, avaliação visual, revisão e eventual exportação para fabrico. Esta sequência corresponde ao processo implementado; os seus efeitos no trabalho de diferentes intervenientes são inferências projectuais apoiadas pela literatura.</w:t>
      </w:r>
    </w:p>
    <w:p>
      <w:pPr>
        <w:pStyle w:val="TextoNormal-IPCA"/>
      </w:pPr>
      <w:r>
        <w:t>Neste sentido, a interface assume uma dimensão simultaneamente operacional e epistemológica, ao influenciar a forma como o problema é compreendido, como as alternativas são exploradas e como as decisões são justificadas.</w:t>
      </w:r>
    </w:p>
    <w:p>
      <w:pPr>
        <w:pStyle w:val="TextoNormal-IPCA"/>
      </w:pPr>
      <w:r>
        <w:t>Ao disponibilizar parâmetros editáveis, visualização tridimensional, sugestões apoiadas por IA e gestão de versões, a plataforma contribui para estruturar o trabalho de projecto e documentar a evolução das decisões. Essa estrutura estabelece igualmente limites: o utilizador explora o espaço de soluções permitido pelo modelo e pela interface. Os estudos analisados sugerem que as plataformas relevantes neste domínio recorrem a mecanismos concretos de mediação, como controlo diferenciado de permissões, exposição selectiva de variáveis, pontos de partida algorítmicos, visualização orientada pelo problema e supervisão integrada na interface.</w:t>
      </w:r>
    </w:p>
    <w:p>
      <w:pPr>
        <w:pStyle w:val="TextoNormal-IPCA"/>
      </w:pPr>
      <w: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Alili et al., 2023).</w:t>
      </w:r>
    </w:p>
    <w:p>
      <w:pPr>
        <w:pStyle w:val="TextoNormal-IPCA"/>
      </w:pPr>
      <w: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TextoNormal-IPCA"/>
      </w:pPr>
      <w: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TextoNormal-IPCA"/>
      </w:pPr>
      <w:r>
        <w:t>Nesta perspectiva, a mediação digital participa na forma como as decisões de projecto são preparadas, avaliadas e justificadas. Esta observação conduz a uma reflexão crítica sobre o papel da plataforma no próprio processo de design.</w:t>
      </w:r>
    </w:p>
    <w:p>
      <w:pPr>
        <w:pStyle w:val="TextoNormal-IPCA"/>
      </w:pPr>
      <w:r>
        <w:t>Uma interface bem desenhada pode criar uma sensação de evidência ou neutralidade em decisões condicionadas por critérios de projecto, pressupostos técnicos e escolhas interpretativas. A apresentação de um parâmetro como controlo disponível, ou de uma sugestão com aparência de coerência técnica, não significa que a solução esteja validada ou represente a melhor opção em todos os contextos.</w:t>
      </w:r>
    </w:p>
    <w:p>
      <w:pPr>
        <w:pStyle w:val="TextoNormal-IPCA"/>
      </w:pPr>
      <w:r>
        <w:t>A mediação da interface deve ser avaliada pela eficiência e pela forma como torna visíveis dependências, incertezas e responsabilidades. Peixoto et al. (2025), Quintero et al. (2018) e Bai et al. (2024) reforçam esta cautela: resultados positivos de usabilidade ou rapidez de afinação mantêm a necessidade de definir quem decide, quais parâmetros podem ser alterados, quais decisões ficam pré-estruturadas pelo sistema e em que condições essas alterações são seguras ou adequadas.</w:t>
      </w:r>
    </w:p>
    <w:p>
      <w:pPr>
        <w:pStyle w:val="TextoNormal-IPCA"/>
      </w:pPr>
      <w:r>
        <w:t>A mediação do processo de design preserva a responsabilidade pelas decisões de projecto e a necessidade de validação técnica, reorganizando ambas num ambiente digital mais controlado e explícito.</w:t>
      </w:r>
    </w:p>
    <w:p>
      <w:pPr>
        <w:pStyle w:val="TextoNormal-IPCA"/>
      </w:pPr>
      <w:r>
        <w:t>A plataforma foi concebida para distribuir a capacidade de intervenção de forma diferenciada: concentra certas decisões em perfis técnicos, abre outras ao acompanhamento do utilizador e enquadra outras através de sugestões produzidas por IA.</w:t>
      </w:r>
    </w:p>
    <w:p>
      <w:pPr>
        <w:pStyle w:val="TextoNormal-IPCA"/>
      </w:pPr>
      <w:r>
        <w:t>É precisamente nessa articulação entre interface, lógica paramétrica, sugestão apoiada, visibilidade selectiva e responsabilidade crítica que reside o valor metodológico deste sistema enquanto contributo para o design de próteses personalizadas.</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Preparação para impressão e protótipos físicos</w:t>
      </w:r>
    </w:p>
    <w:p>
      <w:pPr>
        <w:pStyle w:val="TextoNormal-IPCA"/>
      </w:pPr>
      <w:r>
        <w:t xml:space="preserve">A evidência de fabrico inclui 116 ficheiros 3MF gerados para três modelos e quatro idades, três projectos com parâmetros de preparação e fotografias de peças físicas. Os 116 ficheiros representam exportações digitais, distribuídas por placas combinadas e peças individuais; esse total não corresponde a 116 impressões físicas. Os três perfis encontram-se em </w:t>
      </w:r>
      <w:r>
        <w:t>docs/print-validation/bambulaba1_flexy_beast_teen_15_print.3mf</w:t>
      </w:r>
      <w:r>
        <w:t xml:space="preserve">, </w:t>
      </w:r>
      <w:r>
        <w:t>docs/print-validation/bambulaba1_unlimbed_phoenix_hand_teen_15_print_project.3mf</w:t>
      </w:r>
      <w:r>
        <w:t xml:space="preserve"> e </w:t>
      </w:r>
      <w:r>
        <w:t>docs/print-validation/prusa_mini_paraglider_15_teen_print_profile.3mf</w:t>
      </w:r>
      <w:r>
        <w:t>. Cada projecto identifica um caso adolescente de 15 anos e a impressora usada. Os parâmetros comparáveis foram mantidos nas restantes impressões, segundo o registo do projecto.</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Mesmos parâmetros do projecto Flexy Beast; objectos atribuídos ao extrusor PLA</w:t>
            </w:r>
          </w:p>
        </w:tc>
        <w:tc>
          <w:tcPr>
            <w:tcW w:w="0" w:type="auto"/>
          </w:tcPr>
          <w:p>
            <w:pPr>
              <w:pStyle w:val="TextoNormal-IPCA"/>
              <w:jc w:val="left"/>
            </w:pPr>
            <w:r>
              <w:t>Oito conjuntos de peças importados; programa regista 0 arestas corrigidas e 0 faces degeneradas</w:t>
            </w:r>
          </w:p>
        </w:tc>
      </w:tr>
      <w:t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Os dois projectos Bambu contêm três materiais disponíveis na configuração, mas as peças presentes estão atribuídas ao extrusor 1, identificado como PLA. A documentação disponível não permite uma comparação controlada entre PLA e PETG. Por isso, não se retiram conclusões sobre resistência, fragilidade ou durabilidade relativas dos materiais.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a linha estatística do CSV, o perfil populacional agregado, os parâmetros compatíveis com o modelo activo e a geometria gerada após confirmação humana. A rastreabilidade pode, assim, ser reconstruída desde a fonte e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