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Anexo C — Adaptação paramétrica dos modelos de mão protésica</w:t>
      </w:r>
    </w:p>
    <w:p>
      <w:pPr>
        <w:pStyle w:val="Heading2"/>
      </w:pPr>
      <w:r>
        <w:t>C.1 Objectivo e âmbito</w:t>
      </w:r>
    </w:p>
    <w:p>
      <w:pPr/>
      <w:r>
        <w:t>Este anexo documenta como quatro modelos de mão protésica de origem aberta foram adaptados à estrutura paramétrica da plataforma HandFab: Flexy Beast, Cyborg Beast, Paraglider Hand e UnLimbited Phoenix Hand. O objectivo é tornar explícita a passagem entre medidas antropométricas, parâmetros configuráveis, relações geométricas e malhas destinadas à preparação para fabrico.</w:t>
      </w:r>
    </w:p>
    <w:p>
      <w:pPr/>
      <w:r>
        <w:t>O anexo descreve o que está efectivamente implementado nos ficheiros de configuração e nos modelos OpenSCAD. Não apresenta as relações como regras anatómicas universais. Os intervalos declarados delimitam o espaço de configuração do protótipo e não constituem limites clínicos. Do mesmo modo, a geração de uma geometria coerente ou imprimível não demonstra ajuste individual, conforto, função, segurança ou eficácia protésica.</w:t>
      </w:r>
    </w:p>
    <w:p>
      <w:pPr/>
      <w:r>
        <w:t xml:space="preserve">O estado examinado corresponde ao pacote da plataforma identificado como versão 14.72.0 em 14 de Julho de 2026, assente na confirmação Git </w:t>
      </w:r>
      <w:r>
        <w:rPr>
          <w:rFonts w:ascii="Consolas" w:hAnsi="Consolas"/>
          <w:sz w:val="20"/>
        </w:rPr>
        <w:t>3a7b2f1</w:t>
      </w:r>
      <w:r>
        <w:t>. A versão 14.71.0 integrou a braçadeira revista do Flexy Beast e alterou o dicionário da versão 14.67.0: os antigos parâmetros de largura, comprimento e parede da braçadeira foram substituídos por circunferência do punho, inclinação, multiplicador de comprimento e furos de correia. A versão 14.72.0 uniformizou a organização dos grupos e os nomes dos controlos equivalentes, sem modificar as relações geométricas descritas neste anexo.</w:t>
      </w:r>
    </w:p>
    <w:p>
      <w:pPr/>
      <w:r>
        <w:t xml:space="preserve">O modelo de desenvolvimento </w:t>
      </w:r>
      <w:r>
        <w:rPr>
          <w:rFonts w:ascii="Consolas" w:hAnsi="Consolas"/>
          <w:sz w:val="20"/>
        </w:rPr>
        <w:t>pec Phoenix hand</w:t>
      </w:r>
      <w:r>
        <w:t xml:space="preserve"> não integra este anexo. Embora exista no repositório, não pertence ao conjunto de quatro modelos registados que sustenta a comparação principal da dissertação.</w:t>
      </w:r>
    </w:p>
    <w:p>
      <w:pPr>
        <w:pStyle w:val="Heading2"/>
      </w:pPr>
      <w:r>
        <w:t>C.2 Princípio comum de adaptação</w:t>
      </w:r>
    </w:p>
    <w:p>
      <w:pPr/>
      <w:r>
        <w:t>Os modelos herdados não partilhavam nomes de parâmetros, mecanismos de escala ou formas equivalentes de preservar interfaces mecânicas. A adaptação não consistiu, portanto, em aplicar uma única fórmula a todas as mãos. Consistiu em criar uma gramática comum de entrada e, depois, manter uma transformação específica para cada arquitectura.</w:t>
      </w:r>
    </w:p>
    <w:p>
      <w:pPr/>
      <w:r>
        <w:t>O percurso comum compreende cinco etapas:</w:t>
      </w:r>
    </w:p>
    <w:p>
      <w:pPr>
        <w:pStyle w:val="ListNumber"/>
      </w:pPr>
      <w:r>
        <w:t>1. uma medida individual, uma referência populacional ou um valor introduzido manualmente é expresso em milímetros;</w:t>
      </w:r>
    </w:p>
    <w:p>
      <w:pPr>
        <w:pStyle w:val="ListNumber"/>
      </w:pPr>
      <w:r>
        <w:t>2. o nome anatómico é associado a um campo canónico reconhecido pela plataforma;</w:t>
      </w:r>
    </w:p>
    <w:p>
      <w:pPr>
        <w:pStyle w:val="ListNumber"/>
      </w:pPr>
      <w:r>
        <w:t>3. o campo só é aplicado quando existe no modelo seleccionado e contém um valor numérico positivo;</w:t>
      </w:r>
    </w:p>
    <w:p>
      <w:pPr>
        <w:pStyle w:val="ListNumber"/>
      </w:pPr>
      <w:r>
        <w:t>4. o valor é limitado ao intervalo declarado na configuração quando provém do mapeamento de perfis;</w:t>
      </w:r>
    </w:p>
    <w:p>
      <w:pPr>
        <w:pStyle w:val="ListNumber"/>
      </w:pPr>
      <w:r>
        <w:t>5. o ficheiro OpenSCAD transforma os valores aceites segundo as relações próprias do modelo e gera a geometria.</w:t>
      </w:r>
    </w:p>
    <w:p>
      <w:r>
        <w:drawing>
          <wp:inline xmlns:wp="http://schemas.openxmlformats.org/drawingml/2006/wordprocessingDrawing" distT="0" distB="0" distL="0" distR="0">
            <wp:extent cx="5715000" cy="3286125"/>
            <wp:docPr id="1" name="Fluxo de adaptação paramétrica dos modelos" descr="Fluxo de adaptação paramétrica dos mode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 de adaptação paramétrica dos modelos" descr="Fluxo de adaptação paramétrica dos modelos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Figura C.1 — Fluxo entre dados de entrada, mapa comum, regras específicas dos modelos e geometria exportável. Produção própria.</w:t>
      </w:r>
    </w:p>
    <w:p>
      <w:pPr>
        <w:pStyle w:val="Heading3"/>
      </w:pPr>
      <w:r>
        <w:t>C.2.1 Campos antropométricos comuns</w:t>
      </w:r>
    </w:p>
    <w:p>
      <w:pPr/>
      <w:r>
        <w:t xml:space="preserve">O serviço </w:t>
      </w:r>
      <w:r>
        <w:rPr>
          <w:rFonts w:ascii="Consolas" w:hAnsi="Consolas"/>
          <w:sz w:val="20"/>
        </w:rPr>
        <w:t>profileMapping.js</w:t>
      </w:r>
      <w:r>
        <w:t xml:space="preserve"> estabelece as correspondências apresentadas na Tabela C.1. A origem é a árvore normalizada </w:t>
      </w:r>
      <w:r>
        <w:rPr>
          <w:rFonts w:ascii="Consolas" w:hAnsi="Consolas"/>
          <w:sz w:val="20"/>
        </w:rPr>
        <w:t>profile.measurements</w:t>
      </w:r>
      <w:r>
        <w:t xml:space="preserve">; o vector </w:t>
      </w:r>
      <w:r>
        <w:rPr>
          <w:rFonts w:ascii="Consolas" w:hAnsi="Consolas"/>
          <w:sz w:val="20"/>
        </w:rPr>
        <w:t>geometry_parameters</w:t>
      </w:r>
      <w:r>
        <w:t xml:space="preserve"> produzido pelo importador não é utilizado nesta passagem porque foi concebido para outra organização geométrica e não partilha os nomes dos modelos activos.</w:t>
      </w:r>
    </w:p>
    <w:p>
      <w:pPr/>
      <w:r>
        <w:t>Tabela C.1 — Correspondência entre medidas normalizadas e parâmetros dos modelos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w="3000" w:type="dxa"/>
          </w:tcPr>
          <w:p>
            <w:pPr/>
            <w:r>
              <w:t>Parâmetro da plataforma</w:t>
            </w:r>
          </w:p>
        </w:tc>
        <w:tc>
          <w:tcPr>
            <w:tcW w:w="3000" w:type="dxa"/>
          </w:tcPr>
          <w:p>
            <w:pPr/>
            <w:r>
              <w:t>Medida de origem</w:t>
            </w:r>
          </w:p>
        </w:tc>
        <w:tc>
          <w:tcPr>
            <w:tcW w:w="3000" w:type="dxa"/>
          </w:tcPr>
          <w:p>
            <w:pPr/>
            <w:r>
              <w:t>Aplicação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palm_breadth_mm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palm.width_mm</w:t>
            </w:r>
          </w:p>
        </w:tc>
        <w:tc>
          <w:tcPr>
            <w:tcW w:w="3000" w:type="dxa"/>
          </w:tcPr>
          <w:p>
            <w:pPr/>
            <w:r>
              <w:t>Largura metacarpal usada na escala da palma ou da mão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palm.length_mm</w:t>
            </w:r>
          </w:p>
        </w:tc>
        <w:tc>
          <w:tcPr>
            <w:tcW w:w="3000" w:type="dxa"/>
          </w:tcPr>
          <w:p>
            <w:pPr/>
            <w:r>
              <w:t>Comprimento da palma; só tem efeito geométrico quando o modelo o utiliza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palm_thickness_mm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palm.thickness_mm</w:t>
            </w:r>
          </w:p>
        </w:tc>
        <w:tc>
          <w:tcPr>
            <w:tcW w:w="3000" w:type="dxa"/>
          </w:tcPr>
          <w:p>
            <w:pPr/>
            <w:r>
              <w:t>Espessura da palma; só tem efeito geométrico quando o modelo o utiliza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index_finger_length_mm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digits.index.total_length_mm</w:t>
            </w:r>
          </w:p>
        </w:tc>
        <w:tc>
          <w:tcPr>
            <w:tcW w:w="3000" w:type="dxa"/>
          </w:tcPr>
          <w:p>
            <w:pPr/>
            <w:r>
              <w:t>Comprimento total do indicador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middle_finger_length_mm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digits.middle.total_length_mm</w:t>
            </w:r>
          </w:p>
        </w:tc>
        <w:tc>
          <w:tcPr>
            <w:tcW w:w="3000" w:type="dxa"/>
          </w:tcPr>
          <w:p>
            <w:pPr/>
            <w:r>
              <w:t>Comprimento total do dedo médio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ring_finger_length_mm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digits.ring.total_length_mm</w:t>
            </w:r>
          </w:p>
        </w:tc>
        <w:tc>
          <w:tcPr>
            <w:tcW w:w="3000" w:type="dxa"/>
          </w:tcPr>
          <w:p>
            <w:pPr/>
            <w:r>
              <w:t>Comprimento total do anelar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pinky_finger_length_mm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digits.pinky.total_length_mm</w:t>
            </w:r>
          </w:p>
        </w:tc>
        <w:tc>
          <w:tcPr>
            <w:tcW w:w="3000" w:type="dxa"/>
          </w:tcPr>
          <w:p>
            <w:pPr/>
            <w:r>
              <w:t>Comprimento total do mindinho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thumb_length_mm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digits.thumb.total_length_mm</w:t>
            </w:r>
          </w:p>
        </w:tc>
        <w:tc>
          <w:tcPr>
            <w:tcW w:w="3000" w:type="dxa"/>
          </w:tcPr>
          <w:p>
            <w:pPr/>
            <w:r>
              <w:t>Comprimento total do polegar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*_base_length_mm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digits.*.proximal_length_mm</w:t>
            </w:r>
          </w:p>
        </w:tc>
        <w:tc>
          <w:tcPr>
            <w:tcW w:w="3000" w:type="dxa"/>
          </w:tcPr>
          <w:p>
            <w:pPr/>
            <w:r>
              <w:t>Comprimento do segmento proximal quando o modelo expõe esta divisão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wrist_circumference_mm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wrist.circumference_mm</w:t>
            </w:r>
          </w:p>
        </w:tc>
        <w:tc>
          <w:tcPr>
            <w:tcW w:w="3000" w:type="dxa"/>
          </w:tcPr>
          <w:p>
            <w:pPr/>
            <w:r>
              <w:t>Dimensionamento da braçadeira nos modelos que aceitam esta medida</w:t>
            </w:r>
          </w:p>
        </w:tc>
      </w:tr>
    </w:tbl>
    <w:p>
      <w:pPr/>
      <w:r>
        <w:t xml:space="preserve">Uma medida em falta não é interpolada automaticamente: o campo é omitido e conserva o valor corrente ou fica disponível para introdução manual. Os valores válidos são arredondados a uma casa decimal. O mapeamento limita-os ao mínimo e máximo declarados em </w:t>
      </w:r>
      <w:r>
        <w:rPr>
          <w:rFonts w:ascii="Consolas" w:hAnsi="Consolas"/>
          <w:sz w:val="20"/>
        </w:rPr>
        <w:t>models-config.json</w:t>
      </w:r>
      <w:r>
        <w:t xml:space="preserve"> e regista as limitações aplicadas. Os parâmetros mecânicos, as cores, a visibilidade e a lateralidade não são preenchidos a partir das medidas corporais.</w:t>
      </w:r>
    </w:p>
    <w:p>
      <w:pPr/>
      <w:r>
        <w:t>Quando a entrada é uma descrição livre, a plataforma pode seleccionar uma referência populacional através de uma pontuação baseada em sexo, categoria etária, proximidade da idade, país e qualidade descritiva do grupo. O perfil só é seleccionado quando a pontuação atinge três. Esta regra escolhe um ponto de partida; não mede proximidade anatómica entre populações e não substitui uma medida individual.</w:t>
      </w:r>
    </w:p>
    <w:p>
      <w:pPr>
        <w:pStyle w:val="Heading3"/>
      </w:pPr>
      <w:r>
        <w:t>C.2.2 Tipos de parâmetros</w:t>
      </w:r>
    </w:p>
    <w:p>
      <w:pPr/>
      <w:r>
        <w:t>Para efeitos de projecto, os parâmetros foram organizados em quatro classes:</w:t>
      </w:r>
    </w:p>
    <w:p>
      <w:pPr>
        <w:pStyle w:val="ListBullet"/>
      </w:pPr>
      <w:r>
        <w:t xml:space="preserve">- </w:t>
      </w:r>
      <w:r>
        <w:rPr>
          <w:b/>
        </w:rPr>
        <w:t>directos:</w:t>
      </w:r>
      <w:r>
        <w:t xml:space="preserve"> medidas ou decisões introduzidas no modelo, como largura metacarpal, comprimento de um dedo ou diâmetro de um pino;</w:t>
      </w:r>
    </w:p>
    <w:p>
      <w:pPr>
        <w:pStyle w:val="ListBullet"/>
      </w:pPr>
      <w:r>
        <w:t xml:space="preserve">- </w:t>
      </w:r>
      <w:r>
        <w:rPr>
          <w:b/>
        </w:rPr>
        <w:t>derivados:</w:t>
      </w:r>
      <w:r>
        <w:t xml:space="preserve"> resultados calculados a partir de entradas, como factores de escala, proporções entre dedos ou deslocamentos de segmentos;</w:t>
      </w:r>
    </w:p>
    <w:p>
      <w:pPr>
        <w:pStyle w:val="ListBullet"/>
      </w:pPr>
      <w:r>
        <w:t xml:space="preserve">- </w:t>
      </w:r>
      <w:r>
        <w:rPr>
          <w:b/>
        </w:rPr>
        <w:t>fixos:</w:t>
      </w:r>
      <w:r>
        <w:t xml:space="preserve"> constantes herdadas ou calibradas que preservam a geometria-base e as interfaces mecânicas;</w:t>
      </w:r>
    </w:p>
    <w:p>
      <w:pPr>
        <w:pStyle w:val="ListBullet"/>
      </w:pPr>
      <w:r>
        <w:t xml:space="preserve">- </w:t>
      </w:r>
      <w:r>
        <w:rPr>
          <w:b/>
        </w:rPr>
        <w:t>contextuais:</w:t>
      </w:r>
      <w:r>
        <w:t xml:space="preserve"> campos presentes na plataforma, mas sem transformação geométrica activa no modelo em causa.</w:t>
      </w:r>
    </w:p>
    <w:p>
      <w:pPr/>
      <w:r>
        <w:t>Esta separação é necessária porque o nome de um campo não garante, por si só, que a dimensão final da malha coincida numericamente com o valor introduzido. A transformação depende da geometria-base, da ordem das escalas e das restrições herdadas.</w:t>
      </w:r>
    </w:p>
    <w:p>
      <w:pPr>
        <w:pStyle w:val="Heading3"/>
      </w:pPr>
      <w:r>
        <w:t>C.2.3 Coerência dos controlos na versão 14.72.0</w:t>
      </w:r>
    </w:p>
    <w:p>
      <w:pPr/>
      <w:r>
        <w:t>A versão 14.72.0 aplicou aos quatro modelos a mesma sequência de grupos quando estes existem: componente, antropometria, divisão de segmentos, componentes mecânicos, braçadeira, opções, visibilidade, cores e braço. Esta organização não acrescenta parâmetros nem demonstra melhoria de utilização; reduz diferenças de apresentação entre modelos e torna mais previsível a localização de decisões equivalentes.</w:t>
      </w:r>
    </w:p>
    <w:p>
      <w:pPr/>
      <w:r>
        <w:t xml:space="preserve">Foram igualmente uniformizados dois nomes. O Phoenix passou de </w:t>
      </w:r>
      <w:r>
        <w:rPr>
          <w:rFonts w:ascii="Consolas" w:hAnsi="Consolas"/>
          <w:sz w:val="20"/>
        </w:rPr>
        <w:t>LeftRight</w:t>
      </w:r>
      <w:r>
        <w:t xml:space="preserve"> para o campo booleano </w:t>
      </w:r>
      <w:r>
        <w:rPr>
          <w:rFonts w:ascii="Consolas" w:hAnsi="Consolas"/>
          <w:sz w:val="20"/>
        </w:rPr>
        <w:t>mirrored</w:t>
      </w:r>
      <w:r>
        <w:t xml:space="preserve">, já usado pelos restantes modelos. No Paraglider, </w:t>
      </w:r>
      <w:r>
        <w:rPr>
          <w:rFonts w:ascii="Consolas" w:hAnsi="Consolas"/>
          <w:sz w:val="20"/>
        </w:rPr>
        <w:t>show_assembled</w:t>
      </w:r>
      <w:r>
        <w:t xml:space="preserve"> passou a </w:t>
      </w:r>
      <w:r>
        <w:rPr>
          <w:rFonts w:ascii="Consolas" w:hAnsi="Consolas"/>
          <w:sz w:val="20"/>
        </w:rPr>
        <w:t>print_layout</w:t>
      </w:r>
      <w:r>
        <w:t xml:space="preserve">, invertendo a formulação para coincidir com o controlo usado no Cyborg e no Phoenix: </w:t>
      </w:r>
      <w:r>
        <w:rPr>
          <w:rFonts w:ascii="Consolas" w:hAnsi="Consolas"/>
          <w:sz w:val="20"/>
        </w:rPr>
        <w:t>true</w:t>
      </w:r>
      <w:r>
        <w:t xml:space="preserve"> corresponde à disposição plana destinada à exportação. Estas alterações incidem no contrato entre configuração e interface; não alteram a escala da palma, os comprimentos digitais ou as interfaces mecânicas.</w:t>
      </w:r>
    </w:p>
    <w:p>
      <w:pPr>
        <w:pStyle w:val="Heading2"/>
      </w:pPr>
      <w:r>
        <w:t>C.3 Flexy Beast</w:t>
      </w:r>
    </w:p>
    <w:p>
      <w:pPr>
        <w:pStyle w:val="Heading3"/>
      </w:pPr>
      <w:r>
        <w:t>C.3.1 Origem e estratégia de adaptação</w:t>
      </w:r>
    </w:p>
    <w:p>
      <w:pPr/>
      <w:r>
        <w:t xml:space="preserve">O Flexy Beast deriva do trabalho de </w:t>
      </w:r>
      <w:r>
        <w:rPr>
          <w:rFonts w:ascii="Consolas" w:hAnsi="Consolas"/>
          <w:sz w:val="20"/>
        </w:rPr>
        <w:t>daprice</w:t>
      </w:r>
      <w:r>
        <w:t>, que combina o Parametric Cyborg Beast com o Flexy Hand. O ficheiro-fonte local indica licença CC BY-SA 4.0. O modelo usa uma palma da linhagem Cyborg Beast e segmentos digitais ligados por conectores flexíveis. A adaptação procurou separar três dimensões: escala da mão, comprimentos relativos dos dedos e braçadeira do antebraço.</w:t>
      </w:r>
    </w:p>
    <w:p>
      <w:pPr>
        <w:pStyle w:val="Heading3"/>
      </w:pPr>
      <w:r>
        <w:t>C.3.2 Entradas, limites e relações</w:t>
      </w:r>
    </w:p>
    <w:p>
      <w:pPr/>
      <w:r>
        <w:t>Tabela C.2 — Parâmetros numéricos do Flexy Beast com efeito dimensional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w="1800" w:type="dxa"/>
          </w:tcPr>
          <w:p>
            <w:pPr/>
            <w:r>
              <w:t>Família</w:t>
            </w:r>
          </w:p>
        </w:tc>
        <w:tc>
          <w:tcPr>
            <w:tcW w:w="1800" w:type="dxa"/>
          </w:tcPr>
          <w:p>
            <w:pPr/>
            <w:r>
              <w:t>Parâmetros e unidade</w:t>
            </w:r>
          </w:p>
        </w:tc>
        <w:tc>
          <w:tcPr>
            <w:tcW w:w="1800" w:type="dxa"/>
          </w:tcPr>
          <w:p>
            <w:pPr/>
            <w:r>
              <w:t>Valor inicial</w:t>
            </w:r>
          </w:p>
        </w:tc>
        <w:tc>
          <w:tcPr>
            <w:tcW w:w="1800" w:type="dxa"/>
          </w:tcPr>
          <w:p>
            <w:pPr/>
            <w:r>
              <w:t>Intervalo declarado</w:t>
            </w:r>
          </w:p>
        </w:tc>
        <w:tc>
          <w:tcPr>
            <w:tcW w:w="1800" w:type="dxa"/>
          </w:tcPr>
          <w:p>
            <w:pPr/>
            <w:r>
              <w:t>Relação implementada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Palma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palm_breadth_mm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83</w:t>
            </w:r>
          </w:p>
        </w:tc>
        <w:tc>
          <w:tcPr>
            <w:tcW w:w="1800" w:type="dxa"/>
          </w:tcPr>
          <w:p>
            <w:pPr/>
            <w:r>
              <w:t>55–110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xScaleFactor = (palm_breadth_mm + 5) / 55</w:t>
            </w:r>
            <w:r>
              <w:t>; os três eixos da mão usam o mesmo factor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Dedos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middle_finger_length_mm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72</w:t>
            </w:r>
          </w:p>
        </w:tc>
        <w:tc>
          <w:tcPr>
            <w:tcW w:w="1800" w:type="dxa"/>
          </w:tcPr>
          <w:p>
            <w:pPr/>
            <w:r>
              <w:t>40–120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fingerLength = middle_finger_length_mm / (37 × xScaleFactor)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Dedos</w:t>
            </w:r>
          </w:p>
        </w:tc>
        <w:tc>
          <w:tcPr>
            <w:tcW w:w="1800" w:type="dxa"/>
          </w:tcPr>
          <w:p>
            <w:pPr/>
            <w:r>
              <w:t>indicador e anelar (mm)</w:t>
            </w:r>
          </w:p>
        </w:tc>
        <w:tc>
          <w:tcPr>
            <w:tcW w:w="1800" w:type="dxa"/>
          </w:tcPr>
          <w:p>
            <w:pPr/>
            <w:r>
              <w:t>68; 68</w:t>
            </w:r>
          </w:p>
        </w:tc>
        <w:tc>
          <w:tcPr>
            <w:tcW w:w="1800" w:type="dxa"/>
          </w:tcPr>
          <w:p>
            <w:pPr/>
            <w:r>
              <w:t>40–120</w:t>
            </w:r>
          </w:p>
        </w:tc>
        <w:tc>
          <w:tcPr>
            <w:tcW w:w="1800" w:type="dxa"/>
          </w:tcPr>
          <w:p>
            <w:pPr/>
            <w:r>
              <w:t>proporção local = comprimento do dedo / comprimento do médio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Dedos</w:t>
            </w:r>
          </w:p>
        </w:tc>
        <w:tc>
          <w:tcPr>
            <w:tcW w:w="1800" w:type="dxa"/>
          </w:tcPr>
          <w:p>
            <w:pPr/>
            <w:r>
              <w:t>mindinho e polegar (mm)</w:t>
            </w:r>
          </w:p>
        </w:tc>
        <w:tc>
          <w:tcPr>
            <w:tcW w:w="1800" w:type="dxa"/>
          </w:tcPr>
          <w:p>
            <w:pPr/>
            <w:r>
              <w:t>55; 65</w:t>
            </w:r>
          </w:p>
        </w:tc>
        <w:tc>
          <w:tcPr>
            <w:tcW w:w="1800" w:type="dxa"/>
          </w:tcPr>
          <w:p>
            <w:pPr/>
            <w:r>
              <w:t>30–100; 35–100</w:t>
            </w:r>
          </w:p>
        </w:tc>
        <w:tc>
          <w:tcPr>
            <w:tcW w:w="1800" w:type="dxa"/>
          </w:tcPr>
          <w:p>
            <w:pPr/>
            <w:r>
              <w:t>proporção local = comprimento do dedo / comprimento do médio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Juntas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joint_dia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joint_thick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7; 4</w:t>
            </w:r>
          </w:p>
        </w:tc>
        <w:tc>
          <w:tcPr>
            <w:tcW w:w="1800" w:type="dxa"/>
          </w:tcPr>
          <w:p>
            <w:pPr/>
            <w:r>
              <w:t>4–10; 1–6</w:t>
            </w:r>
          </w:p>
        </w:tc>
        <w:tc>
          <w:tcPr>
            <w:tcW w:w="1800" w:type="dxa"/>
          </w:tcPr>
          <w:p>
            <w:pPr/>
            <w:r>
              <w:t>diâmetro do furo e espessura da ranhura do conector flexível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Braçadeira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wrist_circumference_mm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160</w:t>
            </w:r>
          </w:p>
        </w:tc>
        <w:tc>
          <w:tcPr>
            <w:tcW w:w="1800" w:type="dxa"/>
          </w:tcPr>
          <w:p>
            <w:pPr/>
            <w:r>
              <w:t>110–260</w:t>
            </w:r>
          </w:p>
        </w:tc>
        <w:tc>
          <w:tcPr>
            <w:tcW w:w="1800" w:type="dxa"/>
          </w:tcPr>
          <w:p>
            <w:pPr/>
            <w:r>
              <w:t>profundidade da braçadeira derivada de circunferência/π mais 6 mm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Braçadeira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gauntlet_tilt</w:t>
            </w:r>
            <w:r>
              <w:t xml:space="preserve"> (graus)</w:t>
            </w:r>
          </w:p>
        </w:tc>
        <w:tc>
          <w:tcPr>
            <w:tcW w:w="1800" w:type="dxa"/>
          </w:tcPr>
          <w:p>
            <w:pPr/>
            <w:r>
              <w:t>0</w:t>
            </w:r>
          </w:p>
        </w:tc>
        <w:tc>
          <w:tcPr>
            <w:tcW w:w="1800" w:type="dxa"/>
          </w:tcPr>
          <w:p>
            <w:pPr/>
            <w:r>
              <w:t>−10–40</w:t>
            </w:r>
          </w:p>
        </w:tc>
        <w:tc>
          <w:tcPr>
            <w:tcW w:w="1800" w:type="dxa"/>
          </w:tcPr>
          <w:p>
            <w:pPr/>
            <w:r>
              <w:t>rotação da braçadeira em torno do eixo do pino do punho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Braçadeira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gauntlet_length_scale</w:t>
            </w:r>
            <w:r>
              <w:t xml:space="preserve"> (razão)</w:t>
            </w:r>
          </w:p>
        </w:tc>
        <w:tc>
          <w:tcPr>
            <w:tcW w:w="1800" w:type="dxa"/>
          </w:tcPr>
          <w:p>
            <w:pPr/>
            <w:r>
              <w:t>0,7</w:t>
            </w:r>
          </w:p>
        </w:tc>
        <w:tc>
          <w:tcPr>
            <w:tcW w:w="1800" w:type="dxa"/>
          </w:tcPr>
          <w:p>
            <w:pPr/>
            <w:r>
              <w:t>0,7–1,5</w:t>
            </w:r>
          </w:p>
        </w:tc>
        <w:tc>
          <w:tcPr>
            <w:tcW w:w="1800" w:type="dxa"/>
          </w:tcPr>
          <w:p>
            <w:pPr/>
            <w:r>
              <w:t>multiplicador do comprimento nativo reconstruído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Braçadeira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gauntlet_rim_hole_d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2,5</w:t>
            </w:r>
          </w:p>
        </w:tc>
        <w:tc>
          <w:tcPr>
            <w:tcW w:w="1800" w:type="dxa"/>
          </w:tcPr>
          <w:p>
            <w:pPr/>
            <w:r>
              <w:t>1,5–6</w:t>
            </w:r>
          </w:p>
        </w:tc>
        <w:tc>
          <w:tcPr>
            <w:tcW w:w="1800" w:type="dxa"/>
          </w:tcPr>
          <w:p>
            <w:pPr/>
            <w:r>
              <w:t>diâmetro dos furos de correia no rebordo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Punho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wrist_pin_dia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wrist_pin_clearance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7; 0,35</w:t>
            </w:r>
          </w:p>
        </w:tc>
        <w:tc>
          <w:tcPr>
            <w:tcW w:w="1800" w:type="dxa"/>
          </w:tcPr>
          <w:p>
            <w:pPr/>
            <w:r>
              <w:t>4–10; 0,10–0,80</w:t>
            </w:r>
          </w:p>
        </w:tc>
        <w:tc>
          <w:tcPr>
            <w:tcW w:w="1800" w:type="dxa"/>
          </w:tcPr>
          <w:p>
            <w:pPr/>
            <w:r>
              <w:t>furo da braçadeira = diâmetro do pino + 2 × folga</w:t>
            </w:r>
          </w:p>
        </w:tc>
      </w:tr>
    </w:tbl>
    <w:p>
      <w:pPr/>
      <w:r>
        <w:t>O alcance de referência dos segmentos digitais é 37 mm à escala unitária, formado pelos valores nativos de 20 mm para a base e 17 mm para a ponta. O comprimento do dedo médio define o multiplicador mestre; os restantes dedos recebem uma proporção face ao médio. Esta transformação permite variar os comprimentos digitais sem obrigar a largura da palma a aumentar na mesma proporção.</w:t>
      </w:r>
    </w:p>
    <w:p>
      <w:pPr/>
      <w:r>
        <w:t xml:space="preserve">Os conectores flexíveis são derivados das interfaces mecânicas: a parede em torno do furo é fixada em 1,2 mm; o raio do lóbulo é </w:t>
      </w:r>
      <w:r>
        <w:rPr>
          <w:rFonts w:ascii="Consolas" w:hAnsi="Consolas"/>
          <w:sz w:val="20"/>
        </w:rPr>
        <w:t>joint_dia / 2 + 1,2</w:t>
      </w:r>
      <w:r>
        <w:t xml:space="preserve">; a espessura da ponte corresponde a </w:t>
      </w:r>
      <w:r>
        <w:rPr>
          <w:rFonts w:ascii="Consolas" w:hAnsi="Consolas"/>
          <w:sz w:val="20"/>
        </w:rPr>
        <w:t>joint_thick</w:t>
      </w:r>
      <w:r>
        <w:t xml:space="preserve">; o comprimento ao longo do pino é </w:t>
      </w:r>
      <w:r>
        <w:rPr>
          <w:rFonts w:ascii="Consolas" w:hAnsi="Consolas"/>
          <w:sz w:val="20"/>
        </w:rPr>
        <w:t>9,5 × xScaleFactor</w:t>
      </w:r>
      <w:r>
        <w:t xml:space="preserve">; e a distância entre centros dos lóbulos é </w:t>
      </w:r>
      <w:r>
        <w:rPr>
          <w:rFonts w:ascii="Consolas" w:hAnsi="Consolas"/>
          <w:sz w:val="20"/>
        </w:rPr>
        <w:t>8 × xScaleFactor</w:t>
      </w:r>
      <w:r>
        <w:t>. Estes valores descrevem a geometria codificada e não resultam de um ensaio material nesta investigação. As juntas flexíveis não foram produzidas nos protótipos físicos.</w:t>
      </w:r>
    </w:p>
    <w:p>
      <w:pPr>
        <w:pStyle w:val="Heading3"/>
      </w:pPr>
      <w:r>
        <w:t>C.3.3 Braçadeira e interfaces confirmáveis</w:t>
      </w:r>
    </w:p>
    <w:p>
      <w:pPr/>
      <w:r>
        <w:t xml:space="preserve">A versão actual reutiliza uma braçadeira reconstruída a partir de </w:t>
      </w:r>
      <w:r>
        <w:rPr>
          <w:rFonts w:ascii="Consolas" w:hAnsi="Consolas"/>
          <w:sz w:val="20"/>
        </w:rPr>
        <w:t>Normal_Gauntlet_w_Tensioner.stl</w:t>
      </w:r>
      <w:r>
        <w:t xml:space="preserve">. A forma orgânica principal está incorporada como malha poligonal reduzida; os furos mecânicos são novamente abertos de forma paramétrica. A largura nativa medida é 49,88 mm e os centros dos furos das abas situam-se em </w:t>
      </w:r>
      <w:r>
        <w:rPr>
          <w:rFonts w:ascii="Consolas" w:hAnsi="Consolas"/>
          <w:sz w:val="20"/>
        </w:rPr>
        <w:t>X = ±22,6</w:t>
      </w:r>
      <w:r>
        <w:t xml:space="preserve">, </w:t>
      </w:r>
      <w:r>
        <w:rPr>
          <w:rFonts w:ascii="Consolas" w:hAnsi="Consolas"/>
          <w:sz w:val="20"/>
        </w:rPr>
        <w:t>Y = −58,3</w:t>
      </w:r>
      <w:r>
        <w:t xml:space="preserve"> e </w:t>
      </w:r>
      <w:r>
        <w:rPr>
          <w:rFonts w:ascii="Consolas" w:hAnsi="Consolas"/>
          <w:sz w:val="20"/>
        </w:rPr>
        <w:t>Z = −9,8</w:t>
      </w:r>
      <w:r>
        <w:t xml:space="preserve"> mm no referencial da peça.</w:t>
      </w:r>
    </w:p>
    <w:p>
      <w:pPr/>
      <w:r>
        <w:t>As relações principais são:</w:t>
      </w:r>
    </w:p>
    <w:p>
      <w:pPr>
        <w:pStyle w:val="CodeBlock"/>
      </w:pPr>
      <w:r>
        <w:t>g</w:t>
      </w:r>
      <w:r>
        <w:rPr>
          <w:i/>
        </w:rPr>
        <w:t>hinge = (26,6 − 2,6) / 22,6</w:t>
        <w:br/>
        <w:t>g</w:t>
      </w:r>
      <w:r>
        <w:t>depth = (wrist</w:t>
      </w:r>
      <w:r>
        <w:rPr>
          <w:i/>
        </w:rPr>
        <w:t>circumference</w:t>
      </w:r>
      <w:r>
        <w:t>mm / π + 6) / (49,88 × xScaleFactor)</w:t>
        <w:br/>
        <w:t>g</w:t>
      </w:r>
      <w:r>
        <w:rPr>
          <w:i/>
        </w:rPr>
        <w:t>pin</w:t>
      </w:r>
      <w:r>
        <w:t>bore = wrist</w:t>
      </w:r>
      <w:r>
        <w:rPr>
          <w:i/>
        </w:rPr>
        <w:t>pin</w:t>
      </w:r>
      <w:r>
        <w:t>dia + 2 × wrist</w:t>
      </w:r>
      <w:r>
        <w:rPr>
          <w:i/>
        </w:rPr>
        <w:t>pin</w:t>
      </w:r>
      <w:r>
        <w:t>clearance</w:t>
      </w:r>
    </w:p>
    <w:p>
      <w:pPr/>
      <w:r>
        <w:t xml:space="preserve">O factor </w:t>
      </w:r>
      <w:r>
        <w:rPr>
          <w:rFonts w:ascii="Consolas" w:hAnsi="Consolas"/>
          <w:sz w:val="20"/>
        </w:rPr>
        <w:t>g_depth</w:t>
      </w:r>
      <w:r>
        <w:t xml:space="preserve"> inclui a divisão por </w:t>
      </w:r>
      <w:r>
        <w:rPr>
          <w:rFonts w:ascii="Consolas" w:hAnsi="Consolas"/>
          <w:sz w:val="20"/>
        </w:rPr>
        <w:t>xScaleFactor</w:t>
      </w:r>
      <w:r>
        <w:t xml:space="preserve"> porque a braçadeira volta a ser envolvida pela escala da mão na montagem. Desta forma, a profundidade impressa procura permanecer dependente da circunferência do punho e não da largura da palma. A posição é recalculada para fazer coincidir os furos das abas com o eixo do pino da palma, identificado no código por </w:t>
      </w:r>
      <w:r>
        <w:rPr>
          <w:rFonts w:ascii="Consolas" w:hAnsi="Consolas"/>
          <w:sz w:val="20"/>
        </w:rPr>
        <w:t>Y = −27</w:t>
      </w:r>
      <w:r>
        <w:t xml:space="preserve"> e </w:t>
      </w:r>
      <w:r>
        <w:rPr>
          <w:rFonts w:ascii="Consolas" w:hAnsi="Consolas"/>
          <w:sz w:val="20"/>
        </w:rPr>
        <w:t>Z = 5,5</w:t>
      </w:r>
      <w:r>
        <w:t xml:space="preserve"> mm.</w:t>
      </w:r>
    </w:p>
    <w:p>
      <w:pPr/>
      <w:r>
        <w:t>O código confirma espessuras locais de 3,2 mm na zona dos furos médios e 5 mm nas zonas dos furos do pino e do rebordo. Não confirma uma espessura uniforme da casca orgânica nem uma tolerância de fabrico validada para toda a braçadeira. A folga de 0,35 mm é um valor configurável de projecto; não foi estabelecida por ensaio sistemático de montagem.</w:t>
      </w:r>
    </w:p>
    <w:p>
      <w:pPr>
        <w:pStyle w:val="Heading3"/>
      </w:pPr>
      <w:r>
        <w:t>C.3.4 Exemplo de propagação já preservado</w:t>
      </w:r>
    </w:p>
    <w:p>
      <w:pPr/>
      <w:r>
        <w:t xml:space="preserve">O percurso numérico do perfil simulado de oito anos — valores aplicados, factores derivados e métricas de três malhas — já se encontra preservado em </w:t>
      </w:r>
      <w:r>
        <w:rPr>
          <w:rFonts w:ascii="Consolas" w:hAnsi="Consolas"/>
          <w:sz w:val="20"/>
        </w:rPr>
        <w:t>sources/manuscript/annexes/dicionario_parametros_v14.67.0/example_flexy_beast_child_8/</w:t>
      </w:r>
      <w:r>
        <w:t>. Para evitar duplicação, este anexo não repete a Tabela 4.10 nem os 42 registos do dicionário histórico. Acrescenta apenas a alteração posterior da braçadeira e os casos que expõem dependências ainda não descritas no suplemento 14.67.0.</w:t>
      </w:r>
    </w:p>
    <w:p>
      <w:pPr/>
      <w:r>
        <w:t xml:space="preserve">O resultado central desse percurso continua a ser pertinente: </w:t>
      </w:r>
      <w:r>
        <w:rPr>
          <w:rFonts w:ascii="Consolas" w:hAnsi="Consolas"/>
          <w:sz w:val="20"/>
        </w:rPr>
        <w:t>palm_breadth_mm</w:t>
      </w:r>
      <w:r>
        <w:t xml:space="preserve"> alimenta uma fórmula herdada e não define directamente a extensão transversal da malha. O caso documenta a propagação do valor; não demonstra correspondência anatómica.</w:t>
      </w:r>
    </w:p>
    <w:p>
      <w:pPr>
        <w:pStyle w:val="Heading3"/>
      </w:pPr>
      <w:r>
        <w:t>C.3.5 Limitações específicas</w:t>
      </w:r>
    </w:p>
    <w:p>
      <w:pPr>
        <w:pStyle w:val="ListBullet"/>
      </w:pPr>
      <w:r>
        <w:t>- a palma continua a usar escala uniforme;</w:t>
      </w:r>
    </w:p>
    <w:p>
      <w:pPr>
        <w:pStyle w:val="ListBullet"/>
      </w:pPr>
      <w:r>
        <w:t>- os comprimentos digitais controlam relações de alcance, mas não definem independentemente largura ou espessura dos dedos;</w:t>
      </w:r>
    </w:p>
    <w:p>
      <w:pPr>
        <w:pStyle w:val="ListBullet"/>
      </w:pPr>
      <w:r>
        <w:t>- a espessura integral da braçadeira não é um parâmetro no estado 14.72.0;</w:t>
      </w:r>
    </w:p>
    <w:p>
      <w:pPr>
        <w:pStyle w:val="ListBullet"/>
      </w:pPr>
      <w:r>
        <w:t>- os conectores flexíveis e a folga do punho carecem de ensaios materiais e de montagem;</w:t>
      </w:r>
    </w:p>
    <w:p>
      <w:pPr>
        <w:pStyle w:val="ListBullet"/>
      </w:pPr>
      <w:r>
        <w:t xml:space="preserve">- a configuração não contém afirmações </w:t>
      </w:r>
      <w:r>
        <w:rPr>
          <w:rFonts w:ascii="Consolas" w:hAnsi="Consolas"/>
          <w:sz w:val="20"/>
        </w:rPr>
        <w:t>assert()</w:t>
      </w:r>
      <w:r>
        <w:t xml:space="preserve"> suficientes para impedir todas as combinações inválidas quando os valores são introduzidos fora da interface.</w:t>
      </w:r>
    </w:p>
    <w:p>
      <w:pPr>
        <w:pStyle w:val="Heading2"/>
      </w:pPr>
      <w:r>
        <w:t>C.4 Cyborg Beast</w:t>
      </w:r>
    </w:p>
    <w:p>
      <w:pPr>
        <w:pStyle w:val="Heading3"/>
      </w:pPr>
      <w:r>
        <w:t>C.4.1 Origem e estratégia de adaptação</w:t>
      </w:r>
    </w:p>
    <w:p>
      <w:pPr/>
      <w:r>
        <w:t>O Cyborg Beast local preserva a palma e os segmentos digitais da linhagem MakerBlock/e-NABLE e acrescenta uma camada antropométrica, divisão proximal–distal, braçadeira dimensionada pelo punho, revestimento termoformável e disposição das peças para impressão. A licença não está explicitada no pacote local examinado; esta ausência documental deve permanecer indicada até ser confirmada na fonte original.</w:t>
      </w:r>
    </w:p>
    <w:p>
      <w:pPr>
        <w:pStyle w:val="Heading3"/>
      </w:pPr>
      <w:r>
        <w:t>C.4.2 Entradas e escala da mão</w:t>
      </w:r>
    </w:p>
    <w:p>
      <w:pPr/>
      <w:r>
        <w:t>Os seis parâmetros principais de palma e dedos usam os mesmos valores iniciais e intervalos do Flexy Beast. A escala global é:</w:t>
      </w:r>
    </w:p>
    <w:p>
      <w:pPr>
        <w:pStyle w:val="CodeBlock"/>
      </w:pPr>
      <w:r>
        <w:t>overall</w:t>
      </w:r>
      <w:r>
        <w:rPr>
          <w:i/>
        </w:rPr>
        <w:t>scale = (palm</w:t>
      </w:r>
      <w:r>
        <w:t>breadth</w:t>
      </w:r>
      <w:r>
        <w:rPr>
          <w:i/>
        </w:rPr>
        <w:t>mm + 5) / 55</w:t>
      </w:r>
    </w:p>
    <w:p>
      <w:pPr/>
      <w:r>
        <w:t xml:space="preserve">Ao contrário do Flexy Beast, o comprimento de cada dedo é obtido através da inversão de curvas de alcance calibradas sobre a geometria original. A curva total usa 60,85 mm como alcance de referência local e duas inclinações: 1,584 para valores positivos da alavanca </w:t>
      </w:r>
      <w:r>
        <w:rPr>
          <w:rFonts w:ascii="Consolas" w:hAnsi="Consolas"/>
          <w:sz w:val="20"/>
        </w:rPr>
        <w:t>len</w:t>
      </w:r>
      <w:r>
        <w:t xml:space="preserve"> e 1,328 para valores negativos. A alavanca é limitada ao intervalo interno de −22 a 50 para evitar extensões que o modelo classifica como inseguras para a geometria.</w:t>
      </w:r>
    </w:p>
    <w:p>
      <w:pPr>
        <w:pStyle w:val="Heading3"/>
      </w:pPr>
      <w:r>
        <w:t>C.4.3 Divisão proximal–distal</w:t>
      </w:r>
    </w:p>
    <w:p>
      <w:pPr/>
      <w:r>
        <w:t>Os valores iniciais dos segmentos proximais são 22, 24, 22 e 16 mm para indicador, médio, anelar e mindinho; os intervalos são 12–60 mm nos três primeiros e 10–55 mm no mindinho. O polegar inicia em 27 mm, com intervalo 12–45 mm.</w:t>
      </w:r>
    </w:p>
    <w:p>
      <w:pPr/>
      <w:r>
        <w:t>Para os quatro dedos, a transformação é:</w:t>
      </w:r>
    </w:p>
    <w:p>
      <w:pPr>
        <w:pStyle w:val="CodeBlock"/>
      </w:pPr>
      <w:r>
        <w:t>alcance</w:t>
      </w:r>
      <w:r>
        <w:rPr>
          <w:i/>
        </w:rPr>
        <w:t>proximal</w:t>
      </w:r>
      <w:r>
        <w:t>local(lp) = 23 + (2/3) × lp</w:t>
        <w:br/>
        <w:t>lp = limitar((((base</w:t>
      </w:r>
      <w:r>
        <w:rPr>
          <w:i/>
        </w:rPr>
        <w:t>mm / overall</w:t>
      </w:r>
      <w:r>
        <w:t>scale) − 23) / (2/3)), −22, 50)</w:t>
        <w:br/>
        <w:t>alcance</w:t>
      </w:r>
      <w:r>
        <w:rPr>
          <w:i/>
        </w:rPr>
        <w:t>distal</w:t>
      </w:r>
      <w:r>
        <w:t>de</w:t>
      </w:r>
      <w:r>
        <w:rPr>
          <w:i/>
        </w:rPr>
        <w:t>referência = 60,85 − 23 = 37,85</w:t>
        <w:br/>
        <w:t>ld = inversão da curva distal para preencher total</w:t>
      </w:r>
      <w:r>
        <w:t>mm − base</w:t>
      </w:r>
      <w:r>
        <w:rPr>
          <w:i/>
        </w:rPr>
        <w:t>mm</w:t>
      </w:r>
    </w:p>
    <w:p>
      <w:pPr/>
      <w:r>
        <w:t>O segmento distal preenche o comprimento que resta depois do proximal, usando a inclinação correspondente ao sinal da alavanca. O posicionamento da ponta é igualmente deslocado para manter o eixo PIP coincidente.</w:t>
      </w:r>
    </w:p>
    <w:p>
      <w:pPr/>
      <w:r>
        <w:t>No polegar, a relação foi ajustada por renderização sobre uma grelha de valores:</w:t>
      </w:r>
    </w:p>
    <w:p>
      <w:pPr>
        <w:pStyle w:val="CodeBlock"/>
      </w:pPr>
      <w:r>
        <w:t>alcance</w:t>
      </w:r>
      <w:r>
        <w:rPr>
          <w:i/>
        </w:rPr>
        <w:t>local = 55,84 + 0,6185 × lp + 0,77 × ld</w:t>
        <w:br/>
        <w:t>deslocamento da junção = −(23,667 + lp/3 + ld/3)</w:t>
      </w:r>
    </w:p>
    <w:p>
      <w:pPr/>
      <w:r>
        <w:t>O código declara um resíduo máximo de 0,74 mm para este ajuste. Trata-se de uma calibração geométrica da implementação, não de um modelo anatómico do polegar.</w:t>
      </w:r>
    </w:p>
    <w:p>
      <w:pPr>
        <w:pStyle w:val="Heading3"/>
      </w:pPr>
      <w:r>
        <w:t>C.4.4 Braçadeira, folgas e parâmetros fixos</w:t>
      </w:r>
    </w:p>
    <w:p>
      <w:pPr/>
      <w:r>
        <w:t xml:space="preserve">A braçadeira partilha a lógica descrita para o Flexy Beast. Recebe </w:t>
      </w:r>
      <w:r>
        <w:rPr>
          <w:rFonts w:ascii="Consolas" w:hAnsi="Consolas"/>
          <w:sz w:val="20"/>
        </w:rPr>
        <w:t>wrist_circumference_mm</w:t>
      </w:r>
      <w:r>
        <w:t xml:space="preserve"> entre 110 e 260 mm, inclinação entre −10° e 40°, multiplicador de comprimento entre 0,7 e 1,5, diâmetro de pino entre 4 e 10 mm, folga entre 0,10 e 0,80 mm e furos de correia entre 1,5 e 6 mm. O furo resultante usa </w:t>
      </w:r>
      <w:r>
        <w:rPr>
          <w:rFonts w:ascii="Consolas" w:hAnsi="Consolas"/>
          <w:sz w:val="20"/>
        </w:rPr>
        <w:t>wrist_pin_dia + 2 × wrist_pin_clearance</w:t>
      </w:r>
      <w:r>
        <w:t>.</w:t>
      </w:r>
    </w:p>
    <w:p>
      <w:pPr/>
      <w:r>
        <w:t xml:space="preserve">As constantes de referência da palma incluem raio de nó de 4,85 mm, altura do punho de 10 mm, altura da palma de 20 mm, largura-base de 64 unidades e espessura </w:t>
      </w:r>
      <w:r>
        <w:rPr>
          <w:rFonts w:ascii="Consolas" w:hAnsi="Consolas"/>
          <w:sz w:val="20"/>
        </w:rPr>
        <w:t>th = 3</w:t>
      </w:r>
      <w:r>
        <w:t>. Estes valores são herdados ou calibrados no modelo e não estão expostos como medidas antropométricas.</w:t>
      </w:r>
    </w:p>
    <w:p>
      <w:pPr>
        <w:pStyle w:val="Heading3"/>
      </w:pPr>
      <w:r>
        <w:t>C.4.5 Exemplo de propagação</w:t>
      </w:r>
    </w:p>
    <w:p>
      <w:pPr/>
      <w:r>
        <w:t>Com largura da palma de 83 mm, comprimento do dedo médio de 72 mm e segmento proximal de 24 mm:</w:t>
      </w:r>
    </w:p>
    <w:p>
      <w:pPr>
        <w:pStyle w:val="CodeBlock"/>
      </w:pPr>
      <w:r>
        <w:t>overall</w:t>
      </w:r>
      <w:r>
        <w:rPr>
          <w:i/>
        </w:rPr>
        <w:t>scale = (83 + 5) / 55 = 1,6</w:t>
        <w:br/>
        <w:t>lp = ((24 / 1,6) − 23) / (2/3) = −12</w:t>
        <w:br/>
        <w:t>alcance proximal impresso = 1,6 × [23 + (2/3) × (−12)] = 24 mm</w:t>
        <w:br/>
        <w:t>ld ≈ −11,86996</w:t>
        <w:br/>
        <w:t>alcance distal impresso = 48 mm</w:t>
        <w:br/>
        <w:t>comprimento total calculado = 24 + 48 = 72 mm</w:t>
      </w:r>
    </w:p>
    <w:p>
      <w:pPr/>
      <w:r>
        <w:t>O exemplo confirma a coerência interna das equações para esta configuração. A correspondência entre o alcance calculado e uma medição corporal teria de ser verificada num protocolo dimensional próprio.</w:t>
      </w:r>
    </w:p>
    <w:p>
      <w:pPr>
        <w:pStyle w:val="Heading3"/>
      </w:pPr>
      <w:r>
        <w:t>C.4.6 Limitações específicas</w:t>
      </w:r>
    </w:p>
    <w:p>
      <w:pPr>
        <w:pStyle w:val="ListBullet"/>
      </w:pPr>
      <w:r>
        <w:t>- as curvas dos dedos foram calibradas sobre a geometria original e não sobre uma amostra de mãos;</w:t>
      </w:r>
    </w:p>
    <w:p>
      <w:pPr>
        <w:pStyle w:val="ListBullet"/>
      </w:pPr>
      <w:r>
        <w:t>- o limite interno das alavancas pode impedir que combinações extremas atinjam exactamente o comprimento pedido;</w:t>
      </w:r>
    </w:p>
    <w:p>
      <w:pPr>
        <w:pStyle w:val="ListBullet"/>
      </w:pPr>
      <w:r>
        <w:t>- a calibração do polegar apresenta erro residual declarado;</w:t>
      </w:r>
    </w:p>
    <w:p>
      <w:pPr>
        <w:pStyle w:val="ListBullet"/>
      </w:pPr>
      <w:r>
        <w:t>- o revestimento termoformável é uma possibilidade construtiva, não uma interface corporal avaliada;</w:t>
      </w:r>
    </w:p>
    <w:p>
      <w:pPr>
        <w:pStyle w:val="ListBullet"/>
      </w:pPr>
      <w:r>
        <w:t>- o Cyborg Beast não integrou a comparação dimensional, os projectos de preparação ou as séries físicas descritas no estudo principal.</w:t>
      </w:r>
    </w:p>
    <w:p>
      <w:pPr>
        <w:pStyle w:val="Heading2"/>
      </w:pPr>
      <w:r>
        <w:t>C.5 Paraglider Hand</w:t>
      </w:r>
    </w:p>
    <w:p>
      <w:pPr>
        <w:pStyle w:val="Heading3"/>
      </w:pPr>
      <w:r>
        <w:t>C.5.1 Origem e estratégia de adaptação</w:t>
      </w:r>
    </w:p>
    <w:p>
      <w:pPr/>
      <w:r>
        <w:t>O Paraglider Hand, também identificado como Flexible Flyer, deriva do trabalho de Marcus Mendenhall e encontra-se localmente associado à licença CC BY-SA 4.0. O conjunto integra ainda dependências das linhagens Reborn Hand e UnLimbited Arm com licenças próprias. A adaptação teve de conciliar duas exigências: permitir variação digital por dedo e manter a palma sob escala uniforme para não deformar os furos dos pinos.</w:t>
      </w:r>
    </w:p>
    <w:p>
      <w:pPr>
        <w:pStyle w:val="Heading3"/>
      </w:pPr>
      <w:r>
        <w:t>C.5.2 Relações implementadas</w:t>
      </w:r>
    </w:p>
    <w:p>
      <w:pPr/>
      <w:r>
        <w:t>Tabela C.3 — Relações dimensionais do Paraglider Hand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w="3000" w:type="dxa"/>
          </w:tcPr>
          <w:p>
            <w:pPr/>
            <w:r>
              <w:t>Entrada</w:t>
            </w:r>
          </w:p>
        </w:tc>
        <w:tc>
          <w:tcPr>
            <w:tcW w:w="3000" w:type="dxa"/>
          </w:tcPr>
          <w:p>
            <w:pPr/>
            <w:r>
              <w:t>Inicial; intervalo</w:t>
            </w:r>
          </w:p>
        </w:tc>
        <w:tc>
          <w:tcPr>
            <w:tcW w:w="3000" w:type="dxa"/>
          </w:tcPr>
          <w:p>
            <w:pPr/>
            <w:r>
              <w:t>Transformação ou estado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palm_breadth_mm</w:t>
            </w:r>
          </w:p>
        </w:tc>
        <w:tc>
          <w:tcPr>
            <w:tcW w:w="3000" w:type="dxa"/>
          </w:tcPr>
          <w:p>
            <w:pPr/>
            <w:r>
              <w:t>83; 55–110 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overall_scale = palm_breadth_mm / 66,4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palm_length_mm</w:t>
            </w:r>
          </w:p>
        </w:tc>
        <w:tc>
          <w:tcPr>
            <w:tcW w:w="3000" w:type="dxa"/>
          </w:tcPr>
          <w:p>
            <w:pPr/>
            <w:r>
              <w:t>95; 60–140 mm</w:t>
            </w:r>
          </w:p>
        </w:tc>
        <w:tc>
          <w:tcPr>
            <w:tcW w:w="3000" w:type="dxa"/>
          </w:tcPr>
          <w:p>
            <w:pPr/>
            <w:r>
              <w:t>campo contextual; não deforma a palma de modo independente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palm_thickness_mm</w:t>
            </w:r>
          </w:p>
        </w:tc>
        <w:tc>
          <w:tcPr>
            <w:tcW w:w="3000" w:type="dxa"/>
          </w:tcPr>
          <w:p>
            <w:pPr/>
            <w:r>
              <w:t>32; 18–50 mm</w:t>
            </w:r>
          </w:p>
        </w:tc>
        <w:tc>
          <w:tcPr>
            <w:tcW w:w="3000" w:type="dxa"/>
          </w:tcPr>
          <w:p>
            <w:pPr/>
            <w:r>
              <w:t>campo contextual; não deforma a palma de modo independente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middle_finger_length_mm</w:t>
            </w:r>
          </w:p>
        </w:tc>
        <w:tc>
          <w:tcPr>
            <w:tcW w:w="3000" w:type="dxa"/>
          </w:tcPr>
          <w:p>
            <w:pPr/>
            <w:r>
              <w:t>72; 40–120 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global_scale = valor / 57,6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>indicador e anelar</w:t>
            </w:r>
          </w:p>
        </w:tc>
        <w:tc>
          <w:tcPr>
            <w:tcW w:w="3000" w:type="dxa"/>
          </w:tcPr>
          <w:p>
            <w:pPr/>
            <w:r>
              <w:t>68; 40–120 mm</w:t>
            </w:r>
          </w:p>
        </w:tc>
        <w:tc>
          <w:tcPr>
            <w:tcW w:w="3000" w:type="dxa"/>
          </w:tcPr>
          <w:p>
            <w:pPr/>
            <w:r>
              <w:t>escala própria = valor / 57,6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>mindinho</w:t>
            </w:r>
          </w:p>
        </w:tc>
        <w:tc>
          <w:tcPr>
            <w:tcW w:w="3000" w:type="dxa"/>
          </w:tcPr>
          <w:p>
            <w:pPr/>
            <w:r>
              <w:t>55; 30–100 mm</w:t>
            </w:r>
          </w:p>
        </w:tc>
        <w:tc>
          <w:tcPr>
            <w:tcW w:w="3000" w:type="dxa"/>
          </w:tcPr>
          <w:p>
            <w:pPr/>
            <w:r>
              <w:t>escala própria = valor / 57,6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thumb_length_mm</w:t>
            </w:r>
          </w:p>
        </w:tc>
        <w:tc>
          <w:tcPr>
            <w:tcW w:w="3000" w:type="dxa"/>
          </w:tcPr>
          <w:p>
            <w:pPr/>
            <w:r>
              <w:t>65; 35–100 mm</w:t>
            </w:r>
          </w:p>
        </w:tc>
        <w:tc>
          <w:tcPr>
            <w:tcW w:w="3000" w:type="dxa"/>
          </w:tcPr>
          <w:p>
            <w:pPr/>
            <w:r>
              <w:t xml:space="preserve">campo disponível, mas o polegar usa actualmente </w:t>
            </w:r>
            <w:r>
              <w:rPr>
                <w:rFonts w:ascii="Consolas" w:hAnsi="Consolas"/>
                <w:sz w:val="20"/>
              </w:rPr>
              <w:t>global_scale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string_channel_scale</w:t>
            </w:r>
          </w:p>
        </w:tc>
        <w:tc>
          <w:tcPr>
            <w:tcW w:w="3000" w:type="dxa"/>
          </w:tcPr>
          <w:p>
            <w:pPr/>
            <w:r>
              <w:t>0,9; 0,5–1,0</w:t>
            </w:r>
          </w:p>
        </w:tc>
        <w:tc>
          <w:tcPr>
            <w:tcW w:w="3000" w:type="dxa"/>
          </w:tcPr>
          <w:p>
            <w:pPr/>
            <w:r>
              <w:t>razão aplicada ao canal de tracção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elastic_channel_scale</w:t>
            </w:r>
          </w:p>
        </w:tc>
        <w:tc>
          <w:tcPr>
            <w:tcW w:w="3000" w:type="dxa"/>
          </w:tcPr>
          <w:p>
            <w:pPr/>
            <w:r>
              <w:t>0,9; 0,5–1,5</w:t>
            </w:r>
          </w:p>
        </w:tc>
        <w:tc>
          <w:tcPr>
            <w:tcW w:w="3000" w:type="dxa"/>
          </w:tcPr>
          <w:p>
            <w:pPr/>
            <w:r>
              <w:t>razão aplicada ao canal de retorno</w:t>
            </w:r>
          </w:p>
        </w:tc>
      </w:tr>
    </w:tbl>
    <w:p>
      <w:pPr/>
      <w:r>
        <w:t xml:space="preserve">A palma Reborn continha internamente </w:t>
      </w:r>
      <w:r>
        <w:rPr>
          <w:rFonts w:ascii="Consolas" w:hAnsi="Consolas"/>
          <w:sz w:val="20"/>
        </w:rPr>
        <w:t>overall_scale = 1,25</w:t>
      </w:r>
      <w:r>
        <w:t xml:space="preserve">. Como o módulo é carregado por </w:t>
      </w:r>
      <w:r>
        <w:rPr>
          <w:rFonts w:ascii="Consolas" w:hAnsi="Consolas"/>
          <w:sz w:val="20"/>
        </w:rPr>
        <w:t>use</w:t>
      </w:r>
      <w:r>
        <w:t>, esse valor permanecia no âmbito do ficheiro de origem e ignorava a escala calculada no modelo principal. A correcção foi aplicada no ponto de chamada:</w:t>
      </w:r>
    </w:p>
    <w:p>
      <w:pPr>
        <w:pStyle w:val="CodeBlock"/>
      </w:pPr>
      <w:r>
        <w:t>scale(overall</w:t>
      </w:r>
      <w:r>
        <w:rPr>
          <w:i/>
        </w:rPr>
        <w:t>scale / 1,25) × scaled</w:t>
      </w:r>
      <w:r>
        <w:t>palm()</w:t>
      </w:r>
    </w:p>
    <w:p>
      <w:pPr/>
      <w:r>
        <w:t xml:space="preserve">O módulo continua a aplicar internamente 1,25; o efeito líquido passa a ser </w:t>
      </w:r>
      <w:r>
        <w:rPr>
          <w:rFonts w:ascii="Consolas" w:hAnsi="Consolas"/>
          <w:sz w:val="20"/>
        </w:rPr>
        <w:t>palm_breadth_mm / 66,4</w:t>
      </w:r>
      <w:r>
        <w:t xml:space="preserve">. A variante UnLimbited V3 não exigiu a mesma correcção porque é carregada por </w:t>
      </w:r>
      <w:r>
        <w:rPr>
          <w:rFonts w:ascii="Consolas" w:hAnsi="Consolas"/>
          <w:sz w:val="20"/>
        </w:rPr>
        <w:t>include</w:t>
      </w:r>
      <w:r>
        <w:t xml:space="preserve"> e recebe a escala do ficheiro principal.</w:t>
      </w:r>
    </w:p>
    <w:p>
      <w:pPr/>
      <w:r>
        <w:t xml:space="preserve">Os dedos indicador, anelar e mindinho recebem uma razão própria em relação a </w:t>
      </w:r>
      <w:r>
        <w:rPr>
          <w:rFonts w:ascii="Consolas" w:hAnsi="Consolas"/>
          <w:sz w:val="20"/>
        </w:rPr>
        <w:t>global_scale</w:t>
      </w:r>
      <w:r>
        <w:t xml:space="preserve">. O médio define a escala-base dos módulos </w:t>
      </w:r>
      <w:r>
        <w:rPr>
          <w:rFonts w:ascii="Consolas" w:hAnsi="Consolas"/>
          <w:sz w:val="20"/>
        </w:rPr>
        <w:t>fingerator</w:t>
      </w:r>
      <w:r>
        <w:t xml:space="preserve">. No estado examinado, o polegar também usa essa escala-base; </w:t>
      </w:r>
      <w:r>
        <w:rPr>
          <w:rFonts w:ascii="Consolas" w:hAnsi="Consolas"/>
          <w:sz w:val="20"/>
        </w:rPr>
        <w:t>thumb_length_mm</w:t>
      </w:r>
      <w:r>
        <w:t xml:space="preserve"> é apresentado e pode ser preenchido pelo perfil, mas não controla autonomamente a geometria do polegar. Esta discrepância deve ser corrigida no modelo ou declarada no contrato de parâmetros.</w:t>
      </w:r>
    </w:p>
    <w:p>
      <w:pPr>
        <w:pStyle w:val="Heading3"/>
      </w:pPr>
      <w:r>
        <w:t>C.5.3 Hardware e limites confirmáveis</w:t>
      </w:r>
    </w:p>
    <w:p>
      <w:pPr/>
      <w:r>
        <w:t xml:space="preserve">O selector </w:t>
      </w:r>
      <w:r>
        <w:rPr>
          <w:rFonts w:ascii="Consolas" w:hAnsi="Consolas"/>
          <w:sz w:val="20"/>
        </w:rPr>
        <w:t>pin_index</w:t>
      </w:r>
      <w:r>
        <w:t xml:space="preserve"> escolhe entre quatro famílias de pino. Os diâmetros nominais usados no código são 3,1 mm para parafuso de 3 mm, 1,5875 mm para pino de 1/16", aproximadamente 2,413 mm para prego de calibre 13 e 1,5875 mm para pino de 1/16" sem chumaceira. O código define ainda folga nominal de 0,5 mm para a aba, profundidade de bolso de chumaceira de 0,4 mm e acréscimos locais de 0,25 ou 0,3 mm em algumas interfaces.</w:t>
      </w:r>
    </w:p>
    <w:p>
      <w:pPr/>
      <w:r>
        <w:t>Estes valores são constantes ou opções de hardware. Não foram comparados com medições sistemáticas das peças impressas. A activação dos canais de cordão e de elástico acrescenta operações geométricas demoradas; a pré-visualização mantém esses canais desligados por omissão. Uma malha sem canais não representa, por isso, uma peça funcionalmente completa.</w:t>
      </w:r>
    </w:p>
    <w:p>
      <w:pPr/>
      <w:r>
        <w:t xml:space="preserve">Os parâmetros </w:t>
      </w:r>
      <w:r>
        <w:rPr>
          <w:rFonts w:ascii="Consolas" w:hAnsi="Consolas"/>
          <w:sz w:val="20"/>
        </w:rPr>
        <w:t>ARM_HandLen</w:t>
      </w:r>
      <w:r>
        <w:t xml:space="preserve">, </w:t>
      </w:r>
      <w:r>
        <w:rPr>
          <w:rFonts w:ascii="Consolas" w:hAnsi="Consolas"/>
          <w:sz w:val="20"/>
        </w:rPr>
        <w:t>ARM_ForearmLen</w:t>
      </w:r>
      <w:r>
        <w:t xml:space="preserve">, </w:t>
      </w:r>
      <w:r>
        <w:rPr>
          <w:rFonts w:ascii="Consolas" w:hAnsi="Consolas"/>
          <w:sz w:val="20"/>
        </w:rPr>
        <w:t>ARM_BicepCircum</w:t>
      </w:r>
      <w:r>
        <w:t xml:space="preserve">, </w:t>
      </w:r>
      <w:r>
        <w:rPr>
          <w:rFonts w:ascii="Consolas" w:hAnsi="Consolas"/>
          <w:sz w:val="20"/>
        </w:rPr>
        <w:t>ARM_CuffLength</w:t>
      </w:r>
      <w:r>
        <w:t xml:space="preserve"> e </w:t>
      </w:r>
      <w:r>
        <w:rPr>
          <w:rFonts w:ascii="Consolas" w:hAnsi="Consolas"/>
          <w:sz w:val="20"/>
        </w:rPr>
        <w:t>ARM_PinHoleDia</w:t>
      </w:r>
      <w:r>
        <w:t xml:space="preserve"> pertencem à extensão opcional do braço. Não participaram na comparação da mão isolada e não devem ser apresentados como dados testados nos ensaios principais.</w:t>
      </w:r>
    </w:p>
    <w:p>
      <w:pPr>
        <w:pStyle w:val="Heading3"/>
      </w:pPr>
      <w:r>
        <w:t>C.5.4 Exemplo de propagação</w:t>
      </w:r>
    </w:p>
    <w:p>
      <w:pPr/>
      <w:r>
        <w:t>Com largura da palma de 64 mm, dedo médio de 60 mm, indicador e anelar de 57 mm, mindinho de 46 mm e polegar declarado com 50 mm:</w:t>
      </w:r>
    </w:p>
    <w:p>
      <w:pPr>
        <w:pStyle w:val="CodeBlock"/>
      </w:pPr>
      <w:r>
        <w:t>overall</w:t>
      </w:r>
      <w:r>
        <w:rPr>
          <w:i/>
        </w:rPr>
        <w:t>scale = 64 / 66,4 = 0,963855</w:t>
        <w:br/>
        <w:t>correcção no ponto de chamada Reborn = 0,963855 / 1,25 = 0,771084</w:t>
        <w:br/>
        <w:t>efeito líquido da palma = 1,25 × 0,771084 = 0,963855</w:t>
        <w:br/>
        <w:t>global</w:t>
      </w:r>
      <w:r>
        <w:t>scale do médio = 60 / 57,6 = 1,041667</w:t>
        <w:br/>
        <w:t>escala do indicador = 57 / 57,6 = 0,989583</w:t>
        <w:br/>
        <w:t>escala do anelar = 57 / 57,6 = 0,989583</w:t>
        <w:br/>
        <w:t>escala do mindinho = 46 / 57,6 = 0,798611</w:t>
        <w:br/>
        <w:t>escala actualmente aplicada ao polegar = 1,041667</w:t>
      </w:r>
    </w:p>
    <w:p>
      <w:pPr/>
      <w:r>
        <w:t>O último valor mostra que os 50 mm declarados para o polegar não são propagados como escala própria. O exemplo deve ser tratado como diagnóstico de uma limitação, não como prova de correspondência individual.</w:t>
      </w:r>
    </w:p>
    <w:p>
      <w:pPr>
        <w:pStyle w:val="Heading3"/>
      </w:pPr>
      <w:r>
        <w:t>C.5.5 Limitações específicas</w:t>
      </w:r>
    </w:p>
    <w:p>
      <w:pPr>
        <w:pStyle w:val="ListBullet"/>
      </w:pPr>
      <w:r>
        <w:t>- a palma é escalada uniformemente por decisão mecânica;</w:t>
      </w:r>
    </w:p>
    <w:p>
      <w:pPr>
        <w:pStyle w:val="ListBullet"/>
      </w:pPr>
      <w:r>
        <w:t>- comprimento e espessura da palma são contextuais;</w:t>
      </w:r>
    </w:p>
    <w:p>
      <w:pPr>
        <w:pStyle w:val="ListBullet"/>
      </w:pPr>
      <w:r>
        <w:t>- o parâmetro de comprimento do polegar não tem transformação geométrica independente;</w:t>
      </w:r>
    </w:p>
    <w:p>
      <w:pPr>
        <w:pStyle w:val="ListBullet"/>
      </w:pPr>
      <w:r>
        <w:t>- a geometria completa dos canais pode exigir tempos de cálculo superiores e deve ser activada na exportação funcional;</w:t>
      </w:r>
    </w:p>
    <w:p>
      <w:pPr>
        <w:pStyle w:val="ListBullet"/>
      </w:pPr>
      <w:r>
        <w:t>- a extensão de braço contém parâmetros fora do âmbito dos ensaios da mão;</w:t>
      </w:r>
    </w:p>
    <w:p>
      <w:pPr>
        <w:pStyle w:val="ListBullet"/>
      </w:pPr>
      <w:r>
        <w:t>- as malhas avaliadas revelaram corpos abertos ou faces degeneradas em algumas peças, pelo que a aceitação pelo programa de preparação não equivale a sólido geometricamente válido.</w:t>
      </w:r>
    </w:p>
    <w:p>
      <w:pPr>
        <w:pStyle w:val="Heading2"/>
      </w:pPr>
      <w:r>
        <w:t>C.6 UnLimbited Phoenix Hand</w:t>
      </w:r>
    </w:p>
    <w:p>
      <w:pPr>
        <w:pStyle w:val="Heading3"/>
      </w:pPr>
      <w:r>
        <w:t>C.6.1 Origem e estratégia de adaptação</w:t>
      </w:r>
    </w:p>
    <w:p>
      <w:pPr/>
      <w:r>
        <w:t>O UnLimbited Phoenix Hand local deriva da equipa UnLimbited/e-NABLE e indica licença CC BY-NC-SA 4.0 no ficheiro-fonte. A geometria herdada é composta sobretudo por malhas e poliedros de dimensão fixa. A adaptação preservou essas zonas e acrescentou duas formas de variação: uma escala uniforme para o conjunto e um alongamento localizado dos segmentos digitais em faixas sem furos.</w:t>
      </w:r>
    </w:p>
    <w:p>
      <w:pPr>
        <w:pStyle w:val="Heading3"/>
      </w:pPr>
      <w:r>
        <w:t>C.6.2 Escala global e piso dimensional</w:t>
      </w:r>
    </w:p>
    <w:p>
      <w:pPr/>
      <w:r>
        <w:t>A largura de referência da palma é 82 mm. A percentagem de escala é:</w:t>
      </w:r>
    </w:p>
    <w:p>
      <w:pPr>
        <w:pStyle w:val="CodeBlock"/>
      </w:pPr>
      <w:r>
        <w:t>se HandPerc</w:t>
      </w:r>
      <w:r>
        <w:rPr>
          <w:i/>
        </w:rPr>
        <w:t>override &gt; 0:</w:t>
        <w:br/>
        <w:t xml:space="preserve">    HandPerc = limitar(HandPerc</w:t>
      </w:r>
      <w:r>
        <w:t>override, 100, 160)</w:t>
        <w:br/>
        <w:t>caso contrário:</w:t>
        <w:br/>
        <w:t xml:space="preserve">    HandPerc = limitar((palm</w:t>
      </w:r>
      <w:r>
        <w:rPr>
          <w:i/>
        </w:rPr>
        <w:t>breadth</w:t>
      </w:r>
      <w:r>
        <w:t>mm / 82) × 100, 100, 160)</w:t>
      </w:r>
    </w:p>
    <w:p>
      <w:pPr/>
      <w:r>
        <w:rPr>
          <w:rFonts w:ascii="Consolas" w:hAnsi="Consolas"/>
          <w:sz w:val="20"/>
        </w:rPr>
        <w:t>palm_breadth_mm</w:t>
      </w:r>
      <w:r>
        <w:t xml:space="preserve"> é declarado entre 82 e 131 mm. O parâmetro manual </w:t>
      </w:r>
      <w:r>
        <w:rPr>
          <w:rFonts w:ascii="Consolas" w:hAnsi="Consolas"/>
          <w:sz w:val="20"/>
        </w:rPr>
        <w:t>HandPerc_override</w:t>
      </w:r>
      <w:r>
        <w:t xml:space="preserve"> aceita zero como instrução para derivar a escala; valores positivos ficam sujeitos ao mesmo piso de 100% e tecto de 160%. Um perfil com palma inferior a 82 mm produz o tamanho mínimo do modelo, não a medida pedida. A configuração deve ser rejeitada ou acompanhada por um aviso de cobertura, em vez de ser descrita como adaptação individual.</w:t>
      </w:r>
    </w:p>
    <w:p>
      <w:pPr>
        <w:pStyle w:val="Heading3"/>
      </w:pPr>
      <w:r>
        <w:t>C.6.3 Comprimentos digitais e preservação dos furos</w:t>
      </w:r>
    </w:p>
    <w:p>
      <w:pPr/>
      <w:r>
        <w:t>Os quatro dedos iniciam com 72 mm de comprimento total e 31 mm de segmento proximal. Os comprimentos totais variam entre 55 e 115 mm e os proximais entre 18 e 55 mm. O polegar também parte de 72 e 31 mm, com intervalos respectivos de 45–80 e 18–50 mm.</w:t>
      </w:r>
    </w:p>
    <w:p>
      <w:pPr/>
      <w:r>
        <w:t>O modelo usa as referências locais de 31 mm para o proximal e 41 mm para o distal:</w:t>
      </w:r>
    </w:p>
    <w:p>
      <w:pPr>
        <w:pStyle w:val="CodeBlock"/>
      </w:pPr>
      <w:r>
        <w:t>bd = base</w:t>
      </w:r>
      <w:r>
        <w:rPr>
          <w:i/>
        </w:rPr>
        <w:t>length</w:t>
      </w:r>
      <w:r>
        <w:t>mm − 31</w:t>
        <w:br/>
        <w:t>td = (finger</w:t>
      </w:r>
      <w:r>
        <w:rPr>
          <w:i/>
        </w:rPr>
        <w:t>length</w:t>
      </w:r>
      <w:r>
        <w:t>mm − base</w:t>
      </w:r>
      <w:r>
        <w:rPr>
          <w:i/>
        </w:rPr>
        <w:t>length</w:t>
      </w:r>
      <w:r>
        <w:t>mm) − 41</w:t>
      </w:r>
    </w:p>
    <w:p>
      <w:pPr/>
      <w:r>
        <w:t xml:space="preserve">A função </w:t>
      </w:r>
      <w:r>
        <w:rPr>
          <w:rFonts w:ascii="Consolas" w:hAnsi="Consolas"/>
          <w:sz w:val="20"/>
        </w:rPr>
        <w:t>stretch_shaft()</w:t>
      </w:r>
      <w:r>
        <w:t xml:space="preserve"> divide a malha em três zonas. A zona da dobradiça mantém-se fixa, uma faixa sem furos é alongada ou encurtada, e a extremidade oposta é deslocada pelo mesmo valor. No proximal, a faixa usada situa-se entre Y = 20 e Y = 42; no distal, entre Y = −48 e Y = −14. Assim, as zonas dos furos não recebem escala não uniforme e conservam a secção circular.</w:t>
      </w:r>
    </w:p>
    <w:p>
      <w:pPr>
        <w:pStyle w:val="Heading3"/>
      </w:pPr>
      <w:r>
        <w:t>C.6.4 Dependência entre comprimento digital e escala global</w:t>
      </w:r>
    </w:p>
    <w:p>
      <w:pPr/>
      <w:r>
        <w:t xml:space="preserve">Depois do alongamento local, toda a montagem é envolvida por </w:t>
      </w:r>
      <w:r>
        <w:rPr>
          <w:rFonts w:ascii="Consolas" w:hAnsi="Consolas"/>
          <w:sz w:val="20"/>
        </w:rPr>
        <w:t>scale(HandPerc/100)</w:t>
      </w:r>
      <w:r>
        <w:t xml:space="preserve">. Consequentemente, os parâmetros digitais não correspondem necessariamente ao comprimento final impresso quando </w:t>
      </w:r>
      <w:r>
        <w:rPr>
          <w:rFonts w:ascii="Consolas" w:hAnsi="Consolas"/>
          <w:sz w:val="20"/>
        </w:rPr>
        <w:t>HandPerc</w:t>
      </w:r>
      <w:r>
        <w:t xml:space="preserve"> é diferente de 100%. O resultado depende de duas operações sucessivas: alteração local do segmento e escala uniforme do conjunto.</w:t>
      </w:r>
    </w:p>
    <w:p>
      <w:pPr/>
      <w:r>
        <w:t xml:space="preserve">Esta ordem é relevante para a interpretação dos nomes </w:t>
      </w:r>
      <w:r>
        <w:rPr>
          <w:rFonts w:ascii="Consolas" w:hAnsi="Consolas"/>
          <w:sz w:val="20"/>
        </w:rPr>
        <w:t>*_finger_length_mm</w:t>
      </w:r>
      <w:r>
        <w:t>. A documentação interna que descreve uma alteração de 1:1 só é confirmável à escala de 100%. Para outras larguras de palma, deve ser medida a malha resultante ou reformulada a transformação para compensar a escala global.</w:t>
      </w:r>
    </w:p>
    <w:p>
      <w:pPr>
        <w:pStyle w:val="Heading3"/>
      </w:pPr>
      <w:r>
        <w:t>C.6.5 Exemplo de propagação</w:t>
      </w:r>
    </w:p>
    <w:p>
      <w:pPr/>
      <w:r>
        <w:t>Para um dedo médio de 100 mm, segmento proximal de 40 mm e palma de 82 mm:</w:t>
      </w:r>
    </w:p>
    <w:p>
      <w:pPr>
        <w:pStyle w:val="CodeBlock"/>
      </w:pPr>
      <w:r>
        <w:t>HandPerc = 100%</w:t>
        <w:br/>
        <w:t>bd = 40 − 31 = 9 mm</w:t>
        <w:br/>
        <w:t>td = (100 − 40) − 41 = 19 mm</w:t>
        <w:br/>
        <w:t>comprimento local nominal = 72 + 9 + 19 = 100 mm</w:t>
      </w:r>
    </w:p>
    <w:p>
      <w:pPr/>
      <w:r>
        <w:t>Se se mantiverem os mesmos valores digitais e a largura da palma passar a 100 mm:</w:t>
      </w:r>
    </w:p>
    <w:p>
      <w:pPr>
        <w:pStyle w:val="CodeBlock"/>
      </w:pPr>
      <w:r>
        <w:t>HandPerc = (100 / 82) × 100 = 121,951%</w:t>
        <w:br/>
        <w:t>comprimento local nominal antes da escala = 100 mm</w:t>
        <w:br/>
        <w:t>comprimento nominal após a escala global ≈ 121,951 mm</w:t>
      </w:r>
    </w:p>
    <w:p>
      <w:pPr/>
      <w:r>
        <w:t>O segundo cálculo não substitui uma medição da caixa envolvente ou do trajecto MCP–ponta, mas demonstra que o valor digital é novamente afectado pela escala global.</w:t>
      </w:r>
    </w:p>
    <w:p>
      <w:pPr>
        <w:pStyle w:val="Heading3"/>
      </w:pPr>
      <w:r>
        <w:t>C.6.6 Componentes fixos e tolerâncias confirmáveis</w:t>
      </w:r>
    </w:p>
    <w:p>
      <w:pPr/>
      <w:r>
        <w:t>Os pinos, o bloco tensor e os pinos do tensor foram reconstruídos a partir de medições do ficheiro STEP e permanecem como componentes fixos. Os ficheiros contêm raios e posições medidos para cada corpo, mas não existe um parâmetro global de folga nem um ensaio dimensional consolidado que permita declarar tolerâncias de montagem. A escala uniforme da montagem também afecta estes componentes.</w:t>
      </w:r>
    </w:p>
    <w:p>
      <w:pPr/>
      <w:r>
        <w:t>A reconstrução mantém a circularidade dos furos durante o alongamento local dos dedos. Esta propriedade geométrica não demonstra que a folga final entre pino e furo seja adequada depois da impressão, do material e da escala escolhida.</w:t>
      </w:r>
    </w:p>
    <w:p>
      <w:pPr>
        <w:pStyle w:val="Heading3"/>
      </w:pPr>
      <w:r>
        <w:t>C.6.7 Limitações específicas</w:t>
      </w:r>
    </w:p>
    <w:p>
      <w:pPr>
        <w:pStyle w:val="ListBullet"/>
      </w:pPr>
      <w:r>
        <w:t>- a palma não desce abaixo do tamanho de referência de 82 mm;</w:t>
      </w:r>
    </w:p>
    <w:p>
      <w:pPr>
        <w:pStyle w:val="ListBullet"/>
      </w:pPr>
      <w:r>
        <w:t>- os comprimentos digitais são afectados pela escala global;</w:t>
      </w:r>
    </w:p>
    <w:p>
      <w:pPr>
        <w:pStyle w:val="ListBullet"/>
      </w:pPr>
      <w:r>
        <w:t>- as zonas dos furos são preservadas, mas a folga física não foi medida de forma sistemática;</w:t>
      </w:r>
    </w:p>
    <w:p>
      <w:pPr>
        <w:pStyle w:val="ListBullet"/>
      </w:pPr>
      <w:r>
        <w:t>- os componentes de hardware permanecem associados à arquitectura original e são escalados com o conjunto;</w:t>
      </w:r>
    </w:p>
    <w:p>
      <w:pPr>
        <w:pStyle w:val="ListBullet"/>
      </w:pPr>
      <w:r>
        <w:t>- algumas malhas originais apresentaram descontinuidades; a reparação ou aceitação pelo programa de preparação deve ser distinguida da validade geométrica do sólido.</w:t>
      </w:r>
    </w:p>
    <w:p>
      <w:pPr>
        <w:pStyle w:val="Heading2"/>
      </w:pPr>
      <w:r>
        <w:t>C.7 Síntese comparativa das estratégias</w:t>
      </w:r>
    </w:p>
    <w:p>
      <w:pPr/>
      <w:r>
        <w:t>Tabela C.4 — Comparação das adaptações e excepções de escala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w="1800" w:type="dxa"/>
          </w:tcPr>
          <w:p>
            <w:pPr/>
            <w:r>
              <w:t>Modelo</w:t>
            </w:r>
          </w:p>
        </w:tc>
        <w:tc>
          <w:tcPr>
            <w:tcW w:w="1800" w:type="dxa"/>
          </w:tcPr>
          <w:p>
            <w:pPr/>
            <w:r>
              <w:t>Escala da palma</w:t>
            </w:r>
          </w:p>
        </w:tc>
        <w:tc>
          <w:tcPr>
            <w:tcW w:w="1800" w:type="dxa"/>
          </w:tcPr>
          <w:p>
            <w:pPr/>
            <w:r>
              <w:t>Variação dos dedos</w:t>
            </w:r>
          </w:p>
        </w:tc>
        <w:tc>
          <w:tcPr>
            <w:tcW w:w="1800" w:type="dxa"/>
          </w:tcPr>
          <w:p>
            <w:pPr/>
            <w:r>
              <w:t>Interface preservada</w:t>
            </w:r>
          </w:p>
        </w:tc>
        <w:tc>
          <w:tcPr>
            <w:tcW w:w="1800" w:type="dxa"/>
          </w:tcPr>
          <w:p>
            <w:pPr/>
            <w:r>
              <w:t>Limitação principal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Flexy Beast</w:t>
            </w:r>
          </w:p>
        </w:tc>
        <w:tc>
          <w:tcPr>
            <w:tcW w:w="1800" w:type="dxa"/>
          </w:tcPr>
          <w:p>
            <w:pPr/>
            <w:r>
              <w:t>uniforme, pela fórmula Cyborg Beast</w:t>
            </w:r>
          </w:p>
        </w:tc>
        <w:tc>
          <w:tcPr>
            <w:tcW w:w="1800" w:type="dxa"/>
          </w:tcPr>
          <w:p>
            <w:pPr/>
            <w:r>
              <w:t>proporções próprias face ao médio</w:t>
            </w:r>
          </w:p>
        </w:tc>
        <w:tc>
          <w:tcPr>
            <w:tcW w:w="1800" w:type="dxa"/>
          </w:tcPr>
          <w:p>
            <w:pPr/>
            <w:r>
              <w:t>furos e ranhuras dos conectores; eixo do punho</w:t>
            </w:r>
          </w:p>
        </w:tc>
        <w:tc>
          <w:tcPr>
            <w:tcW w:w="1800" w:type="dxa"/>
          </w:tcPr>
          <w:p>
            <w:pPr/>
            <w:r>
              <w:t>campo de largura da palma não coincide directamente com a extensão da malha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Cyborg Beast</w:t>
            </w:r>
          </w:p>
        </w:tc>
        <w:tc>
          <w:tcPr>
            <w:tcW w:w="1800" w:type="dxa"/>
          </w:tcPr>
          <w:p>
            <w:pPr/>
            <w:r>
              <w:t>uniforme, pela fórmula Cyborg Beast</w:t>
            </w:r>
          </w:p>
        </w:tc>
        <w:tc>
          <w:tcPr>
            <w:tcW w:w="1800" w:type="dxa"/>
          </w:tcPr>
          <w:p>
            <w:pPr/>
            <w:r>
              <w:t>curvas calibradas e divisão proximal–distal</w:t>
            </w:r>
          </w:p>
        </w:tc>
        <w:tc>
          <w:tcPr>
            <w:tcW w:w="1800" w:type="dxa"/>
          </w:tcPr>
          <w:p>
            <w:pPr/>
            <w:r>
              <w:t>eixos MCP/PIP; abas e pino da braçadeira</w:t>
            </w:r>
          </w:p>
        </w:tc>
        <w:tc>
          <w:tcPr>
            <w:tcW w:w="1800" w:type="dxa"/>
          </w:tcPr>
          <w:p>
            <w:pPr/>
            <w:r>
              <w:t>curvas internas e limites de alavanca não são relações anatómicas universais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Paraglider Hand</w:t>
            </w:r>
          </w:p>
        </w:tc>
        <w:tc>
          <w:tcPr>
            <w:tcW w:w="1800" w:type="dxa"/>
          </w:tcPr>
          <w:p>
            <w:pPr/>
            <w:r>
              <w:t>uniforme para preservar furos</w:t>
            </w:r>
          </w:p>
        </w:tc>
        <w:tc>
          <w:tcPr>
            <w:tcW w:w="1800" w:type="dxa"/>
          </w:tcPr>
          <w:p>
            <w:pPr/>
            <w:r>
              <w:t>escalas próprias para quatro dedos; polegar ainda dependente do médio</w:t>
            </w:r>
          </w:p>
        </w:tc>
        <w:tc>
          <w:tcPr>
            <w:tcW w:w="1800" w:type="dxa"/>
          </w:tcPr>
          <w:p>
            <w:pPr/>
            <w:r>
              <w:t>furos cilíndricos dos pinos</w:t>
            </w:r>
          </w:p>
        </w:tc>
        <w:tc>
          <w:tcPr>
            <w:tcW w:w="1800" w:type="dxa"/>
          </w:tcPr>
          <w:p>
            <w:pPr/>
            <w:r>
              <w:t>comprimento do polegar e dimensões independentes da palma não estão plenamente propagados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UnLimbited Phoenix</w:t>
            </w:r>
          </w:p>
        </w:tc>
        <w:tc>
          <w:tcPr>
            <w:tcW w:w="1800" w:type="dxa"/>
          </w:tcPr>
          <w:p>
            <w:pPr/>
            <w:r>
              <w:t>uniforme, 100%–160%</w:t>
            </w:r>
          </w:p>
        </w:tc>
        <w:tc>
          <w:tcPr>
            <w:tcW w:w="1800" w:type="dxa"/>
          </w:tcPr>
          <w:p>
            <w:pPr/>
            <w:r>
              <w:t>alongamento de faixas sem furos</w:t>
            </w:r>
          </w:p>
        </w:tc>
        <w:tc>
          <w:tcPr>
            <w:tcW w:w="1800" w:type="dxa"/>
          </w:tcPr>
          <w:p>
            <w:pPr/>
            <w:r>
              <w:t>zonas de dobradiça e furos</w:t>
            </w:r>
          </w:p>
        </w:tc>
        <w:tc>
          <w:tcPr>
            <w:tcW w:w="1800" w:type="dxa"/>
          </w:tcPr>
          <w:p>
            <w:pPr/>
            <w:r>
              <w:t>comprimentos digitais voltam a ser afectados pela escala global</w:t>
            </w:r>
          </w:p>
        </w:tc>
      </w:tr>
    </w:tbl>
    <w:p>
      <w:pPr/>
      <w:r>
        <w:t>A crítica ao escalonamento uniforme continua válida quando este é usado como substituto de todas as diferenças antropométricas. Nos modelos estudados, porém, a escala uniforme foi mantida localmente sempre que a arquitectura herdada dependia de furos circulares, espaçamentos ou componentes montados como conjunto. A decisão de projecto não foi eliminar toda a escala uniforme, mas limitar o seu alcance e acrescentar parâmetros locais onde a geometria o permitia.</w:t>
      </w:r>
    </w:p>
    <w:p>
      <w:pPr/>
      <w:r>
        <w:t>Esta solução produz níveis diferentes de adaptação. O Flexy Beast e o Cyborg Beast separam largura da mão, comprimentos digitais e braçadeira; o Paraglider separa a escala da palma de parte dos comprimentos digitais; o Phoenix preserva a escala global e introduz alongamentos localizados. Os quatro modelos não são, por isso, intercambiáveis nem oferecem o mesmo grau de configuração.</w:t>
      </w:r>
    </w:p>
    <w:p>
      <w:pPr>
        <w:pStyle w:val="Heading2"/>
      </w:pPr>
      <w:r>
        <w:t>C.8 Critérios de aceitação, limitação e rejeição</w:t>
      </w:r>
    </w:p>
    <w:p>
      <w:pPr/>
      <w:r>
        <w:t>Uma configuração pode avançar para geração quando os campos necessários existem, os valores são numéricos positivos e permanecem dentro dos intervalos declarados. Deve ser marcada como limitada quando uma entrada é reduzida ao piso do modelo, quando um campo é apenas contextual ou quando a transformação não produz uma correspondência directa entre valor e dimensão final.</w:t>
      </w:r>
    </w:p>
    <w:p>
      <w:pPr/>
      <w:r>
        <w:t>Devem impedir a passagem directa para fabrico, ou exigir revisão técnica, as seguintes situações:</w:t>
      </w:r>
    </w:p>
    <w:p>
      <w:pPr>
        <w:pStyle w:val="ListBullet"/>
      </w:pPr>
      <w:r>
        <w:t>- perfil fora da gama dimensional do modelo;</w:t>
      </w:r>
    </w:p>
    <w:p>
      <w:pPr>
        <w:pStyle w:val="ListBullet"/>
      </w:pPr>
      <w:r>
        <w:t>- comprimento proximal igual ou superior ao comprimento total do dedo;</w:t>
      </w:r>
    </w:p>
    <w:p>
      <w:pPr>
        <w:pStyle w:val="ListBullet"/>
      </w:pPr>
      <w:r>
        <w:t>- alteração que faça um valor interno atingir os limites de uma alavanca calibrada;</w:t>
      </w:r>
    </w:p>
    <w:p>
      <w:pPr>
        <w:pStyle w:val="ListBullet"/>
      </w:pPr>
      <w:r>
        <w:t>- ausência de componentes necessários à função, como juntas flexíveis ou canais de tracção;</w:t>
      </w:r>
    </w:p>
    <w:p>
      <w:pPr>
        <w:pStyle w:val="ListBullet"/>
      </w:pPr>
      <w:r>
        <w:t>- malha aberta, não estanque ou com faces degeneradas sem justificação construtiva;</w:t>
      </w:r>
    </w:p>
    <w:p>
      <w:pPr>
        <w:pStyle w:val="ListBullet"/>
      </w:pPr>
      <w:r>
        <w:t>- folga ou espessura sem confirmação para a combinação de material, impressora e orientação;</w:t>
      </w:r>
    </w:p>
    <w:p>
      <w:pPr>
        <w:pStyle w:val="ListBullet"/>
      </w:pPr>
      <w:r>
        <w:t>- valor que chega ao modelo fora do intervalo declarado por contornar a interface.</w:t>
      </w:r>
    </w:p>
    <w:p>
      <w:pPr/>
      <w:r>
        <w:t xml:space="preserve">O estado actual não aplica todas estas condições como bloqueios automáticos dentro de cada ficheiro OpenSCAD. Algumas estão representadas por limites da interface, outras por funções </w:t>
      </w:r>
      <w:r>
        <w:rPr>
          <w:rFonts w:ascii="Consolas" w:hAnsi="Consolas"/>
          <w:sz w:val="20"/>
        </w:rPr>
        <w:t>min</w:t>
      </w:r>
      <w:r>
        <w:t>/</w:t>
      </w:r>
      <w:r>
        <w:rPr>
          <w:rFonts w:ascii="Consolas" w:hAnsi="Consolas"/>
          <w:sz w:val="20"/>
        </w:rPr>
        <w:t>max</w:t>
      </w:r>
      <w:r>
        <w:t>, e outras permanecem como critérios de revisão. A distinção deve ser mantida no texto da dissertação.</w:t>
      </w:r>
    </w:p>
    <w:p>
      <w:pPr>
        <w:pStyle w:val="Heading2"/>
      </w:pPr>
      <w:r>
        <w:t>C.9 Relação com o suplemento da versão 14.67.0</w:t>
      </w:r>
    </w:p>
    <w:p>
      <w:pPr/>
      <w:r>
        <w:t xml:space="preserve">O suplemento </w:t>
      </w:r>
      <w:r>
        <w:rPr>
          <w:rFonts w:ascii="Consolas" w:hAnsi="Consolas"/>
          <w:sz w:val="20"/>
        </w:rPr>
        <w:t>sources/manuscript/annexes/dicionario_parametros_v14.67.0/</w:t>
      </w:r>
      <w:r>
        <w:t xml:space="preserve"> continua a preservar um estado histórico útil: contém 42 parâmetros numéricos dos três modelos comparados e um percurso do perfil simulado até a três malhas do Flexy Beast. Deve, contudo, ser identificado como fotografia da versão 14.67.0.</w:t>
      </w:r>
    </w:p>
    <w:p>
      <w:pPr/>
      <w:r>
        <w:t xml:space="preserve">Depois dessa versão, a braçadeira do Flexy Beast mudou de contrato paramétrico. Por esse motivo, </w:t>
      </w:r>
      <w:r>
        <w:rPr>
          <w:rFonts w:ascii="Consolas" w:hAnsi="Consolas"/>
          <w:sz w:val="20"/>
        </w:rPr>
        <w:t>gauntlet_width_mm</w:t>
      </w:r>
      <w:r>
        <w:t xml:space="preserve">, </w:t>
      </w:r>
      <w:r>
        <w:rPr>
          <w:rFonts w:ascii="Consolas" w:hAnsi="Consolas"/>
          <w:sz w:val="20"/>
        </w:rPr>
        <w:t>gauntlet_length_mm</w:t>
      </w:r>
      <w:r>
        <w:t xml:space="preserve">, </w:t>
      </w:r>
      <w:r>
        <w:rPr>
          <w:rFonts w:ascii="Consolas" w:hAnsi="Consolas"/>
          <w:sz w:val="20"/>
        </w:rPr>
        <w:t>gauntlet_wall_mm</w:t>
      </w:r>
      <w:r>
        <w:t xml:space="preserve">, </w:t>
      </w:r>
      <w:r>
        <w:rPr>
          <w:rFonts w:ascii="Consolas" w:hAnsi="Consolas"/>
          <w:sz w:val="20"/>
        </w:rPr>
        <w:t>gauntlet_pos_adjust</w:t>
      </w:r>
      <w:r>
        <w:t xml:space="preserve"> e </w:t>
      </w:r>
      <w:r>
        <w:rPr>
          <w:rFonts w:ascii="Consolas" w:hAnsi="Consolas"/>
          <w:sz w:val="20"/>
        </w:rPr>
        <w:t>strap_splay_adjust</w:t>
      </w:r>
      <w:r>
        <w:t xml:space="preserve"> não descrevem o estado 14.72.0. Foram substituídos, no essencial, por </w:t>
      </w:r>
      <w:r>
        <w:rPr>
          <w:rFonts w:ascii="Consolas" w:hAnsi="Consolas"/>
          <w:sz w:val="20"/>
        </w:rPr>
        <w:t>wrist_circumference_mm</w:t>
      </w:r>
      <w:r>
        <w:t xml:space="preserve">, </w:t>
      </w:r>
      <w:r>
        <w:rPr>
          <w:rFonts w:ascii="Consolas" w:hAnsi="Consolas"/>
          <w:sz w:val="20"/>
        </w:rPr>
        <w:t>gauntlet_tilt</w:t>
      </w:r>
      <w:r>
        <w:t xml:space="preserve">, </w:t>
      </w:r>
      <w:r>
        <w:rPr>
          <w:rFonts w:ascii="Consolas" w:hAnsi="Consolas"/>
          <w:sz w:val="20"/>
        </w:rPr>
        <w:t>gauntlet_length_scale</w:t>
      </w:r>
      <w:r>
        <w:t xml:space="preserve">, </w:t>
      </w:r>
      <w:r>
        <w:rPr>
          <w:rFonts w:ascii="Consolas" w:hAnsi="Consolas"/>
          <w:sz w:val="20"/>
        </w:rPr>
        <w:t>gauntlet_rim_hole_d</w:t>
      </w:r>
      <w:r>
        <w:t xml:space="preserve"> e uma colocação automática sobre o eixo do pino. O anexo presente deve acompanhar o suplemento histórico com esta nota de versão.</w:t>
      </w:r>
    </w:p>
    <w:p>
      <w:pPr>
        <w:pStyle w:val="Heading2"/>
      </w:pPr>
      <w:r>
        <w:t>C.10 Limite de interpretação</w:t>
      </w:r>
    </w:p>
    <w:p>
      <w:pPr/>
      <w:r>
        <w:t>As adaptações mostram como modelos abertos e heterogéneos podem ser reorganizados em torno de um conjunto comum de medidas e controlos. O contributo é projectual e técnico: explicita decisões, dependências, excepções e fragilidades que ficam ocultas quando uma prótese é tratada apenas como um ficheiro STL escalável.</w:t>
      </w:r>
    </w:p>
    <w:p>
      <w:pPr/>
      <w:r>
        <w:t>Não se conclui que as geometrias sejam anatomicamente adequadas a uma pessoa, que os intervalos sejam clinicamente seguros ou que as folgas assegurem montagem e funcionamento. Essas conclusões exigem medidas individuais, calibração dimensional, ensaios de fabrico, avaliação funcional e participação de profissionais e utilizadores.</w:t>
      </w:r>
    </w:p>
    <w:p>
      <w:pPr>
        <w:pStyle w:val="Heading2"/>
      </w:pPr>
      <w:r>
        <w:t>C.11 Ficheiros consultados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docs/relatorio-adaptacao-antropometrica.md</w:t>
      </w:r>
      <w:r>
        <w:t>, no repositório da plataforma;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models/models-config.json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server/services/profileMapping.js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server/services/anthropometricImporter.js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models/active/flexy_beast/flexy_beast.scad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models/active/flexy_beast/gauntlet.scad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models/active/cyborg-beast/cyborg_beast.scad</w:t>
      </w:r>
      <w:r>
        <w:t xml:space="preserve"> e módulos de palma, segmentos e braçadeira incluídos;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models/active/paraglider_hand/paraglider_hand.scad</w:t>
      </w:r>
      <w:r>
        <w:t xml:space="preserve"> e dependências activas;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models/active/unlimbed_phoenix_hand/UnLimbitedPhoenix.scad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models/active/unlimbed_phoenix_hand/phoenix_assembly.scad</w:t>
      </w:r>
      <w:r>
        <w:t xml:space="preserve"> e ficheiros de hardware incluídos;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sources/manuscript/annexes/dicionario_parametros_v14.67.0/README.md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sources/manuscript/annexes/dicionario_parametros_v14.67.0/parameter_dictionary.csv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sources/manuscript/annexes/dicionario_parametros_v14.67.0/example_flexy_beast_child_8/params.json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sources/manuscript/annexes/dicionario_parametros_v14.67.0/example_flexy_beast_child_8/trace.json</w:t>
      </w:r>
      <w:r>
        <w:t>;</w:t>
      </w:r>
    </w:p>
    <w:p>
      <w:pPr>
        <w:pStyle w:val="ListBullet"/>
      </w:pPr>
      <w:r>
        <w:t xml:space="preserve">- Capítulo 4 de </w:t>
      </w:r>
      <w:r>
        <w:rPr>
          <w:rFonts w:ascii="Consolas" w:hAnsi="Consolas"/>
          <w:sz w:val="20"/>
        </w:rPr>
        <w:t>projecto-completo.md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docs/relatorio-revisao-academica-integral-dissertacao-2026-07-13.md</w:t>
      </w:r>
      <w:r>
        <w:t>.</w:t>
      </w:r>
    </w:p>
    <w:p>
      <w:pPr>
        <w:pStyle w:val="Heading2"/>
      </w:pPr>
      <w:r>
        <w:t>C.12 Verificações executadas</w:t>
      </w:r>
    </w:p>
    <w:p>
      <w:pPr>
        <w:pStyle w:val="ListBullet"/>
      </w:pPr>
      <w:r>
        <w:t xml:space="preserve">- comparação dos quatro modelos registados com os parâmetros de </w:t>
      </w:r>
      <w:r>
        <w:rPr>
          <w:rFonts w:ascii="Consolas" w:hAnsi="Consolas"/>
          <w:sz w:val="20"/>
        </w:rPr>
        <w:t>models-config.json</w:t>
      </w:r>
      <w:r>
        <w:t>;</w:t>
      </w:r>
    </w:p>
    <w:p>
      <w:pPr>
        <w:pStyle w:val="ListBullet"/>
      </w:pPr>
      <w:r>
        <w:t>- leitura das fórmulas e constantes nos ficheiros OpenSCAD activos;</w:t>
      </w:r>
    </w:p>
    <w:p>
      <w:pPr>
        <w:pStyle w:val="ListBullet"/>
      </w:pPr>
      <w:r>
        <w:t>- confronto entre a versão 14.67.0 do suplemento e a versão 14.72.0;</w:t>
      </w:r>
    </w:p>
    <w:p>
      <w:pPr>
        <w:pStyle w:val="ListBullet"/>
      </w:pPr>
      <w:r>
        <w:t>- confirmação do mapa entre medidas normalizadas e nomes dos parâmetros;</w:t>
      </w:r>
    </w:p>
    <w:p>
      <w:pPr>
        <w:pStyle w:val="ListBullet"/>
      </w:pPr>
      <w:r>
        <w:t>- recálculo independente dos exemplos numéricos apresentados nas secções C.3 a C.6;</w:t>
      </w:r>
    </w:p>
    <w:p>
      <w:pPr>
        <w:pStyle w:val="ListBullet"/>
      </w:pPr>
      <w:r>
        <w:t>- verificação dos valores inicial, mínimo, máximo e incremento declarados;</w:t>
      </w:r>
    </w:p>
    <w:p>
      <w:pPr>
        <w:pStyle w:val="ListBullet"/>
      </w:pPr>
      <w:r>
        <w:t>- pesquisa de parâmetros contextuais sem efeito geométrico confirmado;</w:t>
      </w:r>
    </w:p>
    <w:p>
      <w:pPr>
        <w:pStyle w:val="ListBullet"/>
      </w:pPr>
      <w:r>
        <w:t>- identificação das relações que permanecem sem calibração dimensional ou ensaio físico.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8"/>
    </w:rPr>
  </w:style>
  <w:style w:type="paragraph" w:styleId="Heading3">
    <w:name w:val="heading 3"/>
    <w:basedOn w:val="Normal"/>
    <w:uiPriority w:val="9"/>
    <w:qFormat/>
    <w:rPr>
      <w:b/>
      <w:sz w:val="24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CodeBlock">
    <w:name w:val="Code Block"/>
    <w:basedOn w:val="Normal"/>
    <w:pPr>
      <w:spacing w:before="120" w:after="120"/>
      <w:ind w:left="360" w:right="360"/>
    </w:pPr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C — Adaptação paramétrica dos modelos de mão protésica</dc:title>
  <dc:creator>Codex Markdown Exporter</dc:creator>
  <cp:lastModifiedBy>Codex Markdown Exporter</cp:lastModifiedBy>
  <dcterms:created xsi:type="dcterms:W3CDTF">2026-07-14T09:24:12Z</dcterms:created>
  <dcterms:modified xsi:type="dcterms:W3CDTF">2026-07-14T09:24:12Z</dcterms:modified>
</cp:coreProperties>
</file>