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Anexo B — Avaliação do processo paramétrico e da interface da plataforma HandFab</w:t>
      </w:r>
    </w:p>
    <w:p>
      <w:pPr/>
      <w:r>
        <w:rPr>
          <w:b/>
        </w:rPr>
        <w:t>Data das campanhas:</w:t>
      </w:r>
      <w:r>
        <w:t xml:space="preserve"> 13 e 14 de Julho de 2026</w:t>
      </w:r>
    </w:p>
    <w:p>
      <w:pPr/>
      <w:r>
        <w:rPr>
          <w:b/>
        </w:rPr>
        <w:t>Versão avaliada:</w:t>
      </w:r>
      <w:r>
        <w:t xml:space="preserve"> HandFab 14.69.0</w:t>
      </w:r>
    </w:p>
    <w:p>
      <w:pPr/>
      <w:r>
        <w:rPr>
          <w:b/>
        </w:rPr>
        <w:t>Plataforma pública:</w:t>
      </w:r>
      <w:r>
        <w:t xml:space="preserve"> &lt;https://handfab.pedrocandeias.net/&gt;</w:t>
      </w:r>
    </w:p>
    <w:p>
      <w:pPr/>
      <w:r>
        <w:rPr>
          <w:b/>
        </w:rPr>
        <w:t>Estado da avaliação:</w:t>
      </w:r>
      <w:r>
        <w:t xml:space="preserve"> executada, com resultados parciais e verificações manuais ainda por realizar</w:t>
      </w:r>
    </w:p>
    <w:p>
      <w:pPr>
        <w:pStyle w:val="Heading2"/>
      </w:pPr>
      <w:r>
        <w:t>B.1 Finalidade</w:t>
      </w:r>
    </w:p>
    <w:p>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r>
        <w:t>A avaliação foi organizada em três dimensões:</w:t>
      </w:r>
    </w:p>
    <w:p>
      <w:pPr>
        <w:pStyle w:val="ListNumber"/>
      </w:pPr>
      <w:r>
        <w:t xml:space="preserve">1. </w:t>
      </w:r>
      <w:r>
        <w:rPr>
          <w:b/>
        </w:rPr>
        <w:t>previsibilidade</w:t>
      </w:r>
      <w:r>
        <w:t>, entendida como a capacidade de uma configuração fixa produzir a mesma geometria nas execuções concluídas;</w:t>
      </w:r>
    </w:p>
    <w:p>
      <w:pPr>
        <w:pStyle w:val="ListNumber"/>
      </w:pPr>
      <w:r>
        <w:t xml:space="preserve">2. </w:t>
      </w:r>
      <w:r>
        <w:rPr>
          <w:b/>
        </w:rPr>
        <w:t>recuperação e controlo</w:t>
      </w:r>
      <w:r>
        <w:t>, entendidos como a capacidade de limitar, rejeitar ou explicar valores problemáticos sem destruir a configuração válida;</w:t>
      </w:r>
    </w:p>
    <w:p>
      <w:pPr>
        <w:pStyle w:val="ListNumber"/>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Heading2"/>
      </w:pPr>
      <w:r>
        <w:t>B.2 Âmbito e limites</w:t>
      </w:r>
    </w:p>
    <w:p>
      <w:pPr/>
      <w:r>
        <w:t>Os ensaios locais decorreram numa cópia isolada da plataforma e usaram exclusivamente perfis sintéticos. A plataforma pública foi examinada apenas na página de entrada, sem autenticação ou alteração de dados. Não participaram utilizadores, pessoas com diferença de membro, profissionais clínicos ou técnicos de prótese.</w:t>
      </w:r>
    </w:p>
    <w:p>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Heading2"/>
      </w:pPr>
      <w:r>
        <w:t>B.3 Procedimento</w:t>
      </w:r>
    </w:p>
    <w:p>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pPr>
      <w:r>
        <w:t>B.4 Resultados de previsibilidade</w:t>
      </w:r>
    </w:p>
    <w:p>
      <w:pPr>
        <w:pStyle w:val="Heading3"/>
      </w:pPr>
      <w:r>
        <w:t>B.4.1 Repetição da mesma configuração</w:t>
      </w:r>
    </w:p>
    <w:p>
      <w:pPr/>
      <w:r>
        <w:t>Tabela B.1 — Resultados da repetição da mesma configuração por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r>
              <w:t>Modelo</w:t>
            </w:r>
          </w:p>
        </w:tc>
        <w:tc>
          <w:tcPr>
            <w:tcW w:w="1800" w:type="dxa"/>
          </w:tcPr>
          <w:p>
            <w:pPr/>
            <w:r>
              <w:t>Execuções previstas</w:t>
            </w:r>
          </w:p>
        </w:tc>
        <w:tc>
          <w:tcPr>
            <w:tcW w:w="1800" w:type="dxa"/>
          </w:tcPr>
          <w:p>
            <w:pPr/>
            <w:r>
              <w:t>Execuções concluídas</w:t>
            </w:r>
          </w:p>
        </w:tc>
        <w:tc>
          <w:tcPr>
            <w:tcW w:w="1800" w:type="dxa"/>
          </w:tcPr>
          <w:p>
            <w:pPr/>
            <w:r>
              <w:t>Ficheiros distintos entre as conclusões</w:t>
            </w:r>
          </w:p>
        </w:tc>
        <w:tc>
          <w:tcPr>
            <w:tcW w:w="1800" w:type="dxa"/>
          </w:tcPr>
          <w:p>
            <w:pPr/>
            <w:r>
              <w:t>Resultado</w:t>
            </w:r>
          </w:p>
        </w:tc>
      </w:tr>
      <w:tr>
        <w:trPr>
          <w:cantSplit/>
        </w:trPr>
        <w:tc>
          <w:tcPr>
            <w:tcW w:w="1800" w:type="dxa"/>
          </w:tcPr>
          <w:p>
            <w:pPr/>
            <w:r>
              <w:t>Flexy Beast</w:t>
            </w:r>
          </w:p>
        </w:tc>
        <w:tc>
          <w:tcPr>
            <w:tcW w:w="1800" w:type="dxa"/>
          </w:tcPr>
          <w:p>
            <w:pPr/>
            <w:r>
              <w:t>10</w:t>
            </w:r>
          </w:p>
        </w:tc>
        <w:tc>
          <w:tcPr>
            <w:tcW w:w="1800" w:type="dxa"/>
          </w:tcPr>
          <w:p>
            <w:pPr/>
            <w:r>
              <w:t>7</w:t>
            </w:r>
          </w:p>
        </w:tc>
        <w:tc>
          <w:tcPr>
            <w:tcW w:w="1800" w:type="dxa"/>
          </w:tcPr>
          <w:p>
            <w:pPr/>
            <w:r>
              <w:t>1</w:t>
            </w:r>
          </w:p>
        </w:tc>
        <w:tc>
          <w:tcPr>
            <w:tcW w:w="1800" w:type="dxa"/>
          </w:tcPr>
          <w:p>
            <w:pPr/>
            <w:r>
              <w:t>Consistente nas conclusões; critério integral não atingido</w:t>
            </w:r>
          </w:p>
        </w:tc>
      </w:tr>
      <w:tr>
        <w:trPr>
          <w:cantSplit/>
        </w:trPr>
        <w:tc>
          <w:tcPr>
            <w:tcW w:w="1800" w:type="dxa"/>
          </w:tcPr>
          <w:p>
            <w:pPr/>
            <w:r>
              <w:t>Paraglider Hand</w:t>
            </w:r>
          </w:p>
        </w:tc>
        <w:tc>
          <w:tcPr>
            <w:tcW w:w="1800" w:type="dxa"/>
          </w:tcPr>
          <w:p>
            <w:pPr/>
            <w:r>
              <w:t>10</w:t>
            </w:r>
          </w:p>
        </w:tc>
        <w:tc>
          <w:tcPr>
            <w:tcW w:w="1800" w:type="dxa"/>
          </w:tcPr>
          <w:p>
            <w:pPr/>
            <w:r>
              <w:t>5</w:t>
            </w:r>
          </w:p>
        </w:tc>
        <w:tc>
          <w:tcPr>
            <w:tcW w:w="1800" w:type="dxa"/>
          </w:tcPr>
          <w:p>
            <w:pPr/>
            <w:r>
              <w:t>1</w:t>
            </w:r>
          </w:p>
        </w:tc>
        <w:tc>
          <w:tcPr>
            <w:tcW w:w="1800" w:type="dxa"/>
          </w:tcPr>
          <w:p>
            <w:pPr/>
            <w:r>
              <w:t>Consistente nas conclusões; critério integral não atingido</w:t>
            </w:r>
          </w:p>
        </w:tc>
      </w:tr>
      <w:tr>
        <w:trPr>
          <w:cantSplit/>
        </w:trPr>
        <w:tc>
          <w:tcPr>
            <w:tcW w:w="1800" w:type="dxa"/>
          </w:tcPr>
          <w:p>
            <w:pPr/>
            <w:r>
              <w:t>UnLimbited Phoenix</w:t>
            </w:r>
          </w:p>
        </w:tc>
        <w:tc>
          <w:tcPr>
            <w:tcW w:w="1800" w:type="dxa"/>
          </w:tcPr>
          <w:p>
            <w:pPr/>
            <w:r>
              <w:t>10</w:t>
            </w:r>
          </w:p>
        </w:tc>
        <w:tc>
          <w:tcPr>
            <w:tcW w:w="1800" w:type="dxa"/>
          </w:tcPr>
          <w:p>
            <w:pPr/>
            <w:r>
              <w:t>5</w:t>
            </w:r>
          </w:p>
        </w:tc>
        <w:tc>
          <w:tcPr>
            <w:tcW w:w="1800" w:type="dxa"/>
          </w:tcPr>
          <w:p>
            <w:pPr/>
            <w:r>
              <w:t>1</w:t>
            </w:r>
          </w:p>
        </w:tc>
        <w:tc>
          <w:tcPr>
            <w:tcW w:w="1800" w:type="dxa"/>
          </w:tcPr>
          <w:p>
            <w:pPr/>
            <w:r>
              <w:t>Consistente nas conclusões; critério integral não atingido</w:t>
            </w:r>
          </w:p>
        </w:tc>
      </w:tr>
    </w:tbl>
    <w:p>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pPr>
      <w:r>
        <w:t>B.4.2 Comparação entre navegadores</w:t>
      </w:r>
    </w:p>
    <w:p>
      <w:pPr/>
      <w:r>
        <w:t>Tabela B.2 — Resultados do percurso examinado em três navegadores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r>
              <w:t>Navegador</w:t>
            </w:r>
          </w:p>
        </w:tc>
        <w:tc>
          <w:tcPr>
            <w:tcW w:w="2250" w:type="dxa"/>
          </w:tcPr>
          <w:p>
            <w:pPr/>
            <w:r>
              <w:t>Percurso concluído</w:t>
            </w:r>
          </w:p>
        </w:tc>
        <w:tc>
          <w:tcPr>
            <w:tcW w:w="2250" w:type="dxa"/>
          </w:tcPr>
          <w:p>
            <w:pPr/>
            <w:r>
              <w:t>Comparação da geometria</w:t>
            </w:r>
          </w:p>
        </w:tc>
        <w:tc>
          <w:tcPr>
            <w:tcW w:w="2250" w:type="dxa"/>
          </w:tcPr>
          <w:p>
            <w:pPr/>
            <w:r>
              <w:t>Interpretação</w:t>
            </w:r>
          </w:p>
        </w:tc>
      </w:tr>
      <w:tr>
        <w:trPr>
          <w:cantSplit/>
        </w:trPr>
        <w:tc>
          <w:tcPr>
            <w:tcW w:w="2250" w:type="dxa"/>
          </w:tcPr>
          <w:p>
            <w:pPr/>
            <w:r>
              <w:t>Chromium</w:t>
            </w:r>
          </w:p>
        </w:tc>
        <w:tc>
          <w:tcPr>
            <w:tcW w:w="2250" w:type="dxa"/>
          </w:tcPr>
          <w:p>
            <w:pPr/>
            <w:r>
              <w:t>Sim</w:t>
            </w:r>
          </w:p>
        </w:tc>
        <w:tc>
          <w:tcPr>
            <w:tcW w:w="2250" w:type="dxa"/>
          </w:tcPr>
          <w:p>
            <w:pPr/>
            <w:r>
              <w:t>Referência</w:t>
            </w:r>
          </w:p>
        </w:tc>
        <w:tc>
          <w:tcPr>
            <w:tcW w:w="2250" w:type="dxa"/>
          </w:tcPr>
          <w:p>
            <w:pPr/>
            <w:r>
              <w:t>Percurso concluído</w:t>
            </w:r>
          </w:p>
        </w:tc>
      </w:tr>
      <w:tr>
        <w:trPr>
          <w:cantSplit/>
        </w:trPr>
        <w:tc>
          <w:tcPr>
            <w:tcW w:w="2250" w:type="dxa"/>
          </w:tcPr>
          <w:p>
            <w:pPr/>
            <w:r>
              <w:t>Firefox</w:t>
            </w:r>
          </w:p>
        </w:tc>
        <w:tc>
          <w:tcPr>
            <w:tcW w:w="2250" w:type="dxa"/>
          </w:tcPr>
          <w:p>
            <w:pPr/>
            <w:r>
              <w:t>Sim</w:t>
            </w:r>
          </w:p>
        </w:tc>
        <w:tc>
          <w:tcPr>
            <w:tcW w:w="2250" w:type="dxa"/>
          </w:tcPr>
          <w:p>
            <w:pPr/>
            <w:r>
              <w:t>Ficheiro idêntico ao Chromium</w:t>
            </w:r>
          </w:p>
        </w:tc>
        <w:tc>
          <w:tcPr>
            <w:tcW w:w="2250" w:type="dxa"/>
          </w:tcPr>
          <w:p>
            <w:pPr/>
            <w:r>
              <w:t>Resultado equivalente no caso examinado</w:t>
            </w:r>
          </w:p>
        </w:tc>
      </w:tr>
      <w:tr>
        <w:trPr>
          <w:cantSplit/>
        </w:trPr>
        <w:tc>
          <w:tcPr>
            <w:tcW w:w="2250" w:type="dxa"/>
          </w:tcPr>
          <w:p>
            <w:pPr/>
            <w:r>
              <w:t>WebKit</w:t>
            </w:r>
          </w:p>
        </w:tc>
        <w:tc>
          <w:tcPr>
            <w:tcW w:w="2250" w:type="dxa"/>
          </w:tcPr>
          <w:p>
            <w:pPr/>
            <w:r>
              <w:t>Não</w:t>
            </w:r>
          </w:p>
        </w:tc>
        <w:tc>
          <w:tcPr>
            <w:tcW w:w="2250" w:type="dxa"/>
          </w:tcPr>
          <w:p>
            <w:pPr/>
            <w:r>
              <w:t>Não aplicável</w:t>
            </w:r>
          </w:p>
        </w:tc>
        <w:tc>
          <w:tcPr>
            <w:tcW w:w="2250" w:type="dxa"/>
          </w:tcPr>
          <w:p>
            <w:pPr/>
            <w:r>
              <w:t>Percurso interrompido na autenticação; resultado inconclusivo</w:t>
            </w:r>
          </w:p>
        </w:tc>
      </w:tr>
    </w:tbl>
    <w:p>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pPr>
      <w:r>
        <w:t>B.5 Resultados de recuperação e controlo</w:t>
      </w:r>
    </w:p>
    <w:p>
      <w:pPr/>
      <w:r>
        <w:t>Tabela B.3 — Comportamento observado perante limites, entradas inválidas e falhas previstas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r>
              <w:t>Situação examinada</w:t>
            </w:r>
          </w:p>
        </w:tc>
        <w:tc>
          <w:tcPr>
            <w:tcW w:w="3000" w:type="dxa"/>
          </w:tcPr>
          <w:p>
            <w:pPr/>
            <w:r>
              <w:t>Comportamento observado</w:t>
            </w:r>
          </w:p>
        </w:tc>
        <w:tc>
          <w:tcPr>
            <w:tcW w:w="3000" w:type="dxa"/>
          </w:tcPr>
          <w:p>
            <w:pPr/>
            <w:r>
              <w:t>Leitura para o processo de design</w:t>
            </w:r>
          </w:p>
        </w:tc>
      </w:tr>
      <w:tr>
        <w:trPr>
          <w:cantSplit/>
        </w:trPr>
        <w:tc>
          <w:tcPr>
            <w:tcW w:w="3000" w:type="dxa"/>
          </w:tcPr>
          <w:p>
            <w:pPr/>
            <w:r>
              <w:t>Valores mínimo e máximo</w:t>
            </w:r>
          </w:p>
        </w:tc>
        <w:tc>
          <w:tcPr>
            <w:tcW w:w="3000" w:type="dxa"/>
          </w:tcPr>
          <w:p>
            <w:pPr/>
            <w:r>
              <w:t>Aceites e gerados</w:t>
            </w:r>
          </w:p>
        </w:tc>
        <w:tc>
          <w:tcPr>
            <w:tcW w:w="3000" w:type="dxa"/>
          </w:tcPr>
          <w:p>
            <w:pPr/>
            <w:r>
              <w:t>Os limites declarados integram o espaço de configuração</w:t>
            </w:r>
          </w:p>
        </w:tc>
      </w:tr>
      <w:tr>
        <w:trPr>
          <w:cantSplit/>
        </w:trPr>
        <w:tc>
          <w:tcPr>
            <w:tcW w:w="3000" w:type="dxa"/>
          </w:tcPr>
          <w:p>
            <w:pPr/>
            <w:r>
              <w:t>Valores abaixo ou acima dos limites</w:t>
            </w:r>
          </w:p>
        </w:tc>
        <w:tc>
          <w:tcPr>
            <w:tcW w:w="3000" w:type="dxa"/>
          </w:tcPr>
          <w:p>
            <w:pPr/>
            <w:r>
              <w:t>Rejeitados no pedido directo</w:t>
            </w:r>
          </w:p>
        </w:tc>
        <w:tc>
          <w:tcPr>
            <w:tcW w:w="3000" w:type="dxa"/>
          </w:tcPr>
          <w:p>
            <w:pPr/>
            <w:r>
              <w:t>Evita guardar silenciosamente valores fora da gama nesse percurso</w:t>
            </w:r>
          </w:p>
        </w:tc>
      </w:tr>
      <w:tr>
        <w:trPr>
          <w:cantSplit/>
        </w:trPr>
        <w:tc>
          <w:tcPr>
            <w:tcW w:w="3000" w:type="dxa"/>
          </w:tcPr>
          <w:p>
            <w:pPr/>
            <w:r>
              <w:t>Campo obrigatório ausente</w:t>
            </w:r>
          </w:p>
        </w:tc>
        <w:tc>
          <w:tcPr>
            <w:tcW w:w="3000" w:type="dxa"/>
          </w:tcPr>
          <w:p>
            <w:pPr/>
            <w:r>
              <w:t>Rejeitado com indicação do problema</w:t>
            </w:r>
          </w:p>
        </w:tc>
        <w:tc>
          <w:tcPr>
            <w:tcW w:w="3000" w:type="dxa"/>
          </w:tcPr>
          <w:p>
            <w:pPr/>
            <w:r>
              <w:t>A configuração incompleta não foi criada</w:t>
            </w:r>
          </w:p>
        </w:tc>
      </w:tr>
      <w:tr>
        <w:trPr>
          <w:cantSplit/>
        </w:trPr>
        <w:tc>
          <w:tcPr>
            <w:tcW w:w="3000" w:type="dxa"/>
          </w:tcPr>
          <w:p>
            <w:pPr/>
            <w:r>
              <w:t>Perfil abaixo do limite Phoenix</w:t>
            </w:r>
          </w:p>
        </w:tc>
        <w:tc>
          <w:tcPr>
            <w:tcW w:w="3000" w:type="dxa"/>
          </w:tcPr>
          <w:p>
            <w:pPr/>
            <w:r>
              <w:t>Elevado ao mínimo com registo da alteração</w:t>
            </w:r>
          </w:p>
        </w:tc>
        <w:tc>
          <w:tcPr>
            <w:tcW w:w="3000" w:type="dxa"/>
          </w:tcPr>
          <w:p>
            <w:pPr/>
            <w:r>
              <w:t>O limite do modelo actuou de forma explícita</w:t>
            </w:r>
          </w:p>
        </w:tc>
      </w:tr>
      <w:tr>
        <w:trPr>
          <w:cantSplit/>
        </w:trPr>
        <w:tc>
          <w:tcPr>
            <w:tcW w:w="3000" w:type="dxa"/>
          </w:tcPr>
          <w:p>
            <w:pPr/>
            <w:r>
              <w:t>País sem cobertura directa</w:t>
            </w:r>
          </w:p>
        </w:tc>
        <w:tc>
          <w:tcPr>
            <w:tcW w:w="3000" w:type="dxa"/>
          </w:tcPr>
          <w:p>
            <w:pPr/>
            <w:r>
              <w:t>Seleccionado um grupo substituto identificável</w:t>
            </w:r>
          </w:p>
        </w:tc>
        <w:tc>
          <w:tcPr>
            <w:tcW w:w="3000" w:type="dxa"/>
          </w:tcPr>
          <w:p>
            <w:pPr/>
            <w:r>
              <w:t>A ausência de correspondência nacional não foi apresentada como correspondência directa</w:t>
            </w:r>
          </w:p>
        </w:tc>
      </w:tr>
      <w:tr>
        <w:trPr>
          <w:cantSplit/>
        </w:trPr>
        <w:tc>
          <w:tcPr>
            <w:tcW w:w="3000" w:type="dxa"/>
          </w:tcPr>
          <w:p>
            <w:pPr/>
            <w:r>
              <w:t>Serviço de IA indisponível</w:t>
            </w:r>
          </w:p>
        </w:tc>
        <w:tc>
          <w:tcPr>
            <w:tcW w:w="3000" w:type="dxa"/>
          </w:tcPr>
          <w:p>
            <w:pPr/>
            <w:r>
              <w:t>Configuração anterior preservada</w:t>
            </w:r>
          </w:p>
        </w:tc>
        <w:tc>
          <w:tcPr>
            <w:tcW w:w="3000" w:type="dxa"/>
          </w:tcPr>
          <w:p>
            <w:pPr/>
            <w:r>
              <w:t>O trabalho realizado não foi destruído</w:t>
            </w:r>
          </w:p>
        </w:tc>
      </w:tr>
      <w:tr>
        <w:trPr>
          <w:cantSplit/>
        </w:trPr>
        <w:tc>
          <w:tcPr>
            <w:tcW w:w="3000" w:type="dxa"/>
          </w:tcPr>
          <w:p>
            <w:pPr/>
            <w:r>
              <w:t>Resposta de IA inválida</w:t>
            </w:r>
          </w:p>
        </w:tc>
        <w:tc>
          <w:tcPr>
            <w:tcW w:w="3000" w:type="dxa"/>
          </w:tcPr>
          <w:p>
            <w:pPr/>
            <w:r>
              <w:t>Resposta não aplicada; nova tentativa concluída</w:t>
            </w:r>
          </w:p>
        </w:tc>
        <w:tc>
          <w:tcPr>
            <w:tcW w:w="3000" w:type="dxa"/>
          </w:tcPr>
          <w:p>
            <w:pPr/>
            <w:r>
              <w:t>A recuperação foi possível</w:t>
            </w:r>
          </w:p>
        </w:tc>
      </w:tr>
      <w:tr>
        <w:trPr>
          <w:cantSplit/>
        </w:trPr>
        <w:tc>
          <w:tcPr>
            <w:tcW w:w="3000" w:type="dxa"/>
          </w:tcPr>
          <w:p>
            <w:pPr/>
            <w:r>
              <w:t>Falha de geração</w:t>
            </w:r>
          </w:p>
        </w:tc>
        <w:tc>
          <w:tcPr>
            <w:tcW w:w="3000" w:type="dxa"/>
          </w:tcPr>
          <w:p>
            <w:pPr/>
            <w:r>
              <w:t>Interface manteve-se disponível e aceitou nova tentativa</w:t>
            </w:r>
          </w:p>
        </w:tc>
        <w:tc>
          <w:tcPr>
            <w:tcW w:w="3000" w:type="dxa"/>
          </w:tcPr>
          <w:p>
            <w:pPr/>
            <w:r>
              <w:t>O percurso não ficou bloqueado de forma permanente</w:t>
            </w:r>
          </w:p>
        </w:tc>
      </w:tr>
      <w:tr>
        <w:trPr>
          <w:cantSplit/>
        </w:trPr>
        <w:tc>
          <w:tcPr>
            <w:tcW w:w="3000" w:type="dxa"/>
          </w:tcPr>
          <w:p>
            <w:pPr/>
            <w:r>
              <w:t>Exportação sem geometria</w:t>
            </w:r>
          </w:p>
        </w:tc>
        <w:tc>
          <w:tcPr>
            <w:tcW w:w="3000" w:type="dxa"/>
          </w:tcPr>
          <w:p>
            <w:pPr/>
            <w:r>
              <w:t>Operação impedida com mensagem</w:t>
            </w:r>
          </w:p>
        </w:tc>
        <w:tc>
          <w:tcPr>
            <w:tcW w:w="3000" w:type="dxa"/>
          </w:tcPr>
          <w:p>
            <w:pPr/>
            <w:r>
              <w:t>Não foi criado um ficheiro sem conteúdo válido</w:t>
            </w:r>
          </w:p>
        </w:tc>
      </w:tr>
      <w:tr>
        <w:trPr>
          <w:cantSplit/>
        </w:trPr>
        <w:tc>
          <w:tcPr>
            <w:tcW w:w="3000" w:type="dxa"/>
          </w:tcPr>
          <w:p>
            <w:pPr/>
            <w:r>
              <w:t>Texto num campo numérico</w:t>
            </w:r>
          </w:p>
        </w:tc>
        <w:tc>
          <w:tcPr>
            <w:tcW w:w="3000" w:type="dxa"/>
          </w:tcPr>
          <w:p>
            <w:pPr/>
            <w:r>
              <w:t>Rejeitado pela interface, mas aceite pelo pedido directo</w:t>
            </w:r>
          </w:p>
        </w:tc>
        <w:tc>
          <w:tcPr>
            <w:tcW w:w="3000" w:type="dxa"/>
          </w:tcPr>
          <w:p>
            <w:pPr/>
            <w:r>
              <w:t>As regras não são ainda coerentes em todas as etapas</w:t>
            </w:r>
          </w:p>
        </w:tc>
      </w:tr>
      <w:tr>
        <w:trPr>
          <w:cantSplit/>
        </w:trPr>
        <w:tc>
          <w:tcPr>
            <w:tcW w:w="3000" w:type="dxa"/>
          </w:tcPr>
          <w:p>
            <w:pPr/>
            <w:r>
              <w:t>Sugestão simulada acima do limite</w:t>
            </w:r>
          </w:p>
        </w:tc>
        <w:tc>
          <w:tcPr>
            <w:tcW w:w="3000" w:type="dxa"/>
          </w:tcPr>
          <w:p>
            <w:pPr/>
            <w:r>
              <w:t>Detectada pelo esquema, mas aplicada ao valor interno</w:t>
            </w:r>
          </w:p>
        </w:tc>
        <w:tc>
          <w:tcPr>
            <w:tcW w:w="3000" w:type="dxa"/>
          </w:tcPr>
          <w:p>
            <w:pPr/>
            <w:r>
              <w:t>A detecção não impediu a aplicação e exige correcção</w:t>
            </w:r>
          </w:p>
        </w:tc>
      </w:tr>
    </w:tbl>
    <w:p>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r>
        <w:t>Os ensaios relativos à IA recorreram a respostas simuladas e controladas. Confirmam o comportamento da interface perante respostas previstas, mas não medem estabilidade, dispersão ou qualidade de um modelo de linguagem real. Não foi executada a campanha de repetição com chamadas reais ao fornecedor de IA.</w:t>
      </w:r>
    </w:p>
    <w:p>
      <w:pPr>
        <w:pStyle w:val="Heading2"/>
      </w:pPr>
      <w:r>
        <w:t>B.6 Resultados da verificação automática de acessibilidade digital</w:t>
      </w:r>
    </w:p>
    <w:p>
      <w:pPr>
        <w:pStyle w:val="Heading3"/>
      </w:pPr>
      <w:r>
        <w:t>B.6.1 Percurso local autenticado</w:t>
      </w:r>
    </w:p>
    <w:p>
      <w:pPr/>
      <w:r>
        <w:t>Foram examinados oito estados da interface. O total de treze ocorrências corresponde à soma das regras assinaladas em cada estado, e não a treze tipos diferentes de barreira. Foram identificadas quatro categorias:</w:t>
      </w:r>
    </w:p>
    <w:p>
      <w:pPr/>
      <w:r>
        <w:t>Tabela B.4 — Categorias de problemas de acessibilidade digital detectadas automaticamente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r>
              <w:t>Categoria</w:t>
            </w:r>
          </w:p>
        </w:tc>
        <w:tc>
          <w:tcPr>
            <w:tcW w:w="2250" w:type="dxa"/>
          </w:tcPr>
          <w:p>
            <w:pPr/>
            <w:r>
              <w:t>Gravidade indicada pelo instrumento</w:t>
            </w:r>
          </w:p>
        </w:tc>
        <w:tc>
          <w:tcPr>
            <w:tcW w:w="2250" w:type="dxa"/>
          </w:tcPr>
          <w:p>
            <w:pPr/>
            <w:r>
              <w:t>Estados afectados</w:t>
            </w:r>
          </w:p>
        </w:tc>
        <w:tc>
          <w:tcPr>
            <w:tcW w:w="2250" w:type="dxa"/>
          </w:tcPr>
          <w:p>
            <w:pPr/>
            <w:r>
              <w:t>Consequência de design</w:t>
            </w:r>
          </w:p>
        </w:tc>
      </w:tr>
      <w:tr>
        <w:trPr>
          <w:cantSplit/>
        </w:trPr>
        <w:tc>
          <w:tcPr>
            <w:tcW w:w="2250" w:type="dxa"/>
          </w:tcPr>
          <w:p>
            <w:pPr/>
            <w:r>
              <w:t>Contraste de cor insuficiente</w:t>
            </w:r>
          </w:p>
        </w:tc>
        <w:tc>
          <w:tcPr>
            <w:tcW w:w="2250" w:type="dxa"/>
          </w:tcPr>
          <w:p>
            <w:pPr/>
            <w:r>
              <w:t>Grave</w:t>
            </w:r>
          </w:p>
        </w:tc>
        <w:tc>
          <w:tcPr>
            <w:tcW w:w="2250" w:type="dxa"/>
          </w:tcPr>
          <w:p>
            <w:pPr/>
            <w:r>
              <w:t>8</w:t>
            </w:r>
          </w:p>
        </w:tc>
        <w:tc>
          <w:tcPr>
            <w:tcW w:w="2250" w:type="dxa"/>
          </w:tcPr>
          <w:p>
            <w:pPr/>
            <w:r>
              <w:t>Texto e controlos podem perder legibilidade para pessoas com baixa visão ou em condições visuais desfavoráveis</w:t>
            </w:r>
          </w:p>
        </w:tc>
      </w:tr>
      <w:tr>
        <w:trPr>
          <w:cantSplit/>
        </w:trPr>
        <w:tc>
          <w:tcPr>
            <w:tcW w:w="2250" w:type="dxa"/>
          </w:tcPr>
          <w:p>
            <w:pPr/>
            <w:r>
              <w:t>Rótulo não associado ao controlo</w:t>
            </w:r>
          </w:p>
        </w:tc>
        <w:tc>
          <w:tcPr>
            <w:tcW w:w="2250" w:type="dxa"/>
          </w:tcPr>
          <w:p>
            <w:pPr/>
            <w:r>
              <w:t>Crítica</w:t>
            </w:r>
          </w:p>
        </w:tc>
        <w:tc>
          <w:tcPr>
            <w:tcW w:w="2250" w:type="dxa"/>
          </w:tcPr>
          <w:p>
            <w:pPr/>
            <w:r>
              <w:t>3</w:t>
            </w:r>
          </w:p>
        </w:tc>
        <w:tc>
          <w:tcPr>
            <w:tcW w:w="2250" w:type="dxa"/>
          </w:tcPr>
          <w:p>
            <w:pPr/>
            <w:r>
              <w:t>O significado de campos e cursores pode não ser comunicado por tecnologias de apoio</w:t>
            </w:r>
          </w:p>
        </w:tc>
      </w:tr>
      <w:tr>
        <w:trPr>
          <w:cantSplit/>
        </w:trPr>
        <w:tc>
          <w:tcPr>
            <w:tcW w:w="2250" w:type="dxa"/>
          </w:tcPr>
          <w:p>
            <w:pPr/>
            <w:r>
              <w:t>Elementos interactivos aninhados</w:t>
            </w:r>
          </w:p>
        </w:tc>
        <w:tc>
          <w:tcPr>
            <w:tcW w:w="2250" w:type="dxa"/>
          </w:tcPr>
          <w:p>
            <w:pPr/>
            <w:r>
              <w:t>Grave</w:t>
            </w:r>
          </w:p>
        </w:tc>
        <w:tc>
          <w:tcPr>
            <w:tcW w:w="2250" w:type="dxa"/>
          </w:tcPr>
          <w:p>
            <w:pPr/>
            <w:r>
              <w:t>1</w:t>
            </w:r>
          </w:p>
        </w:tc>
        <w:tc>
          <w:tcPr>
            <w:tcW w:w="2250" w:type="dxa"/>
          </w:tcPr>
          <w:p>
            <w:pPr/>
            <w:r>
              <w:t>Pode originar foco e activação ambíguos</w:t>
            </w:r>
          </w:p>
        </w:tc>
      </w:tr>
      <w:tr>
        <w:trPr>
          <w:cantSplit/>
        </w:trPr>
        <w:tc>
          <w:tcPr>
            <w:tcW w:w="2250" w:type="dxa"/>
          </w:tcPr>
          <w:p>
            <w:pPr/>
            <w:r>
              <w:t>Elemento de selecção sem nome acessível</w:t>
            </w:r>
          </w:p>
        </w:tc>
        <w:tc>
          <w:tcPr>
            <w:tcW w:w="2250" w:type="dxa"/>
          </w:tcPr>
          <w:p>
            <w:pPr/>
            <w:r>
              <w:t>Crítica</w:t>
            </w:r>
          </w:p>
        </w:tc>
        <w:tc>
          <w:tcPr>
            <w:tcW w:w="2250" w:type="dxa"/>
          </w:tcPr>
          <w:p>
            <w:pPr/>
            <w:r>
              <w:t>1</w:t>
            </w:r>
          </w:p>
        </w:tc>
        <w:tc>
          <w:tcPr>
            <w:tcW w:w="2250" w:type="dxa"/>
          </w:tcPr>
          <w:p>
            <w:pPr/>
            <w:r>
              <w:t>A função do controlo pode não ser identificável fora da apresentação visual</w:t>
            </w:r>
          </w:p>
        </w:tc>
      </w:tr>
    </w:tbl>
    <w:p>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pPr>
      <w:r>
        <w:t>B.6.2 Superfície pública</w:t>
      </w:r>
    </w:p>
    <w:p>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pPr>
      <w:r>
        <w:t>B.6.3 Verificação manual pendente</w:t>
      </w:r>
    </w:p>
    <w:p>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pPr>
      <w:r>
        <w:t>B.7 Aprendizagens para o Design Industrial</w:t>
      </w:r>
    </w:p>
    <w:p>
      <w:pPr>
        <w:pStyle w:val="ListNumber"/>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ListNumber"/>
      </w:pPr>
      <w:r>
        <w:t xml:space="preserve">2. </w:t>
      </w:r>
      <w:r>
        <w:rPr>
          <w:b/>
        </w:rPr>
        <w:t>Os limites devem ser visíveis e actuar em todas as etapas.</w:t>
      </w:r>
      <w:r>
        <w:t xml:space="preserve"> Não basta limitar um cursor se o valor puder ser aceite ou aplicado por outro percurso.</w:t>
      </w:r>
    </w:p>
    <w:p>
      <w:pPr>
        <w:pStyle w:val="ListNumber"/>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ListNumber"/>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ListNumber"/>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ListNumber"/>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Heading2"/>
      </w:pPr>
      <w:r>
        <w:t>B.8 Conclusão</w:t>
      </w:r>
    </w:p>
    <w:p>
      <w:pPr/>
      <w:r>
        <w:t>As campanhas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Heading2"/>
      </w:pPr>
      <w:r>
        <w:t>B.9 Ficha técnica e localização das evidências</w:t>
      </w:r>
    </w:p>
    <w:p>
      <w:pPr/>
      <w:r>
        <w:t>Esta secção conserva apenas a informação necessária para identificar as campanhas. Os pormenores de implementação dos testes não integram o argumento principal da dissertação.</w:t>
      </w:r>
    </w:p>
    <w:p>
      <w:pPr/>
      <w:r>
        <w:t>Tabela B.5 — Identificação das campanhas complementares de avaliação da plataforma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r>
              <w:t>Campanha</w:t>
            </w:r>
          </w:p>
        </w:tc>
        <w:tc>
          <w:tcPr>
            <w:tcW w:w="2250" w:type="dxa"/>
          </w:tcPr>
          <w:p>
            <w:pPr/>
            <w:r>
              <w:t>Ambiente</w:t>
            </w:r>
          </w:p>
        </w:tc>
        <w:tc>
          <w:tcPr>
            <w:tcW w:w="2250" w:type="dxa"/>
          </w:tcPr>
          <w:p>
            <w:pPr/>
            <w:r>
              <w:t>Instrumentos</w:t>
            </w:r>
          </w:p>
        </w:tc>
        <w:tc>
          <w:tcPr>
            <w:tcW w:w="2250" w:type="dxa"/>
          </w:tcPr>
          <w:p>
            <w:pPr/>
            <w:r>
              <w:t>Evidência principal</w:t>
            </w:r>
          </w:p>
        </w:tc>
      </w:tr>
      <w:tr>
        <w:trPr>
          <w:cantSplit/>
        </w:trPr>
        <w:tc>
          <w:tcPr>
            <w:tcW w:w="2250" w:type="dxa"/>
          </w:tcPr>
          <w:p>
            <w:pPr/>
            <w:r>
              <w:rPr>
                <w:rFonts w:ascii="Consolas" w:hAnsi="Consolas"/>
                <w:sz w:val="20"/>
              </w:rPr>
              <w:t>2026-07-13_23-22-21_repetition</w:t>
            </w:r>
          </w:p>
        </w:tc>
        <w:tc>
          <w:tcPr>
            <w:tcW w:w="2250" w:type="dxa"/>
          </w:tcPr>
          <w:p>
            <w:pPr/>
            <w:r>
              <w:t>Instância local isolada, perfis sintéticos</w:t>
            </w:r>
          </w:p>
        </w:tc>
        <w:tc>
          <w:tcPr>
            <w:tcW w:w="2250" w:type="dxa"/>
          </w:tcPr>
          <w:p>
            <w:pPr/>
            <w:r>
              <w:t>Playwright 1.59.1; análise de STL</w:t>
            </w:r>
          </w:p>
        </w:tc>
        <w:tc>
          <w:tcPr>
            <w:tcW w:w="2250" w:type="dxa"/>
          </w:tcPr>
          <w:p>
            <w:pPr/>
            <w:r>
              <w:t>Resultados por modelo, ficheiros exportados e comparação entre navegadores</w:t>
            </w:r>
          </w:p>
        </w:tc>
      </w:tr>
      <w:tr>
        <w:trPr>
          <w:cantSplit/>
        </w:trPr>
        <w:tc>
          <w:tcPr>
            <w:tcW w:w="2250" w:type="dxa"/>
          </w:tcPr>
          <w:p>
            <w:pPr/>
            <w:r>
              <w:rPr>
                <w:rFonts w:ascii="Consolas" w:hAnsi="Consolas"/>
                <w:sz w:val="20"/>
              </w:rPr>
              <w:t>2026-07-14_00-02-40_robustness</w:t>
            </w:r>
          </w:p>
        </w:tc>
        <w:tc>
          <w:tcPr>
            <w:tcW w:w="2250" w:type="dxa"/>
          </w:tcPr>
          <w:p>
            <w:pPr/>
            <w:r>
              <w:t>Instância local isolada, perfis sintéticos</w:t>
            </w:r>
          </w:p>
        </w:tc>
        <w:tc>
          <w:tcPr>
            <w:tcW w:w="2250" w:type="dxa"/>
          </w:tcPr>
          <w:p>
            <w:pPr/>
            <w:r>
              <w:t>Playwright 1.59.1</w:t>
            </w:r>
          </w:p>
        </w:tc>
        <w:tc>
          <w:tcPr>
            <w:tcW w:w="2250" w:type="dxa"/>
          </w:tcPr>
          <w:p>
            <w:pPr/>
            <w:r>
              <w:t>Casos nominais, limites, entradas inválidas e recuperação</w:t>
            </w:r>
          </w:p>
        </w:tc>
      </w:tr>
      <w:tr>
        <w:trPr>
          <w:cantSplit/>
        </w:trPr>
        <w:tc>
          <w:tcPr>
            <w:tcW w:w="2250" w:type="dxa"/>
          </w:tcPr>
          <w:p>
            <w:pPr/>
            <w:r>
              <w:rPr>
                <w:rFonts w:ascii="Consolas" w:hAnsi="Consolas"/>
                <w:sz w:val="20"/>
              </w:rPr>
              <w:t>2026-07-14_00-03-19_a11y-local</w:t>
            </w:r>
          </w:p>
        </w:tc>
        <w:tc>
          <w:tcPr>
            <w:tcW w:w="2250" w:type="dxa"/>
          </w:tcPr>
          <w:p>
            <w:pPr/>
            <w:r>
              <w:t>Percurso local autenticado</w:t>
            </w:r>
          </w:p>
        </w:tc>
        <w:tc>
          <w:tcPr>
            <w:tcW w:w="2250" w:type="dxa"/>
          </w:tcPr>
          <w:p>
            <w:pPr/>
            <w:r>
              <w:t>axe-core 4.12.1 integrado no Playwright</w:t>
            </w:r>
          </w:p>
        </w:tc>
        <w:tc>
          <w:tcPr>
            <w:tcW w:w="2250" w:type="dxa"/>
          </w:tcPr>
          <w:p>
            <w:pPr/>
            <w:r>
              <w:t>Resultados por estado e lista de verificação manual</w:t>
            </w:r>
          </w:p>
        </w:tc>
      </w:tr>
      <w:tr>
        <w:trPr>
          <w:cantSplit/>
        </w:trPr>
        <w:tc>
          <w:tcPr>
            <w:tcW w:w="2250" w:type="dxa"/>
          </w:tcPr>
          <w:p>
            <w:pPr/>
            <w:r>
              <w:rPr>
                <w:rFonts w:ascii="Consolas" w:hAnsi="Consolas"/>
                <w:sz w:val="20"/>
              </w:rPr>
              <w:t>2026-07-14_00-06-48_a11y-public</w:t>
            </w:r>
          </w:p>
        </w:tc>
        <w:tc>
          <w:tcPr>
            <w:tcW w:w="2250" w:type="dxa"/>
          </w:tcPr>
          <w:p>
            <w:pPr/>
            <w:r>
              <w:t>Página pública não autenticada</w:t>
            </w:r>
          </w:p>
        </w:tc>
        <w:tc>
          <w:tcPr>
            <w:tcW w:w="2250" w:type="dxa"/>
          </w:tcPr>
          <w:p>
            <w:pPr/>
            <w:r>
              <w:t>axe-core 4.12.1 integrado no Playwright</w:t>
            </w:r>
          </w:p>
        </w:tc>
        <w:tc>
          <w:tcPr>
            <w:tcW w:w="2250" w:type="dxa"/>
          </w:tcPr>
          <w:p>
            <w:pPr/>
            <w:r>
              <w:t>Resultado automático da página de entrada</w:t>
            </w:r>
          </w:p>
        </w:tc>
      </w:tr>
    </w:tbl>
    <w:p>
      <w:pPr/>
      <w:r>
        <w:t xml:space="preserve">As campanhas registam a versão 14.69.0, a branch </w:t>
      </w:r>
      <w:r>
        <w:rPr>
          <w:rFonts w:ascii="Consolas" w:hAnsi="Consolas"/>
          <w:sz w:val="20"/>
        </w:rPr>
        <w:t>staging</w:t>
      </w:r>
      <w:r>
        <w:t xml:space="preserve"> e o commit </w:t>
      </w:r>
      <w:r>
        <w:rPr>
          <w:rFonts w:ascii="Consolas" w:hAnsi="Consolas"/>
          <w:sz w:val="20"/>
        </w:rPr>
        <w:t>7e604558b337d02fff979169f057d6cbd0c80c0a</w:t>
      </w:r>
      <w:r>
        <w:t>.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p>
    <w:p>
      <w:pPr/>
      <w:r>
        <w:t xml:space="preserve">Os resultados copiados para este anexo encontram-se em </w:t>
      </w:r>
      <w:r>
        <w:rPr>
          <w:rFonts w:ascii="Consolas" w:hAnsi="Consolas"/>
          <w:sz w:val="20"/>
        </w:rPr>
        <w:t>sources/manuscript/annexes/testes_plataforma/evidencias/</w:t>
      </w:r>
      <w:r>
        <w:t xml:space="preserve">. Os ficheiros brutos de maior dimensão permanecem no repositório da plataforma, sob </w:t>
      </w:r>
      <w:r>
        <w:rPr>
          <w:rFonts w:ascii="Consolas" w:hAnsi="Consolas"/>
          <w:sz w:val="20"/>
        </w:rPr>
        <w:t>test-results/thesis-evaluation/</w:t>
      </w:r>
      <w:r>
        <w:t>, organizados por campanha.</w:t>
      </w:r>
    </w:p>
    <w:p>
      <w:pPr>
        <w:pStyle w:val="Heading2"/>
      </w:pPr>
      <w:r>
        <w:t>B.10 Referências normativas</w:t>
      </w:r>
    </w:p>
    <w:p>
      <w:pPr>
        <w:pStyle w:val="ListBullet"/>
      </w:pPr>
      <w:r>
        <w:t xml:space="preserve">- World Wide Web Consortium. (2024). </w:t>
      </w:r>
      <w:r>
        <w:rPr>
          <w:i/>
        </w:rPr>
        <w:t>Web Content Accessibility Guidelines (WCAG) 2.2</w:t>
      </w:r>
      <w:r>
        <w:t>. https://www.w3.org/TR/WCAG22/</w:t>
      </w:r>
    </w:p>
    <w:p>
      <w:pPr>
        <w:pStyle w:val="ListBullet"/>
      </w:pPr>
      <w:r>
        <w:t xml:space="preserve">- World Wide Web Consortium. (2014). </w:t>
      </w:r>
      <w:r>
        <w:rPr>
          <w:i/>
        </w:rPr>
        <w:t>Website Accessibility Conformance Evaluation Methodology (WCAG-EM) 1.0</w:t>
      </w:r>
      <w:r>
        <w:t>. https://www.w3.org/TR/WCAG-EM/</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B — Avaliação do processo paramétrico e da interface da plataforma HandFab</dc:title>
  <dc:creator>Codex Markdown Exporter</dc:creator>
  <cp:lastModifiedBy>Codex Markdown Exporter</cp:lastModifiedBy>
  <dcterms:created xsi:type="dcterms:W3CDTF">2026-07-14T10:49:50Z</dcterms:created>
  <dcterms:modified xsi:type="dcterms:W3CDTF">2026-07-14T10:49:50Z</dcterms:modified>
</cp:coreProperties>
</file>