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41</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Fontes integradas na base local de dados antropométricos</w:t>
        <w:tab/>
      </w:r>
      <w:r>
        <w:t>45</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Relações paramétricas dos modelos avaliados</w:t>
        <w:tab/>
      </w:r>
      <w:r>
        <w:t>55</w:t>
      </w:r>
    </w:p>
    <w:p>
      <w:pPr>
        <w:pStyle w:val="ndice1"/>
        <w:tabs>
          <w:tab w:val="right" w:leader="dot" w:pos="8204"/>
        </w:tabs>
      </w:pPr>
      <w:r>
        <w:t>Tabela 4.9 — Dicionário operacional dos parâmetros numéricos dos modelos avaliados</w:t>
        <w:tab/>
      </w:r>
      <w:r>
        <w:t>57</w:t>
      </w:r>
    </w:p>
    <w:p>
      <w:pPr>
        <w:pStyle w:val="ndice1"/>
        <w:tabs>
          <w:tab w:val="right" w:leader="dot" w:pos="8204"/>
        </w:tabs>
      </w:pPr>
      <w:r>
        <w:t>Tabela 4.10 — Percurso numérico do vector antropométrico até às malhas do Flexy Beast</w:t>
        <w:tab/>
      </w:r>
      <w:r>
        <w:t>58</w:t>
      </w:r>
    </w:p>
    <w:p>
      <w:pPr>
        <w:pStyle w:val="ndice1"/>
        <w:tabs>
          <w:tab w:val="right" w:leader="dot" w:pos="8204"/>
        </w:tabs>
      </w:pPr>
      <w:r>
        <w:t>Tabela 5.1 — Fluxo de dados e responsabilidades da plataforma</w:t>
        <w:tab/>
      </w:r>
      <w:r>
        <w:t>64</w:t>
      </w:r>
    </w:p>
    <w:p>
      <w:pPr>
        <w:pStyle w:val="ndice1"/>
        <w:tabs>
          <w:tab w:val="right" w:leader="dot" w:pos="8204"/>
        </w:tabs>
      </w:pPr>
      <w:r>
        <w:t>Tabela 5.2 — Inventário consolidado dos modelos no fecho do estudo</w:t>
        <w:tab/>
      </w:r>
      <w:r>
        <w:t>73</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90</w:t>
      </w:r>
    </w:p>
    <w:p>
      <w:pPr>
        <w:pStyle w:val="ndice1"/>
        <w:tabs>
          <w:tab w:val="right" w:leader="dot" w:pos="8204"/>
        </w:tabs>
      </w:pPr>
      <w:r>
        <w:t>Tabela 8.2 — Projectos de preparação para impressão arquivados</w:t>
        <w:tab/>
      </w:r>
      <w:r>
        <w:t>91</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96</w:t>
      </w:r>
    </w:p>
    <w:p>
      <w:pPr>
        <w:pStyle w:val="ndice1"/>
        <w:tabs>
          <w:tab w:val="right" w:leader="dot" w:pos="8204"/>
        </w:tabs>
      </w:pPr>
      <w:r>
        <w:t>Tabela 8.5 — Síntese da avaliação das sugestões de IA</w:t>
        <w:tab/>
      </w:r>
      <w:r>
        <w:t>98</w:t>
      </w:r>
    </w:p>
    <w:p>
      <w:pPr>
        <w:pStyle w:val="ndice1"/>
        <w:tabs>
          <w:tab w:val="right" w:leader="dot" w:pos="8204"/>
        </w:tabs>
      </w:pPr>
      <w:r>
        <w:t>Tabela 8.6 — Modelos e mecanismos de escala avaliados</w:t>
        <w:tab/>
      </w:r>
      <w:r>
        <w:t>99</w:t>
      </w:r>
    </w:p>
    <w:p>
      <w:pPr>
        <w:pStyle w:val="ndice1"/>
        <w:tabs>
          <w:tab w:val="right" w:leader="dot" w:pos="8204"/>
        </w:tabs>
      </w:pPr>
      <w:r>
        <w:t>Tabela 8.7 — Rácio adimensional da maior dimensão da palma exportada face ao valor de referência</w:t>
        <w:tab/>
      </w:r>
      <w:r>
        <w:t>100</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43</w:t>
      </w:r>
    </w:p>
    <w:p>
      <w:pPr>
        <w:pStyle w:val="ndice1"/>
        <w:tabs>
          <w:tab w:val="right" w:leader="dot" w:pos="8204"/>
        </w:tabs>
      </w:pPr>
      <w:r>
        <w:t>Figura 4.3 — Relação entre modelo paramétrico digital, prototipagem e verificação de um dedo protésico.</w:t>
        <w:tab/>
      </w:r>
      <w:r>
        <w:t>53</w:t>
      </w:r>
    </w:p>
    <w:p>
      <w:pPr>
        <w:pStyle w:val="ndice1"/>
        <w:tabs>
          <w:tab w:val="right" w:leader="dot" w:pos="8204"/>
        </w:tabs>
      </w:pPr>
      <w:r>
        <w:t>Figura 5.1 — Fluxo geral de produção personalizada de próteses a partir de plataforma web – Hand Fab</w:t>
        <w:tab/>
      </w:r>
      <w:r>
        <w:t>62</w:t>
      </w:r>
    </w:p>
    <w:p>
      <w:pPr>
        <w:pStyle w:val="ndice1"/>
        <w:tabs>
          <w:tab w:val="right" w:leader="dot" w:pos="8204"/>
        </w:tabs>
      </w:pPr>
      <w:r>
        <w:t>Figura 5.2 — Arquitectura da plataforma e fronteiras entre navegador, servidor, serviço externo de IA e preparação do fabrico.</w:t>
        <w:tab/>
      </w:r>
      <w:r>
        <w:t>65</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67</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87</w:t>
      </w:r>
    </w:p>
    <w:p>
      <w:pPr>
        <w:pStyle w:val="ndice1"/>
        <w:tabs>
          <w:tab w:val="right" w:leader="dot" w:pos="8204"/>
        </w:tabs>
      </w:pPr>
      <w:r>
        <w:t>Figura 8.1 — Segmentos do Flexy Beast produzidos e assentes na plataforma da Bambu Lab A1.</w:t>
        <w:tab/>
      </w:r>
      <w:r>
        <w:t>95</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95</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95</w:t>
      </w:r>
    </w:p>
    <w:p>
      <w:pPr>
        <w:pStyle w:val="ndice1"/>
        <w:tabs>
          <w:tab w:val="right" w:leader="dot" w:pos="8204"/>
        </w:tabs>
      </w:pPr>
      <w:r>
        <w:t>Figura 8.4 — Tarefas funcionais usadas em avaliação de prótese personalizada de membro superior.</w:t>
        <w:tab/>
      </w:r>
      <w:r>
        <w:t>96</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39</w:t>
      </w:r>
    </w:p>
    <w:p>
      <w:pPr>
        <w:pStyle w:val="ndice2"/>
        <w:tabs>
          <w:tab w:val="right" w:leader="dot" w:pos="8204"/>
        </w:tabs>
      </w:pPr>
      <w:r>
        <w:t>4.1 Definição do problema de design e requisitos</w:t>
        <w:tab/>
      </w:r>
      <w:r>
        <w:t>39</w:t>
      </w:r>
    </w:p>
    <w:p>
      <w:pPr>
        <w:pStyle w:val="ndice2"/>
        <w:tabs>
          <w:tab w:val="right" w:leader="dot" w:pos="8204"/>
        </w:tabs>
      </w:pPr>
      <w:r>
        <w:t>4.2 Parâmetros antropométricos e estrutura do modelo</w:t>
        <w:tab/>
      </w:r>
      <w:r>
        <w:t>40</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43</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50</w:t>
      </w:r>
    </w:p>
    <w:p>
      <w:pPr>
        <w:pStyle w:val="ndice2"/>
        <w:tabs>
          <w:tab w:val="right" w:leader="dot" w:pos="8204"/>
        </w:tabs>
      </w:pPr>
      <w:r>
        <w:t>4.3 Modelação paramétrica em OpenSCAD</w:t>
        <w:tab/>
      </w:r>
      <w:r>
        <w:t>52</w:t>
      </w:r>
    </w:p>
    <w:p>
      <w:pPr>
        <w:pStyle w:val="ndice3"/>
        <w:tabs>
          <w:tab w:val="right" w:leader="dot" w:pos="8204"/>
        </w:tabs>
      </w:pPr>
      <w:r>
        <w:t>4.3.1 Estrutura técnica, parâmetros e restrições</w:t>
        <w:tab/>
      </w:r>
      <w:r>
        <w:t>53</w:t>
      </w:r>
    </w:p>
    <w:p>
      <w:pPr>
        <w:pStyle w:val="ndice3"/>
        <w:tabs>
          <w:tab w:val="right" w:leader="dot" w:pos="8204"/>
        </w:tabs>
      </w:pPr>
      <w:r>
        <w:t>4.3.2 Análise crítica da abordagem</w:t>
        <w:tab/>
      </w:r>
      <w:r>
        <w:t>54</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57</w:t>
      </w:r>
    </w:p>
    <w:p>
      <w:pPr>
        <w:pStyle w:val="ndice3"/>
        <w:tabs>
          <w:tab w:val="right" w:leader="dot" w:pos="8204"/>
        </w:tabs>
      </w:pPr>
      <w:r>
        <w:t>4.3.5 Exemplo numérico completo: perfil infantil no Flexy Beast</w:t>
        <w:tab/>
      </w:r>
      <w:r>
        <w:t>58</w:t>
      </w:r>
    </w:p>
    <w:p>
      <w:pPr>
        <w:pStyle w:val="ndice2"/>
        <w:tabs>
          <w:tab w:val="right" w:leader="dot" w:pos="8204"/>
        </w:tabs>
      </w:pPr>
      <w:r>
        <w:t>4.4 Iterações, refinamento e discussão intermédia</w:t>
        <w:tab/>
      </w:r>
      <w:r>
        <w:t>59</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63</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85</w:t>
      </w:r>
    </w:p>
    <w:p>
      <w:pPr>
        <w:pStyle w:val="ndice2"/>
        <w:tabs>
          <w:tab w:val="right" w:leader="dot" w:pos="8204"/>
        </w:tabs>
      </w:pPr>
      <w:r>
        <w:t>7.3 Mediação do processo de design e reflexão crítica</w:t>
        <w:tab/>
      </w:r>
      <w:r>
        <w:t>87</w:t>
      </w:r>
    </w:p>
    <w:p>
      <w:pPr>
        <w:pStyle w:val="ndice1"/>
        <w:tabs>
          <w:tab w:val="right" w:leader="dot" w:pos="8204"/>
        </w:tabs>
      </w:pPr>
      <w:r>
        <w:t>Capítulo 8 — Avaliação e Discussão</w:t>
        <w:tab/>
      </w:r>
      <w:r>
        <w:t>90</w:t>
      </w:r>
    </w:p>
    <w:p>
      <w:pPr>
        <w:pStyle w:val="ndice2"/>
        <w:tabs>
          <w:tab w:val="right" w:leader="dot" w:pos="8204"/>
        </w:tabs>
      </w:pPr>
      <w:r>
        <w:t>8.1 Estratégia e critérios de avaliação</w:t>
        <w:tab/>
      </w:r>
      <w:r>
        <w:t>90</w:t>
      </w:r>
    </w:p>
    <w:p>
      <w:pPr>
        <w:pStyle w:val="ndice3"/>
        <w:tabs>
          <w:tab w:val="right" w:leader="dot" w:pos="8204"/>
        </w:tabs>
      </w:pPr>
      <w:r>
        <w:t>8.1.1 Verificação técnica da plataforma</w:t>
        <w:tab/>
      </w:r>
      <w:r>
        <w:t>90</w:t>
      </w:r>
    </w:p>
    <w:p>
      <w:pPr>
        <w:pStyle w:val="ndice3"/>
        <w:tabs>
          <w:tab w:val="right" w:leader="dot" w:pos="8204"/>
        </w:tabs>
      </w:pPr>
      <w:r>
        <w:t>8.1.2 Preparação para impressão e protótipos físicos</w:t>
        <w:tab/>
      </w:r>
      <w:r>
        <w:t>91</w:t>
      </w:r>
    </w:p>
    <w:p>
      <w:pPr>
        <w:pStyle w:val="ndice2"/>
        <w:tabs>
          <w:tab w:val="right" w:leader="dot" w:pos="8204"/>
        </w:tabs>
      </w:pPr>
      <w:r>
        <w:t>8.2 Avaliação da coerência das sugestões de IA</w:t>
        <w:tab/>
      </w:r>
      <w:r>
        <w:t>96</w:t>
      </w:r>
    </w:p>
    <w:p>
      <w:pPr>
        <w:pStyle w:val="ndice2"/>
        <w:tabs>
          <w:tab w:val="right" w:leader="dot" w:pos="8204"/>
        </w:tabs>
      </w:pPr>
      <w:r>
        <w:t>8.3 Verificação geométrica entre modelos</w:t>
        <w:tab/>
      </w:r>
      <w:r>
        <w:t>99</w:t>
      </w:r>
    </w:p>
    <w:p>
      <w:pPr>
        <w:pStyle w:val="ndice2"/>
        <w:tabs>
          <w:tab w:val="right" w:leader="dot" w:pos="8204"/>
        </w:tabs>
      </w:pPr>
      <w:r>
        <w:t>8.4 Discussão dos resultados face aos objectivos</w:t>
        <w:tab/>
      </w:r>
      <w:r>
        <w:t>101</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102</w:t>
      </w:r>
    </w:p>
    <w:p>
      <w:pPr>
        <w:pStyle w:val="ndice2"/>
        <w:tabs>
          <w:tab w:val="right" w:leader="dot" w:pos="8204"/>
        </w:tabs>
      </w:pPr>
      <w:r>
        <w:t>9.3 Limitações</w:t>
        <w:tab/>
      </w:r>
      <w:r>
        <w:t>103</w:t>
      </w:r>
    </w:p>
    <w:p>
      <w:pPr>
        <w:pStyle w:val="ndice2"/>
        <w:tabs>
          <w:tab w:val="right" w:leader="dot" w:pos="8204"/>
        </w:tabs>
      </w:pPr>
      <w:r>
        <w:t>9.4 Trabalho futuro</w:t>
        <w:tab/>
      </w:r>
      <w:r>
        <w:t>103</w:t>
      </w:r>
    </w:p>
    <w:p>
      <w:pPr>
        <w:pStyle w:val="ndice1"/>
        <w:tabs>
          <w:tab w:val="right" w:leader="dot" w:pos="8204"/>
        </w:tabs>
      </w:pPr>
      <w:r>
        <w:t>Referências Bibliográficas</w:t>
        <w:tab/>
      </w:r>
      <w:r>
        <w:t>105</w:t>
      </w:r>
    </w:p>
    <w:p>
      <w:pPr>
        <w:pStyle w:val="ndice1"/>
        <w:tabs>
          <w:tab w:val="right" w:leader="dot" w:pos="8204"/>
        </w:tabs>
      </w:pPr>
      <w:r>
        <w:t>Anexo A — Metodologia de extracção e codificação de dados antropométricos da mão</w:t>
        <w:tab/>
      </w:r>
      <w:r>
        <w:t>117</w:t>
      </w:r>
    </w:p>
    <w:p>
      <w:pPr>
        <w:pStyle w:val="ndice2"/>
        <w:tabs>
          <w:tab w:val="right" w:leader="dot" w:pos="8204"/>
        </w:tabs>
      </w:pPr>
      <w:r>
        <w:t>A.1 Contexto e Objectivo</w:t>
        <w:tab/>
      </w:r>
      <w:r>
        <w:t>117</w:t>
      </w:r>
    </w:p>
    <w:p>
      <w:pPr>
        <w:pStyle w:val="ndice3"/>
        <w:tabs>
          <w:tab w:val="right" w:leader="dot" w:pos="8204"/>
        </w:tabs>
      </w:pPr>
      <w:r>
        <w:t>A.1.1 Localização, versão e integridade dos ficheiros</w:t>
        <w:tab/>
      </w:r>
      <w:r>
        <w:t>117</w:t>
      </w:r>
    </w:p>
    <w:p>
      <w:pPr>
        <w:pStyle w:val="ndice2"/>
        <w:tabs>
          <w:tab w:val="right" w:leader="dot" w:pos="8204"/>
        </w:tabs>
      </w:pPr>
      <w:r>
        <w:t>A.2 Estratégia de Pesquisa Bibliográfica</w:t>
        <w:tab/>
      </w:r>
      <w:r>
        <w:t>117</w:t>
      </w:r>
    </w:p>
    <w:p>
      <w:pPr>
        <w:pStyle w:val="ndice3"/>
        <w:tabs>
          <w:tab w:val="right" w:leader="dot" w:pos="8204"/>
        </w:tabs>
      </w:pPr>
      <w:r>
        <w:t>A.2.1 Pesquisa bibliográfica orientada</w:t>
        <w:tab/>
      </w:r>
      <w:r>
        <w:t>118</w:t>
      </w:r>
    </w:p>
    <w:p>
      <w:pPr>
        <w:pStyle w:val="ndice3"/>
        <w:tabs>
          <w:tab w:val="right" w:leader="dot" w:pos="8204"/>
        </w:tabs>
      </w:pPr>
      <w:r>
        <w:t>A.2.2 Base ANSUR 1988</w:t>
        <w:tab/>
      </w:r>
      <w:r>
        <w:t>118</w:t>
      </w:r>
    </w:p>
    <w:p>
      <w:pPr>
        <w:pStyle w:val="ndice2"/>
        <w:tabs>
          <w:tab w:val="right" w:leader="dot" w:pos="8204"/>
        </w:tabs>
      </w:pPr>
      <w:r>
        <w:t>A.3 Critérios de Inclusão e Exclusão de Estudos</w:t>
        <w:tab/>
      </w:r>
      <w:r>
        <w:t>118</w:t>
      </w:r>
    </w:p>
    <w:p>
      <w:pPr>
        <w:pStyle w:val="ndice3"/>
        <w:tabs>
          <w:tab w:val="right" w:leader="dot" w:pos="8204"/>
        </w:tabs>
      </w:pPr>
      <w:r>
        <w:t>A.3.1 Critérios de inclusão</w:t>
        <w:tab/>
      </w:r>
      <w:r>
        <w:t>118</w:t>
      </w:r>
    </w:p>
    <w:p>
      <w:pPr>
        <w:pStyle w:val="ndice3"/>
        <w:tabs>
          <w:tab w:val="right" w:leader="dot" w:pos="8204"/>
        </w:tabs>
      </w:pPr>
      <w:r>
        <w:t>A.3.2 Critérios de exclusão</w:t>
        <w:tab/>
      </w:r>
      <w:r>
        <w:t>118</w:t>
      </w:r>
    </w:p>
    <w:p>
      <w:pPr>
        <w:pStyle w:val="ndice2"/>
        <w:tabs>
          <w:tab w:val="right" w:leader="dot" w:pos="8204"/>
        </w:tabs>
      </w:pPr>
      <w:r>
        <w:t>A.4 Processo de Extracção de Dados</w:t>
        <w:tab/>
      </w:r>
      <w:r>
        <w:t>119</w:t>
      </w:r>
    </w:p>
    <w:p>
      <w:pPr>
        <w:pStyle w:val="ndice3"/>
        <w:tabs>
          <w:tab w:val="right" w:leader="dot" w:pos="8204"/>
        </w:tabs>
      </w:pPr>
      <w:r>
        <w:t>A.4.1 Leitura dos PDFs e localização das tabelas</w:t>
        <w:tab/>
      </w:r>
      <w:r>
        <w:t>119</w:t>
      </w:r>
    </w:p>
    <w:p>
      <w:pPr>
        <w:pStyle w:val="ndice3"/>
        <w:tabs>
          <w:tab w:val="right" w:leader="dot" w:pos="8204"/>
        </w:tabs>
      </w:pPr>
      <w:r>
        <w:t>A.4.2 Identificação das unidades e conversão</w:t>
        <w:tab/>
      </w:r>
      <w:r>
        <w:t>119</w:t>
      </w:r>
    </w:p>
    <w:p>
      <w:pPr>
        <w:pStyle w:val="ndice3"/>
        <w:tabs>
          <w:tab w:val="right" w:leader="dot" w:pos="8204"/>
        </w:tabs>
      </w:pPr>
      <w:r>
        <w:t>A.4.3 Decomposição em linhas atómicas</w:t>
        <w:tab/>
      </w:r>
      <w:r>
        <w:t>119</w:t>
      </w:r>
    </w:p>
    <w:p>
      <w:pPr>
        <w:pStyle w:val="ndice3"/>
        <w:tabs>
          <w:tab w:val="right" w:leader="dot" w:pos="8204"/>
        </w:tabs>
      </w:pPr>
      <w:r>
        <w:t>A.4.4 Registo fiel do contexto da medição</w:t>
        <w:tab/>
      </w:r>
      <w:r>
        <w:t>119</w:t>
      </w:r>
    </w:p>
    <w:p>
      <w:pPr>
        <w:pStyle w:val="ndice2"/>
        <w:tabs>
          <w:tab w:val="right" w:leader="dot" w:pos="8204"/>
        </w:tabs>
      </w:pPr>
      <w:r>
        <w:t>A.5 Decisões por Estudo</w:t>
        <w:tab/>
      </w:r>
      <w:r>
        <w:t>120</w:t>
      </w:r>
    </w:p>
    <w:p>
      <w:pPr>
        <w:pStyle w:val="ndice3"/>
        <w:tabs>
          <w:tab w:val="right" w:leader="dot" w:pos="8204"/>
        </w:tabs>
      </w:pPr>
      <w:r>
        <w:t>A.5.1 ANSUR 1988 — EUA, militares (Gordon et al., 1989)</w:t>
        <w:tab/>
      </w:r>
      <w:r>
        <w:t>120</w:t>
      </w:r>
    </w:p>
    <w:p>
      <w:pPr>
        <w:pStyle w:val="ndice3"/>
        <w:tabs>
          <w:tab w:val="right" w:leader="dot" w:pos="8204"/>
        </w:tabs>
      </w:pPr>
      <w:r>
        <w:t>A.5.2 Turquia — jovens adultos (Chatzioglou et al., 2024)</w:t>
        <w:tab/>
      </w:r>
      <w:r>
        <w:t>120</w:t>
      </w:r>
    </w:p>
    <w:p>
      <w:pPr>
        <w:pStyle w:val="ndice3"/>
        <w:tabs>
          <w:tab w:val="right" w:leader="dot" w:pos="8204"/>
        </w:tabs>
      </w:pPr>
      <w:r>
        <w:t>A.5.3 México — população geral (Rodríguez-Vega &amp; Rodríguez-Vega, 2024)</w:t>
        <w:tab/>
      </w:r>
      <w:r>
        <w:t>120</w:t>
      </w:r>
    </w:p>
    <w:p>
      <w:pPr>
        <w:pStyle w:val="ndice3"/>
        <w:tabs>
          <w:tab w:val="right" w:leader="dot" w:pos="8204"/>
        </w:tabs>
      </w:pPr>
      <w:r>
        <w:t>A.5.4 Índia — mulheres trabalhadoras (Nag et al., 2003)</w:t>
        <w:tab/>
      </w:r>
      <w:r>
        <w:t>121</w:t>
      </w:r>
    </w:p>
    <w:p>
      <w:pPr>
        <w:pStyle w:val="ndice3"/>
        <w:tabs>
          <w:tab w:val="right" w:leader="dot" w:pos="8204"/>
        </w:tabs>
      </w:pPr>
      <w:r>
        <w:t>A.5.5 Portugal — trabalhadores industriais (Anacleto Filho et al., 2023)</w:t>
        <w:tab/>
      </w:r>
      <w:r>
        <w:t>121</w:t>
      </w:r>
    </w:p>
    <w:p>
      <w:pPr>
        <w:pStyle w:val="ndice3"/>
        <w:tabs>
          <w:tab w:val="right" w:leader="dot" w:pos="8204"/>
        </w:tabs>
      </w:pPr>
      <w:r>
        <w:t>A.5.6 Nigéria — atletas universitários (Ibiwari et al., 2025)</w:t>
        <w:tab/>
      </w:r>
      <w:r>
        <w:t>121</w:t>
      </w:r>
    </w:p>
    <w:p>
      <w:pPr>
        <w:pStyle w:val="ndice3"/>
        <w:tabs>
          <w:tab w:val="right" w:leader="dot" w:pos="8204"/>
        </w:tabs>
      </w:pPr>
      <w:r>
        <w:t>A.5.7 Jordânia — trabalhadores com deficiência (Mistarihi, 2020)</w:t>
        <w:tab/>
      </w:r>
      <w:r>
        <w:t>121</w:t>
      </w:r>
    </w:p>
    <w:p>
      <w:pPr>
        <w:pStyle w:val="ndice3"/>
        <w:tabs>
          <w:tab w:val="right" w:leader="dot" w:pos="8204"/>
        </w:tabs>
      </w:pPr>
      <w:r>
        <w:t>A.5.8 EUA — dedo indicador (Lim et al., 2018)</w:t>
        <w:tab/>
      </w:r>
      <w:r>
        <w:t>122</w:t>
      </w:r>
    </w:p>
    <w:p>
      <w:pPr>
        <w:pStyle w:val="ndice3"/>
        <w:tabs>
          <w:tab w:val="right" w:leader="dot" w:pos="8204"/>
        </w:tabs>
      </w:pPr>
      <w:r>
        <w:t>A.5.9 Estudo excluído: Moreo (2016)</w:t>
        <w:tab/>
      </w:r>
      <w:r>
        <w:t>122</w:t>
      </w:r>
    </w:p>
    <w:p>
      <w:pPr>
        <w:pStyle w:val="ndice3"/>
        <w:tabs>
          <w:tab w:val="right" w:leader="dot" w:pos="8204"/>
        </w:tabs>
      </w:pPr>
      <w:r>
        <w:t>A.5.10 EUA — militares ANSUR II (Gordon et al., 2015)</w:t>
        <w:tab/>
      </w:r>
      <w:r>
        <w:t>122</w:t>
      </w:r>
    </w:p>
    <w:p>
      <w:pPr>
        <w:pStyle w:val="ndice3"/>
        <w:tabs>
          <w:tab w:val="right" w:leader="dot" w:pos="8204"/>
        </w:tabs>
      </w:pPr>
      <w:r>
        <w:t>A.5.11 Países Baixos — DINED (TU Delft, 1993–2004)</w:t>
        <w:tab/>
      </w:r>
      <w:r>
        <w:t>122</w:t>
      </w:r>
    </w:p>
    <w:p>
      <w:pPr>
        <w:pStyle w:val="ndice3"/>
        <w:tabs>
          <w:tab w:val="right" w:leader="dot" w:pos="8204"/>
        </w:tabs>
      </w:pPr>
      <w:r>
        <w:t>A.5.12 China — idosos de Pequim (Hu et al., 2007)</w:t>
        <w:tab/>
      </w:r>
      <w:r>
        <w:t>123</w:t>
      </w:r>
    </w:p>
    <w:p>
      <w:pPr>
        <w:pStyle w:val="ndice3"/>
        <w:tabs>
          <w:tab w:val="right" w:leader="dot" w:pos="8204"/>
        </w:tabs>
      </w:pPr>
      <w:r>
        <w:t>A.5.13 Estudo excluído: reconstrução corporal 3D a partir de fotografias ortogonais</w:t>
        <w:tab/>
      </w:r>
      <w:r>
        <w:t>123</w:t>
      </w:r>
    </w:p>
    <w:p>
      <w:pPr>
        <w:pStyle w:val="ndice2"/>
        <w:tabs>
          <w:tab w:val="right" w:leader="dot" w:pos="8204"/>
        </w:tabs>
      </w:pPr>
      <w:r>
        <w:t>A.6 Estrutura do CSV e esquema de dados</w:t>
        <w:tab/>
      </w:r>
      <w:r>
        <w:t>123</w:t>
      </w:r>
    </w:p>
    <w:p>
      <w:pPr>
        <w:pStyle w:val="ndice3"/>
        <w:tabs>
          <w:tab w:val="right" w:leader="dot" w:pos="8204"/>
        </w:tabs>
      </w:pPr>
      <w:r>
        <w:t>A.6.1 Campos</w:t>
        <w:tab/>
      </w:r>
      <w:r>
        <w:t>124</w:t>
      </w:r>
    </w:p>
    <w:p>
      <w:pPr>
        <w:pStyle w:val="ndice3"/>
        <w:tabs>
          <w:tab w:val="right" w:leader="dot" w:pos="8204"/>
        </w:tabs>
      </w:pPr>
      <w:r>
        <w:t>A.6.2 Formato longo (long format)</w:t>
        <w:tab/>
      </w:r>
      <w:r>
        <w:t>125</w:t>
      </w:r>
    </w:p>
    <w:p>
      <w:pPr>
        <w:pStyle w:val="ndice2"/>
        <w:tabs>
          <w:tab w:val="right" w:leader="dot" w:pos="8204"/>
        </w:tabs>
      </w:pPr>
      <w:r>
        <w:t>A.7 Controlo de Qualidade dos Dados</w:t>
        <w:tab/>
      </w:r>
      <w:r>
        <w:t>125</w:t>
      </w:r>
    </w:p>
    <w:p>
      <w:pPr>
        <w:pStyle w:val="ndice3"/>
        <w:tabs>
          <w:tab w:val="right" w:leader="dot" w:pos="8204"/>
        </w:tabs>
      </w:pPr>
      <w:r>
        <w:t>A.7.1 Marcação inline de limitações</w:t>
        <w:tab/>
      </w:r>
      <w:r>
        <w:t>125</w:t>
      </w:r>
    </w:p>
    <w:p>
      <w:pPr>
        <w:pStyle w:val="ndice3"/>
        <w:tabs>
          <w:tab w:val="right" w:leader="dot" w:pos="8204"/>
        </w:tabs>
      </w:pPr>
      <w:r>
        <w:t>A.7.2 Verificação de unidades</w:t>
        <w:tab/>
      </w:r>
      <w:r>
        <w:t>125</w:t>
      </w:r>
    </w:p>
    <w:p>
      <w:pPr>
        <w:pStyle w:val="ndice3"/>
        <w:tabs>
          <w:tab w:val="right" w:leader="dot" w:pos="8204"/>
        </w:tabs>
      </w:pPr>
      <w:r>
        <w:t>A.7.3 Ligação à fonte</w:t>
        <w:tab/>
      </w:r>
      <w:r>
        <w:t>125</w:t>
      </w:r>
    </w:p>
    <w:p>
      <w:pPr>
        <w:pStyle w:val="ndice2"/>
        <w:tabs>
          <w:tab w:val="right" w:leader="dot" w:pos="8204"/>
        </w:tabs>
      </w:pPr>
      <w:r>
        <w:t>A.8 Escrita do Código de Geração</w:t>
        <w:tab/>
      </w:r>
      <w:r>
        <w:t>125</w:t>
      </w:r>
    </w:p>
    <w:p>
      <w:pPr>
        <w:pStyle w:val="ndice3"/>
        <w:tabs>
          <w:tab w:val="right" w:leader="dot" w:pos="8204"/>
        </w:tabs>
      </w:pPr>
      <w:r>
        <w:t>A.8.1 Correspondência entre os CSV e os parâmetros da plataforma</w:t>
        <w:tab/>
      </w:r>
      <w:r>
        <w:t>126</w:t>
      </w:r>
    </w:p>
    <w:p>
      <w:pPr>
        <w:pStyle w:val="ndice2"/>
        <w:tabs>
          <w:tab w:val="right" w:leader="dot" w:pos="8204"/>
        </w:tabs>
      </w:pPr>
      <w:r>
        <w:t>A.9 Resultado Final</w:t>
        <w:tab/>
      </w:r>
      <w:r>
        <w:t>126</w:t>
      </w:r>
    </w:p>
    <w:p>
      <w:pPr>
        <w:pStyle w:val="ndice2"/>
        <w:tabs>
          <w:tab w:val="right" w:leader="dot" w:pos="8204"/>
        </w:tabs>
      </w:pPr>
      <w:r>
        <w:t>A.10 Cobertura Global da Base de Dados e Lacunas</w:t>
        <w:tab/>
      </w:r>
      <w:r>
        <w:t>127</w:t>
      </w:r>
    </w:p>
    <w:p>
      <w:pPr>
        <w:pStyle w:val="ndice3"/>
        <w:tabs>
          <w:tab w:val="right" w:leader="dot" w:pos="8204"/>
        </w:tabs>
      </w:pPr>
      <w:r>
        <w:t>A.10.1 O que está coberto</w:t>
        <w:tab/>
      </w:r>
      <w:r>
        <w:t>127</w:t>
      </w:r>
    </w:p>
    <w:p>
      <w:pPr>
        <w:pStyle w:val="ndice4"/>
        <w:tabs>
          <w:tab w:val="right" w:leader="dot" w:pos="8204"/>
        </w:tabs>
      </w:pPr>
      <w:r>
        <w:t>A.10.1.1 Cobertura geográfica</w:t>
        <w:tab/>
      </w:r>
      <w:r>
        <w:t>127</w:t>
      </w:r>
    </w:p>
    <w:p>
      <w:pPr>
        <w:pStyle w:val="ndice4"/>
        <w:tabs>
          <w:tab w:val="right" w:leader="dot" w:pos="8204"/>
        </w:tabs>
      </w:pPr>
      <w:r>
        <w:t>A.10.1.2 Cobertura etária</w:t>
        <w:tab/>
      </w:r>
      <w:r>
        <w:t>128</w:t>
      </w:r>
    </w:p>
    <w:p>
      <w:pPr>
        <w:pStyle w:val="ndice4"/>
        <w:tabs>
          <w:tab w:val="right" w:leader="dot" w:pos="8204"/>
        </w:tabs>
      </w:pPr>
      <w:r>
        <w:t>A.10.1.3 Cobertura estatística</w:t>
        <w:tab/>
      </w:r>
      <w:r>
        <w:t>128</w:t>
      </w:r>
    </w:p>
    <w:p>
      <w:pPr>
        <w:pStyle w:val="ndice3"/>
        <w:tabs>
          <w:tab w:val="right" w:leader="dot" w:pos="8204"/>
        </w:tabs>
      </w:pPr>
      <w:r>
        <w:t>A.10.2 Onde a cobertura falha</w:t>
        <w:tab/>
      </w:r>
      <w:r>
        <w:t>129</w:t>
      </w:r>
    </w:p>
    <w:p>
      <w:pPr>
        <w:pStyle w:val="ndice4"/>
        <w:tabs>
          <w:tab w:val="right" w:leader="dot" w:pos="8204"/>
        </w:tabs>
      </w:pPr>
      <w:r>
        <w:t>A.10.2.1 Lacunas geográficas</w:t>
        <w:tab/>
      </w:r>
      <w:r>
        <w:t>129</w:t>
      </w:r>
    </w:p>
    <w:p>
      <w:pPr>
        <w:pStyle w:val="ndice4"/>
        <w:tabs>
          <w:tab w:val="right" w:leader="dot" w:pos="8204"/>
        </w:tabs>
      </w:pPr>
      <w:r>
        <w:t>A.10.2.2 Lacunas demográficas</w:t>
        <w:tab/>
      </w:r>
      <w:r>
        <w:t>129</w:t>
      </w:r>
    </w:p>
    <w:p>
      <w:pPr>
        <w:pStyle w:val="ndice4"/>
        <w:tabs>
          <w:tab w:val="right" w:leader="dot" w:pos="8204"/>
        </w:tabs>
      </w:pPr>
      <w:r>
        <w:t>A.10.2.3 Limitações qualitativas dos dados existentes</w:t>
        <w:tab/>
      </w:r>
      <w:r>
        <w:t>129</w:t>
      </w:r>
    </w:p>
    <w:p>
      <w:pPr>
        <w:pStyle w:val="ndice3"/>
        <w:tabs>
          <w:tab w:val="right" w:leader="dot" w:pos="8204"/>
        </w:tabs>
      </w:pPr>
      <w:r>
        <w:t>A.10.3 Frentes identificadas para expansão futura</w:t>
        <w:tab/>
      </w:r>
      <w:r>
        <w:t>130</w:t>
      </w:r>
    </w:p>
    <w:p>
      <w:pPr>
        <w:pStyle w:val="ndice4"/>
        <w:tabs>
          <w:tab w:val="right" w:leader="dot" w:pos="8204"/>
        </w:tabs>
      </w:pPr>
      <w:r>
        <w:t>A.10.3.1 Prioridade alta</w:t>
        <w:tab/>
      </w:r>
      <w:r>
        <w:t>130</w:t>
      </w:r>
    </w:p>
    <w:p>
      <w:pPr>
        <w:pStyle w:val="ndice4"/>
        <w:tabs>
          <w:tab w:val="right" w:leader="dot" w:pos="8204"/>
        </w:tabs>
      </w:pPr>
      <w:r>
        <w:t>A.10.3.2 Prioridade média</w:t>
        <w:tab/>
      </w:r>
      <w:r>
        <w:t>130</w:t>
      </w:r>
    </w:p>
    <w:p>
      <w:pPr>
        <w:pStyle w:val="ndice4"/>
        <w:tabs>
          <w:tab w:val="right" w:leader="dot" w:pos="8204"/>
        </w:tabs>
      </w:pPr>
      <w:r>
        <w:t>A.10.3.3 Pertinência directa para o tema da tese</w:t>
        <w:tab/>
      </w:r>
      <w:r>
        <w:t>130</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rPr>
                <w:sz w:val="15"/>
                <w:szCs w:val="15"/>
              </w:rPr>
              <w:t>Flexy-Beast de daprice; CC BY-SA 4.0</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Concretamente, o serviço recebe uma descrição textual, o esquema do modelo activo, os valores correntes, os limites declarados e, quando disponível, uma referência populacional. A sua saída é um conjunto de pares parâmetro–valor que funciona como ponto de partida. A aplicação filtra os campos recebidos; a interface apresenta os valores; e o OpenSCAD gera a geometria segundo regras independentes do modelo de linguagem.</w:t>
      </w:r>
    </w:p>
    <w:p>
      <w:pPr>
        <w:pStyle w:val="TextoNormal-IPCA"/>
      </w:pPr>
      <w:r>
        <w:t>A fronteira entre estas operações corresponde à arquitectura descrita na Secção 5.2: a chamada externa produz uma sugestão probabilística, enquanto a aplicação dos valores, a lateralidade e a construção geométrica permanecem em componentes identificáveis. O princípio de supervisão fundamentado na Secção 2.6 é, assim, materializado por limites, filtragem, revisão da configuração e decisão humana antes da exportação. As regras concretas e o protocolo de ensaio são apresentados nas Secções 6.2 e 6.3.</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respeitam limites isolados, mas falham na geometria completa. A versão avaliada reduz estes riscos através do esquema activo, limitação de intervalos, rejeição de chaves desconhecidas, controlo determinístico da lateralidade e inspecção posterior da malha. Estas salvaguardas tornam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proveniência,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aplica os intervalos existentes e exclui decisões como a lateralidade do pedido enviado à IA. Esta contenção corresponde a uma salvaguarda implementada; o seu efeito na compreensão ou na confiança permanece por medir.</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Assim, esta secção descreve uma especificação projectual e as funções efectivamente disponíveis. Clareza, carga cognitiva, aprendizagem e adequação aos diferentes perfis permanecem hipóteses para avaliação futura.</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tornam parte das dependências auditável,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proveniência, a incerteza e o estatuto de cada valor devem permanecer visíveis; a versão avaliada implementa apenas parte dessa comunicação.</w:t>
      </w:r>
    </w:p>
    <w:p>
      <w:pPr>
        <w:pStyle w:val="TextoNormal-IPCA"/>
      </w:pPr>
      <w:r>
        <w:t>A evidência disponível permite descrever a organização das decisões e identificar as salvaguardas incorporadas.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a linha estatística do CSV, o perfil populacional agregado, os parâmetros compatíveis com o modelo activo e a geometria gerada após confirmação humana. A rastreabilidade pode, assim, ser reconstruída desde a fonte e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