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43</w:t>
      </w:r>
    </w:p>
    <w:p>
      <w:pPr>
        <w:pStyle w:val="ndice1"/>
        <w:tabs>
          <w:tab w:val="right" w:leader="dot" w:pos="8204"/>
        </w:tabs>
      </w:pPr>
      <w:r>
        <w:t>Tabela 4.3 — Métodos de recolha de dados antropométricos e suas características</w:t>
        <w:tab/>
      </w:r>
      <w:r>
        <w:t>45</w:t>
      </w:r>
    </w:p>
    <w:p>
      <w:pPr>
        <w:pStyle w:val="ndice1"/>
        <w:tabs>
          <w:tab w:val="right" w:leader="dot" w:pos="8204"/>
        </w:tabs>
      </w:pPr>
      <w:r>
        <w:t>Tabela 4.4 — Fontes integradas na base local de dados antropométricos</w:t>
        <w:tab/>
      </w:r>
      <w:r>
        <w:t>46</w:t>
      </w:r>
    </w:p>
    <w:p>
      <w:pPr>
        <w:pStyle w:val="ndice1"/>
        <w:tabs>
          <w:tab w:val="right" w:leader="dot" w:pos="8204"/>
        </w:tabs>
      </w:pPr>
      <w:r>
        <w:t>Tabela 4.5 — Estrutura hierárquica dos parâmetros no modelo paramétrico</w:t>
        <w:tab/>
      </w:r>
      <w:r>
        <w:t>50</w:t>
      </w:r>
    </w:p>
    <w:p>
      <w:pPr>
        <w:pStyle w:val="ndice1"/>
        <w:tabs>
          <w:tab w:val="right" w:leader="dot" w:pos="8204"/>
        </w:tabs>
      </w:pPr>
      <w:r>
        <w:t>Tabela 4.6 — Mapeamento entre parâmetros antropométricos e elementos do modelo</w:t>
        <w:tab/>
      </w:r>
      <w:r>
        <w:t>52</w:t>
      </w:r>
    </w:p>
    <w:p>
      <w:pPr>
        <w:pStyle w:val="ndice1"/>
        <w:tabs>
          <w:tab w:val="right" w:leader="dot" w:pos="8204"/>
        </w:tabs>
      </w:pPr>
      <w:r>
        <w:t>Tabela 4.7 — Estrutura técnica em camadas de um modelo paramétrico em OpenSCAD para próteses personalizadas</w:t>
        <w:tab/>
      </w:r>
      <w:r>
        <w:t>54</w:t>
      </w:r>
    </w:p>
    <w:p>
      <w:pPr>
        <w:pStyle w:val="ndice1"/>
        <w:tabs>
          <w:tab w:val="right" w:leader="dot" w:pos="8204"/>
        </w:tabs>
      </w:pPr>
      <w:r>
        <w:t>Tabela 4.8 — Relações paramétricas dos modelos avaliados</w:t>
        <w:tab/>
      </w:r>
      <w:r>
        <w:t>56</w:t>
      </w:r>
    </w:p>
    <w:p>
      <w:pPr>
        <w:pStyle w:val="ndice1"/>
        <w:tabs>
          <w:tab w:val="right" w:leader="dot" w:pos="8204"/>
        </w:tabs>
      </w:pPr>
      <w:r>
        <w:t>Tabela 4.9 — Dicionário operacional dos parâmetros numéricos dos modelos avaliados</w:t>
        <w:tab/>
      </w:r>
      <w:r>
        <w:t>58</w:t>
      </w:r>
    </w:p>
    <w:p>
      <w:pPr>
        <w:pStyle w:val="ndice1"/>
        <w:tabs>
          <w:tab w:val="right" w:leader="dot" w:pos="8204"/>
        </w:tabs>
      </w:pPr>
      <w:r>
        <w:t>Tabela 4.10 — Percurso numérico do vector antropométrico até às malhas do Flexy Beast</w:t>
        <w:tab/>
      </w:r>
      <w:r>
        <w:t>59</w:t>
      </w:r>
    </w:p>
    <w:p>
      <w:pPr>
        <w:pStyle w:val="ndice1"/>
        <w:tabs>
          <w:tab w:val="right" w:leader="dot" w:pos="8204"/>
        </w:tabs>
      </w:pPr>
      <w:r>
        <w:t>Tabela 5.1 — Fluxo de dados e responsabilidades da plataforma</w:t>
        <w:tab/>
      </w:r>
      <w:r>
        <w:t>65</w:t>
      </w:r>
    </w:p>
    <w:p>
      <w:pPr>
        <w:pStyle w:val="ndice1"/>
        <w:tabs>
          <w:tab w:val="right" w:leader="dot" w:pos="8204"/>
        </w:tabs>
      </w:pPr>
      <w:r>
        <w:t>Tabela 5.2 — Inventário consolidado dos modelos no fecho do estudo</w:t>
        <w:tab/>
      </w:r>
      <w:r>
        <w:t>74</w:t>
      </w:r>
    </w:p>
    <w:p>
      <w:pPr>
        <w:pStyle w:val="ndice1"/>
        <w:tabs>
          <w:tab w:val="right" w:leader="dot" w:pos="8204"/>
        </w:tabs>
      </w:pPr>
      <w:r>
        <w:t>Tabela 6.1 — Especificação técnica dos modelos de IA e do contrato de sugestão paramétrica</w:t>
        <w:tab/>
      </w:r>
      <w:r>
        <w:t>79</w:t>
      </w:r>
    </w:p>
    <w:p>
      <w:pPr>
        <w:pStyle w:val="ndice1"/>
        <w:tabs>
          <w:tab w:val="right" w:leader="dot" w:pos="8204"/>
        </w:tabs>
      </w:pPr>
      <w:r>
        <w:t>Tabela 6.2 — Distribuição de tarefas entre regras, IA e supervisão humana</w:t>
        <w:tab/>
      </w:r>
      <w:r>
        <w:t>82</w:t>
      </w:r>
    </w:p>
    <w:p>
      <w:pPr>
        <w:pStyle w:val="ndice1"/>
        <w:tabs>
          <w:tab w:val="right" w:leader="dot" w:pos="8204"/>
        </w:tabs>
      </w:pPr>
      <w:r>
        <w:t>Tabela 8.1 — Evidência técnica do funcionamento da plataforma</w:t>
        <w:tab/>
      </w:r>
      <w:r>
        <w:t>88</w:t>
      </w:r>
    </w:p>
    <w:p>
      <w:pPr>
        <w:pStyle w:val="ndice1"/>
        <w:tabs>
          <w:tab w:val="right" w:leader="dot" w:pos="8204"/>
        </w:tabs>
      </w:pPr>
      <w:r>
        <w:t>Tabela 8.2 — Projectos de preparação para impressão arquivados</w:t>
        <w:tab/>
      </w:r>
      <w:r>
        <w:t>90</w:t>
      </w:r>
    </w:p>
    <w:p>
      <w:pPr>
        <w:pStyle w:val="ndice1"/>
        <w:tabs>
          <w:tab w:val="right" w:leader="dot" w:pos="8204"/>
        </w:tabs>
      </w:pPr>
      <w:r>
        <w:t>Tabela 8.3 — Inspecção computacional de malhas na configuração infantil</w:t>
        <w:tab/>
      </w:r>
      <w:r>
        <w:t>92</w:t>
      </w:r>
    </w:p>
    <w:p>
      <w:pPr>
        <w:pStyle w:val="ndice1"/>
        <w:tabs>
          <w:tab w:val="right" w:leader="dot" w:pos="8204"/>
        </w:tabs>
      </w:pPr>
      <w:r>
        <w:t>Tabela 8.4 — Entradas utilizadas nos cenários de avaliação da IA</w:t>
        <w:tab/>
      </w:r>
      <w:r>
        <w:t>95</w:t>
      </w:r>
    </w:p>
    <w:p>
      <w:pPr>
        <w:pStyle w:val="ndice1"/>
        <w:tabs>
          <w:tab w:val="right" w:leader="dot" w:pos="8204"/>
        </w:tabs>
      </w:pPr>
      <w:r>
        <w:t>Tabela 8.5 — Síntese da avaliação das sugestões de IA</w:t>
        <w:tab/>
      </w:r>
      <w:r>
        <w:t>97</w:t>
      </w:r>
    </w:p>
    <w:p>
      <w:pPr>
        <w:pStyle w:val="ndice1"/>
        <w:tabs>
          <w:tab w:val="right" w:leader="dot" w:pos="8204"/>
        </w:tabs>
      </w:pPr>
      <w:r>
        <w:t>Tabela 8.6 — Modelos e mecanismos de escala avaliados</w:t>
        <w:tab/>
      </w:r>
      <w:r>
        <w:t>98</w:t>
      </w:r>
    </w:p>
    <w:p>
      <w:pPr>
        <w:pStyle w:val="ndice1"/>
        <w:tabs>
          <w:tab w:val="right" w:leader="dot" w:pos="8204"/>
        </w:tabs>
      </w:pPr>
      <w:r>
        <w:t>Tabela 8.7 — Rácio adimensional da maior dimensão da palma exportada face ao valor de referência</w:t>
        <w:tab/>
      </w:r>
      <w:r>
        <w:t>99</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42</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63</w:t>
      </w:r>
    </w:p>
    <w:p>
      <w:pPr>
        <w:pStyle w:val="ndice1"/>
        <w:tabs>
          <w:tab w:val="right" w:leader="dot" w:pos="8204"/>
        </w:tabs>
      </w:pPr>
      <w:r>
        <w:t>Figura 5.2 — Arquitectura da plataforma e fronteiras entre navegador, servidor, serviço externo de IA e preparação do fabrico.</w:t>
        <w:tab/>
      </w:r>
      <w:r>
        <w:t>66</w:t>
      </w:r>
    </w:p>
    <w:p>
      <w:pPr>
        <w:pStyle w:val="ndice1"/>
        <w:tabs>
          <w:tab w:val="right" w:leader="dot" w:pos="8204"/>
        </w:tabs>
      </w:pPr>
      <w:r>
        <w:t>Figura 5.3 — Sequência de dados e decisões desde o perfil ou descrição até à sugestão, confirmação, geração determinística e exportação.</w:t>
        <w:tab/>
      </w:r>
      <w:r>
        <w:t>67</w:t>
      </w:r>
    </w:p>
    <w:p>
      <w:pPr>
        <w:pStyle w:val="ndice1"/>
        <w:tabs>
          <w:tab w:val="right" w:leader="dot" w:pos="8204"/>
        </w:tabs>
      </w:pPr>
      <w:r>
        <w:t>Figura 5.4 — Fluxo geral de produção personalizada de próteses a partir de digitalização, CAD adaptativo e fabrico aditivo.</w:t>
        <w:tab/>
      </w:r>
      <w:r>
        <w:t>68</w:t>
      </w:r>
    </w:p>
    <w:p>
      <w:pPr>
        <w:pStyle w:val="ndice1"/>
        <w:tabs>
          <w:tab w:val="right" w:leader="dot" w:pos="8204"/>
        </w:tabs>
      </w:pPr>
      <w:r>
        <w:t>Figura 5.5 — Ferramenta paramétrica para configuração de ajudas técnicas com variação de dimensões, materiais e peso.</w:t>
        <w:tab/>
      </w:r>
      <w:r>
        <w:t>72</w:t>
      </w:r>
    </w:p>
    <w:p>
      <w:pPr>
        <w:pStyle w:val="ndice1"/>
        <w:tabs>
          <w:tab w:val="right" w:leader="dot" w:pos="8204"/>
        </w:tabs>
      </w:pPr>
      <w:r>
        <w:t>Figura 6.1 — Relação entre desafios de explicabilidade e princípios de IA responsável.</w:t>
        <w:tab/>
      </w:r>
      <w:r>
        <w:t>83</w:t>
      </w:r>
    </w:p>
    <w:p>
      <w:pPr>
        <w:pStyle w:val="ndice1"/>
        <w:tabs>
          <w:tab w:val="right" w:leader="dot" w:pos="8204"/>
        </w:tabs>
      </w:pPr>
      <w:r>
        <w:t>Figura 7.1 — Exemplo publicado de teste de uma prótese impressa em 3D com um utilizador; esta actividade não integrou a avaliação da presente dissertação.</w:t>
        <w:tab/>
      </w:r>
      <w:r>
        <w:t>86</w:t>
      </w:r>
    </w:p>
    <w:p>
      <w:pPr>
        <w:pStyle w:val="ndice1"/>
        <w:tabs>
          <w:tab w:val="right" w:leader="dot" w:pos="8204"/>
        </w:tabs>
      </w:pPr>
      <w:r>
        <w:t>Figura 8.1 — Segmentos do Flexy Beast produzidos e assentes na plataforma da Bambu Lab A1.</w:t>
        <w:tab/>
      </w:r>
      <w:r>
        <w:t>94</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94</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94</w:t>
      </w:r>
    </w:p>
    <w:p>
      <w:pPr>
        <w:pStyle w:val="ndice1"/>
        <w:tabs>
          <w:tab w:val="right" w:leader="dot" w:pos="8204"/>
        </w:tabs>
      </w:pPr>
      <w:r>
        <w:t>Figura 8.4 — Tarefas funcionais usadas em avaliação de prótese personalizada de membro superior.</w:t>
        <w:tab/>
      </w:r>
      <w:r>
        <w:t>95</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43</w:t>
      </w:r>
    </w:p>
    <w:p>
      <w:pPr>
        <w:pStyle w:val="ndice2"/>
        <w:tabs>
          <w:tab w:val="right" w:leader="dot" w:pos="8204"/>
        </w:tabs>
      </w:pPr>
      <w:r>
        <w:t>Limitações do redimensionamento proporcional</w:t>
        <w:tab/>
      </w:r>
      <w:r>
        <w:t>44</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45</w:t>
      </w:r>
    </w:p>
    <w:p>
      <w:pPr>
        <w:pStyle w:val="ndice2"/>
        <w:tabs>
          <w:tab w:val="right" w:leader="dot" w:pos="8204"/>
        </w:tabs>
      </w:pPr>
      <w:r>
        <w:t>Correspondência entre perfil populacional e parâmetros do modelo</w:t>
        <w:tab/>
      </w:r>
      <w:r>
        <w:t>49</w:t>
      </w:r>
    </w:p>
    <w:p>
      <w:pPr>
        <w:pStyle w:val="ndice2"/>
        <w:tabs>
          <w:tab w:val="right" w:leader="dot" w:pos="8204"/>
        </w:tabs>
      </w:pPr>
      <w:r>
        <w:t>Estrutura paramétrica e mapeamento de parâmetros</w:t>
        <w:tab/>
      </w:r>
      <w:r>
        <w:t>50</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56</w:t>
      </w:r>
    </w:p>
    <w:p>
      <w:pPr>
        <w:pStyle w:val="ndice3"/>
        <w:tabs>
          <w:tab w:val="right" w:leader="dot" w:pos="8204"/>
        </w:tabs>
      </w:pPr>
      <w:r>
        <w:t>4.3.4 Dicionário operacional de parâmetros</w:t>
        <w:tab/>
      </w:r>
      <w:r>
        <w:t>58</w:t>
      </w:r>
    </w:p>
    <w:p>
      <w:pPr>
        <w:pStyle w:val="ndice3"/>
        <w:tabs>
          <w:tab w:val="right" w:leader="dot" w:pos="8204"/>
        </w:tabs>
      </w:pPr>
      <w:r>
        <w:t>4.3.5 Exemplo numérico completo: perfil infantil no Flexy Beast</w:t>
        <w:tab/>
      </w:r>
      <w:r>
        <w:t>59</w:t>
      </w:r>
    </w:p>
    <w:p>
      <w:pPr>
        <w:pStyle w:val="ndice2"/>
        <w:tabs>
          <w:tab w:val="right" w:leader="dot" w:pos="8204"/>
        </w:tabs>
      </w:pPr>
      <w:r>
        <w:t>4.4 Iterações, refinamento e discussão intermédia</w:t>
        <w:tab/>
      </w:r>
      <w:r>
        <w:t>60</w:t>
      </w:r>
    </w:p>
    <w:p>
      <w:pPr>
        <w:pStyle w:val="ndice1"/>
        <w:tabs>
          <w:tab w:val="right" w:leader="dot" w:pos="8204"/>
        </w:tabs>
      </w:pPr>
      <w:r>
        <w:t>Capítulo 5 — Plataforma Web e Integração Digital</w:t>
        <w:tab/>
      </w:r>
      <w:r>
        <w:t>63</w:t>
      </w:r>
    </w:p>
    <w:p>
      <w:pPr>
        <w:pStyle w:val="ndice2"/>
        <w:tabs>
          <w:tab w:val="right" w:leader="dot" w:pos="8204"/>
        </w:tabs>
      </w:pPr>
      <w:r>
        <w:t>5.1 Enquadramento conceptual e perfis de utilizador</w:t>
        <w:tab/>
      </w:r>
      <w:r>
        <w:t>63</w:t>
      </w:r>
    </w:p>
    <w:p>
      <w:pPr>
        <w:pStyle w:val="ndice2"/>
        <w:tabs>
          <w:tab w:val="right" w:leader="dot" w:pos="8204"/>
        </w:tabs>
      </w:pPr>
      <w:r>
        <w:t>5.2 Arquitectura geral do sistema</w:t>
        <w:tab/>
      </w:r>
      <w:r>
        <w:t>64</w:t>
      </w:r>
    </w:p>
    <w:p>
      <w:pPr>
        <w:pStyle w:val="ndice2"/>
        <w:tabs>
          <w:tab w:val="right" w:leader="dot" w:pos="8204"/>
        </w:tabs>
      </w:pPr>
      <w:r>
        <w:t>5.3 Integração OpenSCAD via WebAssembly (WASM)</w:t>
        <w:tab/>
      </w:r>
      <w:r>
        <w:t>69</w:t>
      </w:r>
    </w:p>
    <w:p>
      <w:pPr>
        <w:pStyle w:val="ndice2"/>
        <w:tabs>
          <w:tab w:val="right" w:leader="dot" w:pos="8204"/>
        </w:tabs>
      </w:pPr>
      <w:r>
        <w:t>5.4 Estrutura funcional da plataforma</w:t>
        <w:tab/>
      </w:r>
      <w:r>
        <w:t>71</w:t>
      </w:r>
    </w:p>
    <w:p>
      <w:pPr>
        <w:pStyle w:val="ndice2"/>
        <w:tabs>
          <w:tab w:val="right" w:leader="dot" w:pos="8204"/>
        </w:tabs>
      </w:pPr>
      <w:r>
        <w:t>5.5 Gestão de parâmetros, versões e expansão</w:t>
        <w:tab/>
      </w:r>
      <w:r>
        <w:t>76</w:t>
      </w:r>
    </w:p>
    <w:p>
      <w:pPr>
        <w:pStyle w:val="ndice1"/>
        <w:tabs>
          <w:tab w:val="right" w:leader="dot" w:pos="8204"/>
        </w:tabs>
      </w:pPr>
      <w:r>
        <w:t>Capítulo 6 — Integração da Inteligência Artificial</w:t>
        <w:tab/>
      </w:r>
      <w:r>
        <w:t>78</w:t>
      </w:r>
    </w:p>
    <w:p>
      <w:pPr>
        <w:pStyle w:val="ndice2"/>
        <w:tabs>
          <w:tab w:val="right" w:leader="dot" w:pos="8204"/>
        </w:tabs>
      </w:pPr>
      <w:r>
        <w:t>6.1 Papel da IA no sistema proposto</w:t>
        <w:tab/>
      </w:r>
      <w:r>
        <w:t>78</w:t>
      </w:r>
    </w:p>
    <w:p>
      <w:pPr>
        <w:pStyle w:val="ndice2"/>
        <w:tabs>
          <w:tab w:val="right" w:leader="dot" w:pos="8204"/>
        </w:tabs>
      </w:pPr>
      <w:r>
        <w:t>6.2 IA na parametrização, personalização e apoio à decisão</w:t>
        <w:tab/>
      </w:r>
      <w:r>
        <w:t>78</w:t>
      </w:r>
    </w:p>
    <w:p>
      <w:pPr>
        <w:pStyle w:val="ndice2"/>
        <w:tabs>
          <w:tab w:val="right" w:leader="dot" w:pos="8204"/>
        </w:tabs>
      </w:pPr>
      <w:r>
        <w:t>6.3 Avaliação das sugestões paramétricas apoiadas por IA</w:t>
        <w:tab/>
      </w:r>
      <w:r>
        <w:t>81</w:t>
      </w:r>
    </w:p>
    <w:p>
      <w:pPr>
        <w:pStyle w:val="ndice2"/>
        <w:tabs>
          <w:tab w:val="right" w:leader="dot" w:pos="8204"/>
        </w:tabs>
      </w:pPr>
      <w:r>
        <w:t>6.4 Ajuste, verificação e limitações éticas e técnicas</w:t>
        <w:tab/>
      </w:r>
      <w:r>
        <w:t>82</w:t>
      </w:r>
    </w:p>
    <w:p>
      <w:pPr>
        <w:pStyle w:val="ndice1"/>
        <w:tabs>
          <w:tab w:val="right" w:leader="dot" w:pos="8204"/>
        </w:tabs>
      </w:pPr>
      <w:r>
        <w:t>Capítulo 7 — Princípios de Interface e Decisões de Interacção</w:t>
        <w:tab/>
      </w:r>
      <w:r>
        <w:t>84</w:t>
      </w:r>
    </w:p>
    <w:p>
      <w:pPr>
        <w:pStyle w:val="ndice2"/>
        <w:tabs>
          <w:tab w:val="right" w:leader="dot" w:pos="8204"/>
        </w:tabs>
      </w:pPr>
      <w:r>
        <w:t>7.1 Estratégia de interacção e decisões de UI/UX</w:t>
        <w:tab/>
      </w:r>
      <w:r>
        <w:t>84</w:t>
      </w:r>
    </w:p>
    <w:p>
      <w:pPr>
        <w:pStyle w:val="ndice2"/>
        <w:tabs>
          <w:tab w:val="right" w:leader="dot" w:pos="8204"/>
        </w:tabs>
      </w:pPr>
      <w:r>
        <w:t>7.2 Papéis previstos e distribuição de decisões</w:t>
        <w:tab/>
      </w:r>
      <w:r>
        <w:t>84</w:t>
      </w:r>
    </w:p>
    <w:p>
      <w:pPr>
        <w:pStyle w:val="ndice2"/>
        <w:tabs>
          <w:tab w:val="right" w:leader="dot" w:pos="8204"/>
        </w:tabs>
      </w:pPr>
      <w:r>
        <w:t>7.3 Mediação do processo de design e reflexão crítica</w:t>
        <w:tab/>
      </w:r>
      <w:r>
        <w:t>86</w:t>
      </w:r>
    </w:p>
    <w:p>
      <w:pPr>
        <w:pStyle w:val="ndice1"/>
        <w:tabs>
          <w:tab w:val="right" w:leader="dot" w:pos="8204"/>
        </w:tabs>
      </w:pPr>
      <w:r>
        <w:t>Capítulo 8 — Avaliação e Discussão</w:t>
        <w:tab/>
      </w:r>
      <w:r>
        <w:t>88</w:t>
      </w:r>
    </w:p>
    <w:p>
      <w:pPr>
        <w:pStyle w:val="ndice2"/>
        <w:tabs>
          <w:tab w:val="right" w:leader="dot" w:pos="8204"/>
        </w:tabs>
      </w:pPr>
      <w:r>
        <w:t>8.1 Estratégia e critérios de avaliação</w:t>
        <w:tab/>
      </w:r>
      <w:r>
        <w:t>88</w:t>
      </w:r>
    </w:p>
    <w:p>
      <w:pPr>
        <w:pStyle w:val="ndice3"/>
        <w:tabs>
          <w:tab w:val="right" w:leader="dot" w:pos="8204"/>
        </w:tabs>
      </w:pPr>
      <w:r>
        <w:t>8.1.1 Verificação técnica da plataforma</w:t>
        <w:tab/>
      </w:r>
      <w:r>
        <w:t>88</w:t>
      </w:r>
    </w:p>
    <w:p>
      <w:pPr>
        <w:pStyle w:val="ndice3"/>
        <w:tabs>
          <w:tab w:val="right" w:leader="dot" w:pos="8204"/>
        </w:tabs>
      </w:pPr>
      <w:r>
        <w:t>8.1.2 Avaliação complementar da previsibilidade, recuperação e acessibilidade</w:t>
        <w:tab/>
      </w:r>
      <w:r>
        <w:t>89</w:t>
      </w:r>
    </w:p>
    <w:p>
      <w:pPr>
        <w:pStyle w:val="ndice3"/>
        <w:tabs>
          <w:tab w:val="right" w:leader="dot" w:pos="8204"/>
        </w:tabs>
      </w:pPr>
      <w:r>
        <w:t>8.1.3 Preparação para impressão e protótipos físicos</w:t>
        <w:tab/>
      </w:r>
      <w:r>
        <w:t>90</w:t>
      </w:r>
    </w:p>
    <w:p>
      <w:pPr>
        <w:pStyle w:val="ndice2"/>
        <w:tabs>
          <w:tab w:val="right" w:leader="dot" w:pos="8204"/>
        </w:tabs>
      </w:pPr>
      <w:r>
        <w:t>8.2 Avaliação da coerência das sugestões de IA</w:t>
        <w:tab/>
      </w:r>
      <w:r>
        <w:t>95</w:t>
      </w:r>
    </w:p>
    <w:p>
      <w:pPr>
        <w:pStyle w:val="ndice2"/>
        <w:tabs>
          <w:tab w:val="right" w:leader="dot" w:pos="8204"/>
        </w:tabs>
      </w:pPr>
      <w:r>
        <w:t>8.3 Verificação geométrica entre modelos</w:t>
        <w:tab/>
      </w:r>
      <w:r>
        <w:t>98</w:t>
      </w:r>
    </w:p>
    <w:p>
      <w:pPr>
        <w:pStyle w:val="ndice2"/>
        <w:tabs>
          <w:tab w:val="right" w:leader="dot" w:pos="8204"/>
        </w:tabs>
      </w:pPr>
      <w:r>
        <w:t>8.4 Discussão dos resultados face aos objectivos</w:t>
        <w:tab/>
      </w:r>
      <w:r>
        <w:t>100</w:t>
      </w:r>
    </w:p>
    <w:p>
      <w:pPr>
        <w:pStyle w:val="ndice1"/>
        <w:tabs>
          <w:tab w:val="right" w:leader="dot" w:pos="8204"/>
        </w:tabs>
      </w:pPr>
      <w:r>
        <w:t>Capítulo 9 — Conclusões e Trabalhos Futuros</w:t>
        <w:tab/>
      </w:r>
      <w:r>
        <w:t>101</w:t>
      </w:r>
    </w:p>
    <w:p>
      <w:pPr>
        <w:pStyle w:val="ndice2"/>
        <w:tabs>
          <w:tab w:val="right" w:leader="dot" w:pos="8204"/>
        </w:tabs>
      </w:pPr>
      <w:r>
        <w:t>9.1 Resposta ao problema e às perguntas de investigação</w:t>
        <w:tab/>
      </w:r>
      <w:r>
        <w:t>101</w:t>
      </w:r>
    </w:p>
    <w:p>
      <w:pPr>
        <w:pStyle w:val="ndice2"/>
        <w:tabs>
          <w:tab w:val="right" w:leader="dot" w:pos="8204"/>
        </w:tabs>
      </w:pPr>
      <w:r>
        <w:t>9.2 Contributos da investigação</w:t>
        <w:tab/>
      </w:r>
      <w:r>
        <w:t>101</w:t>
      </w:r>
    </w:p>
    <w:p>
      <w:pPr>
        <w:pStyle w:val="ndice2"/>
        <w:tabs>
          <w:tab w:val="right" w:leader="dot" w:pos="8204"/>
        </w:tabs>
      </w:pPr>
      <w:r>
        <w:t>9.3 Limitações</w:t>
        <w:tab/>
      </w:r>
      <w:r>
        <w:t>102</w:t>
      </w:r>
    </w:p>
    <w:p>
      <w:pPr>
        <w:pStyle w:val="ndice2"/>
        <w:tabs>
          <w:tab w:val="right" w:leader="dot" w:pos="8204"/>
        </w:tabs>
      </w:pPr>
      <w:r>
        <w:t>9.4 Trabalho futuro</w:t>
        <w:tab/>
      </w:r>
      <w:r>
        <w:t>102</w:t>
      </w:r>
    </w:p>
    <w:p>
      <w:pPr>
        <w:pStyle w:val="ndice1"/>
        <w:tabs>
          <w:tab w:val="right" w:leader="dot" w:pos="8204"/>
        </w:tabs>
      </w:pPr>
      <w:r>
        <w:t>Referências Bibliográficas</w:t>
        <w:tab/>
      </w:r>
      <w:r>
        <w:t>104</w:t>
      </w:r>
    </w:p>
    <w:p>
      <w:pPr>
        <w:pStyle w:val="ndice1"/>
        <w:tabs>
          <w:tab w:val="right" w:leader="dot" w:pos="8204"/>
        </w:tabs>
      </w:pPr>
      <w:r>
        <w:t>Anexo A — Metodologia de extracção e codificação de dados antropométricos da mão</w:t>
        <w:tab/>
      </w:r>
      <w:r>
        <w:t>116</w:t>
      </w:r>
    </w:p>
    <w:p>
      <w:pPr>
        <w:pStyle w:val="ndice2"/>
        <w:tabs>
          <w:tab w:val="right" w:leader="dot" w:pos="8204"/>
        </w:tabs>
      </w:pPr>
      <w:r>
        <w:t>A.1 Contexto e Objectivo</w:t>
        <w:tab/>
      </w:r>
      <w:r>
        <w:t>116</w:t>
      </w:r>
    </w:p>
    <w:p>
      <w:pPr>
        <w:pStyle w:val="ndice3"/>
        <w:tabs>
          <w:tab w:val="right" w:leader="dot" w:pos="8204"/>
        </w:tabs>
      </w:pPr>
      <w:r>
        <w:t>A.1.1 Localização, versão e integridade dos ficheiros</w:t>
        <w:tab/>
      </w:r>
      <w:r>
        <w:t>116</w:t>
      </w:r>
    </w:p>
    <w:p>
      <w:pPr>
        <w:pStyle w:val="ndice2"/>
        <w:tabs>
          <w:tab w:val="right" w:leader="dot" w:pos="8204"/>
        </w:tabs>
      </w:pPr>
      <w:r>
        <w:t>A.2 Estratégia de Pesquisa Bibliográfica</w:t>
        <w:tab/>
      </w:r>
      <w:r>
        <w:t>116</w:t>
      </w:r>
    </w:p>
    <w:p>
      <w:pPr>
        <w:pStyle w:val="ndice3"/>
        <w:tabs>
          <w:tab w:val="right" w:leader="dot" w:pos="8204"/>
        </w:tabs>
      </w:pPr>
      <w:r>
        <w:t>A.2.1 Pesquisa bibliográfica orientada</w:t>
        <w:tab/>
      </w:r>
      <w:r>
        <w:t>117</w:t>
      </w:r>
    </w:p>
    <w:p>
      <w:pPr>
        <w:pStyle w:val="ndice3"/>
        <w:tabs>
          <w:tab w:val="right" w:leader="dot" w:pos="8204"/>
        </w:tabs>
      </w:pPr>
      <w:r>
        <w:t>A.2.2 Base ANSUR 1988</w:t>
        <w:tab/>
      </w:r>
      <w:r>
        <w:t>117</w:t>
      </w:r>
    </w:p>
    <w:p>
      <w:pPr>
        <w:pStyle w:val="ndice2"/>
        <w:tabs>
          <w:tab w:val="right" w:leader="dot" w:pos="8204"/>
        </w:tabs>
      </w:pPr>
      <w:r>
        <w:t>A.3 Critérios de Inclusão e Exclusão de Estudos</w:t>
        <w:tab/>
      </w:r>
      <w:r>
        <w:t>117</w:t>
      </w:r>
    </w:p>
    <w:p>
      <w:pPr>
        <w:pStyle w:val="ndice3"/>
        <w:tabs>
          <w:tab w:val="right" w:leader="dot" w:pos="8204"/>
        </w:tabs>
      </w:pPr>
      <w:r>
        <w:t>A.3.1 Critérios de inclusão</w:t>
        <w:tab/>
      </w:r>
      <w:r>
        <w:t>117</w:t>
      </w:r>
    </w:p>
    <w:p>
      <w:pPr>
        <w:pStyle w:val="ndice3"/>
        <w:tabs>
          <w:tab w:val="right" w:leader="dot" w:pos="8204"/>
        </w:tabs>
      </w:pPr>
      <w:r>
        <w:t>A.3.2 Critérios de exclusão</w:t>
        <w:tab/>
      </w:r>
      <w:r>
        <w:t>117</w:t>
      </w:r>
    </w:p>
    <w:p>
      <w:pPr>
        <w:pStyle w:val="ndice2"/>
        <w:tabs>
          <w:tab w:val="right" w:leader="dot" w:pos="8204"/>
        </w:tabs>
      </w:pPr>
      <w:r>
        <w:t>A.4 Processo de Extracção de Dados</w:t>
        <w:tab/>
      </w:r>
      <w:r>
        <w:t>118</w:t>
      </w:r>
    </w:p>
    <w:p>
      <w:pPr>
        <w:pStyle w:val="ndice3"/>
        <w:tabs>
          <w:tab w:val="right" w:leader="dot" w:pos="8204"/>
        </w:tabs>
      </w:pPr>
      <w:r>
        <w:t>A.4.1 Leitura dos PDFs e localização das tabelas</w:t>
        <w:tab/>
      </w:r>
      <w:r>
        <w:t>118</w:t>
      </w:r>
    </w:p>
    <w:p>
      <w:pPr>
        <w:pStyle w:val="ndice3"/>
        <w:tabs>
          <w:tab w:val="right" w:leader="dot" w:pos="8204"/>
        </w:tabs>
      </w:pPr>
      <w:r>
        <w:t>A.4.2 Identificação das unidades e conversão</w:t>
        <w:tab/>
      </w:r>
      <w:r>
        <w:t>118</w:t>
      </w:r>
    </w:p>
    <w:p>
      <w:pPr>
        <w:pStyle w:val="ndice3"/>
        <w:tabs>
          <w:tab w:val="right" w:leader="dot" w:pos="8204"/>
        </w:tabs>
      </w:pPr>
      <w:r>
        <w:t>A.4.3 Decomposição em linhas atómicas</w:t>
        <w:tab/>
      </w:r>
      <w:r>
        <w:t>118</w:t>
      </w:r>
    </w:p>
    <w:p>
      <w:pPr>
        <w:pStyle w:val="ndice3"/>
        <w:tabs>
          <w:tab w:val="right" w:leader="dot" w:pos="8204"/>
        </w:tabs>
      </w:pPr>
      <w:r>
        <w:t>A.4.4 Registo fiel do contexto da medição</w:t>
        <w:tab/>
      </w:r>
      <w:r>
        <w:t>118</w:t>
      </w:r>
    </w:p>
    <w:p>
      <w:pPr>
        <w:pStyle w:val="ndice2"/>
        <w:tabs>
          <w:tab w:val="right" w:leader="dot" w:pos="8204"/>
        </w:tabs>
      </w:pPr>
      <w:r>
        <w:t>A.5 Decisões por Estudo</w:t>
        <w:tab/>
      </w:r>
      <w:r>
        <w:t>119</w:t>
      </w:r>
    </w:p>
    <w:p>
      <w:pPr>
        <w:pStyle w:val="ndice3"/>
        <w:tabs>
          <w:tab w:val="right" w:leader="dot" w:pos="8204"/>
        </w:tabs>
      </w:pPr>
      <w:r>
        <w:t>A.5.1 ANSUR 1988 — EUA, militares (Gordon et al., 1989)</w:t>
        <w:tab/>
      </w:r>
      <w:r>
        <w:t>119</w:t>
      </w:r>
    </w:p>
    <w:p>
      <w:pPr>
        <w:pStyle w:val="ndice3"/>
        <w:tabs>
          <w:tab w:val="right" w:leader="dot" w:pos="8204"/>
        </w:tabs>
      </w:pPr>
      <w:r>
        <w:t>A.5.2 Turquia — jovens adultos (Chatzioglou et al., 2024)</w:t>
        <w:tab/>
      </w:r>
      <w:r>
        <w:t>119</w:t>
      </w:r>
    </w:p>
    <w:p>
      <w:pPr>
        <w:pStyle w:val="ndice3"/>
        <w:tabs>
          <w:tab w:val="right" w:leader="dot" w:pos="8204"/>
        </w:tabs>
      </w:pPr>
      <w:r>
        <w:t>A.5.3 México — população geral (Rodríguez-Vega &amp; Rodríguez-Vega, 2024)</w:t>
        <w:tab/>
      </w:r>
      <w:r>
        <w:t>119</w:t>
      </w:r>
    </w:p>
    <w:p>
      <w:pPr>
        <w:pStyle w:val="ndice3"/>
        <w:tabs>
          <w:tab w:val="right" w:leader="dot" w:pos="8204"/>
        </w:tabs>
      </w:pPr>
      <w:r>
        <w:t>A.5.4 Índia — mulheres trabalhadoras (Nag et al., 2003)</w:t>
        <w:tab/>
      </w:r>
      <w:r>
        <w:t>120</w:t>
      </w:r>
    </w:p>
    <w:p>
      <w:pPr>
        <w:pStyle w:val="ndice3"/>
        <w:tabs>
          <w:tab w:val="right" w:leader="dot" w:pos="8204"/>
        </w:tabs>
      </w:pPr>
      <w:r>
        <w:t>A.5.5 Portugal — trabalhadores industriais (Anacleto Filho et al., 2023)</w:t>
        <w:tab/>
      </w:r>
      <w:r>
        <w:t>120</w:t>
      </w:r>
    </w:p>
    <w:p>
      <w:pPr>
        <w:pStyle w:val="ndice3"/>
        <w:tabs>
          <w:tab w:val="right" w:leader="dot" w:pos="8204"/>
        </w:tabs>
      </w:pPr>
      <w:r>
        <w:t>A.5.6 Nigéria — atletas universitários (Ibiwari et al., 2025)</w:t>
        <w:tab/>
      </w:r>
      <w:r>
        <w:t>120</w:t>
      </w:r>
    </w:p>
    <w:p>
      <w:pPr>
        <w:pStyle w:val="ndice3"/>
        <w:tabs>
          <w:tab w:val="right" w:leader="dot" w:pos="8204"/>
        </w:tabs>
      </w:pPr>
      <w:r>
        <w:t>A.5.7 Jordânia — trabalhadores com deficiência (Mistarihi, 2020)</w:t>
        <w:tab/>
      </w:r>
      <w:r>
        <w:t>120</w:t>
      </w:r>
    </w:p>
    <w:p>
      <w:pPr>
        <w:pStyle w:val="ndice3"/>
        <w:tabs>
          <w:tab w:val="right" w:leader="dot" w:pos="8204"/>
        </w:tabs>
      </w:pPr>
      <w:r>
        <w:t>A.5.8 EUA — dedo indicador (Lim et al., 2018)</w:t>
        <w:tab/>
      </w:r>
      <w:r>
        <w:t>121</w:t>
      </w:r>
    </w:p>
    <w:p>
      <w:pPr>
        <w:pStyle w:val="ndice3"/>
        <w:tabs>
          <w:tab w:val="right" w:leader="dot" w:pos="8204"/>
        </w:tabs>
      </w:pPr>
      <w:r>
        <w:t>A.5.9 Estudo excluído: Moreo (2016)</w:t>
        <w:tab/>
      </w:r>
      <w:r>
        <w:t>121</w:t>
      </w:r>
    </w:p>
    <w:p>
      <w:pPr>
        <w:pStyle w:val="ndice3"/>
        <w:tabs>
          <w:tab w:val="right" w:leader="dot" w:pos="8204"/>
        </w:tabs>
      </w:pPr>
      <w:r>
        <w:t>A.5.10 EUA — militares ANSUR II (Gordon et al., 2015)</w:t>
        <w:tab/>
      </w:r>
      <w:r>
        <w:t>121</w:t>
      </w:r>
    </w:p>
    <w:p>
      <w:pPr>
        <w:pStyle w:val="ndice3"/>
        <w:tabs>
          <w:tab w:val="right" w:leader="dot" w:pos="8204"/>
        </w:tabs>
      </w:pPr>
      <w:r>
        <w:t>A.5.11 Países Baixos — DINED (TU Delft, 1993–2004)</w:t>
        <w:tab/>
      </w:r>
      <w:r>
        <w:t>121</w:t>
      </w:r>
    </w:p>
    <w:p>
      <w:pPr>
        <w:pStyle w:val="ndice3"/>
        <w:tabs>
          <w:tab w:val="right" w:leader="dot" w:pos="8204"/>
        </w:tabs>
      </w:pPr>
      <w:r>
        <w:t>A.5.12 China — idosos de Pequim (Hu et al., 2007)</w:t>
        <w:tab/>
      </w:r>
      <w:r>
        <w:t>122</w:t>
      </w:r>
    </w:p>
    <w:p>
      <w:pPr>
        <w:pStyle w:val="ndice3"/>
        <w:tabs>
          <w:tab w:val="right" w:leader="dot" w:pos="8204"/>
        </w:tabs>
      </w:pPr>
      <w:r>
        <w:t>A.5.13 Estudo excluído: reconstrução corporal 3D a partir de fotografias ortogonais</w:t>
        <w:tab/>
      </w:r>
      <w:r>
        <w:t>122</w:t>
      </w:r>
    </w:p>
    <w:p>
      <w:pPr>
        <w:pStyle w:val="ndice2"/>
        <w:tabs>
          <w:tab w:val="right" w:leader="dot" w:pos="8204"/>
        </w:tabs>
      </w:pPr>
      <w:r>
        <w:t>A.6 Estrutura do CSV e esquema de dados</w:t>
        <w:tab/>
      </w:r>
      <w:r>
        <w:t>122</w:t>
      </w:r>
    </w:p>
    <w:p>
      <w:pPr>
        <w:pStyle w:val="ndice3"/>
        <w:tabs>
          <w:tab w:val="right" w:leader="dot" w:pos="8204"/>
        </w:tabs>
      </w:pPr>
      <w:r>
        <w:t>A.6.1 Campos</w:t>
        <w:tab/>
      </w:r>
      <w:r>
        <w:t>123</w:t>
      </w:r>
    </w:p>
    <w:p>
      <w:pPr>
        <w:pStyle w:val="ndice3"/>
        <w:tabs>
          <w:tab w:val="right" w:leader="dot" w:pos="8204"/>
        </w:tabs>
      </w:pPr>
      <w:r>
        <w:t>A.6.2 Formato longo (long format)</w:t>
        <w:tab/>
      </w:r>
      <w:r>
        <w:t>124</w:t>
      </w:r>
    </w:p>
    <w:p>
      <w:pPr>
        <w:pStyle w:val="ndice2"/>
        <w:tabs>
          <w:tab w:val="right" w:leader="dot" w:pos="8204"/>
        </w:tabs>
      </w:pPr>
      <w:r>
        <w:t>A.7 Controlo de Qualidade dos Dados</w:t>
        <w:tab/>
      </w:r>
      <w:r>
        <w:t>124</w:t>
      </w:r>
    </w:p>
    <w:p>
      <w:pPr>
        <w:pStyle w:val="ndice3"/>
        <w:tabs>
          <w:tab w:val="right" w:leader="dot" w:pos="8204"/>
        </w:tabs>
      </w:pPr>
      <w:r>
        <w:t>A.7.1 Marcação inline de limitações</w:t>
        <w:tab/>
      </w:r>
      <w:r>
        <w:t>124</w:t>
      </w:r>
    </w:p>
    <w:p>
      <w:pPr>
        <w:pStyle w:val="ndice3"/>
        <w:tabs>
          <w:tab w:val="right" w:leader="dot" w:pos="8204"/>
        </w:tabs>
      </w:pPr>
      <w:r>
        <w:t>A.7.2 Verificação de unidades</w:t>
        <w:tab/>
      </w:r>
      <w:r>
        <w:t>124</w:t>
      </w:r>
    </w:p>
    <w:p>
      <w:pPr>
        <w:pStyle w:val="ndice3"/>
        <w:tabs>
          <w:tab w:val="right" w:leader="dot" w:pos="8204"/>
        </w:tabs>
      </w:pPr>
      <w:r>
        <w:t>A.7.3 Ligação à fonte</w:t>
        <w:tab/>
      </w:r>
      <w:r>
        <w:t>124</w:t>
      </w:r>
    </w:p>
    <w:p>
      <w:pPr>
        <w:pStyle w:val="ndice2"/>
        <w:tabs>
          <w:tab w:val="right" w:leader="dot" w:pos="8204"/>
        </w:tabs>
      </w:pPr>
      <w:r>
        <w:t>A.8 Escrita do Código de Geração</w:t>
        <w:tab/>
      </w:r>
      <w:r>
        <w:t>124</w:t>
      </w:r>
    </w:p>
    <w:p>
      <w:pPr>
        <w:pStyle w:val="ndice3"/>
        <w:tabs>
          <w:tab w:val="right" w:leader="dot" w:pos="8204"/>
        </w:tabs>
      </w:pPr>
      <w:r>
        <w:t>A.8.1 Correspondência entre os CSV e os parâmetros da plataforma</w:t>
        <w:tab/>
      </w:r>
      <w:r>
        <w:t>125</w:t>
      </w:r>
    </w:p>
    <w:p>
      <w:pPr>
        <w:pStyle w:val="ndice2"/>
        <w:tabs>
          <w:tab w:val="right" w:leader="dot" w:pos="8204"/>
        </w:tabs>
      </w:pPr>
      <w:r>
        <w:t>A.9 Resultado Final</w:t>
        <w:tab/>
      </w:r>
      <w:r>
        <w:t>125</w:t>
      </w:r>
    </w:p>
    <w:p>
      <w:pPr>
        <w:pStyle w:val="ndice2"/>
        <w:tabs>
          <w:tab w:val="right" w:leader="dot" w:pos="8204"/>
        </w:tabs>
      </w:pPr>
      <w:r>
        <w:t>A.10 Cobertura Global da Base de Dados e Lacunas</w:t>
        <w:tab/>
      </w:r>
      <w:r>
        <w:t>126</w:t>
      </w:r>
    </w:p>
    <w:p>
      <w:pPr>
        <w:pStyle w:val="ndice3"/>
        <w:tabs>
          <w:tab w:val="right" w:leader="dot" w:pos="8204"/>
        </w:tabs>
      </w:pPr>
      <w:r>
        <w:t>A.10.1 O que está coberto</w:t>
        <w:tab/>
      </w:r>
      <w:r>
        <w:t>126</w:t>
      </w:r>
    </w:p>
    <w:p>
      <w:pPr>
        <w:pStyle w:val="ndice4"/>
        <w:tabs>
          <w:tab w:val="right" w:leader="dot" w:pos="8204"/>
        </w:tabs>
      </w:pPr>
      <w:r>
        <w:t>A.10.1.1 Cobertura geográfica</w:t>
        <w:tab/>
      </w:r>
      <w:r>
        <w:t>126</w:t>
      </w:r>
    </w:p>
    <w:p>
      <w:pPr>
        <w:pStyle w:val="ndice4"/>
        <w:tabs>
          <w:tab w:val="right" w:leader="dot" w:pos="8204"/>
        </w:tabs>
      </w:pPr>
      <w:r>
        <w:t>A.10.1.2 Cobertura etária</w:t>
        <w:tab/>
      </w:r>
      <w:r>
        <w:t>127</w:t>
      </w:r>
    </w:p>
    <w:p>
      <w:pPr>
        <w:pStyle w:val="ndice4"/>
        <w:tabs>
          <w:tab w:val="right" w:leader="dot" w:pos="8204"/>
        </w:tabs>
      </w:pPr>
      <w:r>
        <w:t>A.10.1.3 Cobertura estatística</w:t>
        <w:tab/>
      </w:r>
      <w:r>
        <w:t>127</w:t>
      </w:r>
    </w:p>
    <w:p>
      <w:pPr>
        <w:pStyle w:val="ndice3"/>
        <w:tabs>
          <w:tab w:val="right" w:leader="dot" w:pos="8204"/>
        </w:tabs>
      </w:pPr>
      <w:r>
        <w:t>A.10.2 Onde a cobertura falha</w:t>
        <w:tab/>
      </w:r>
      <w:r>
        <w:t>128</w:t>
      </w:r>
    </w:p>
    <w:p>
      <w:pPr>
        <w:pStyle w:val="ndice4"/>
        <w:tabs>
          <w:tab w:val="right" w:leader="dot" w:pos="8204"/>
        </w:tabs>
      </w:pPr>
      <w:r>
        <w:t>A.10.2.1 Lacunas geográficas</w:t>
        <w:tab/>
      </w:r>
      <w:r>
        <w:t>128</w:t>
      </w:r>
    </w:p>
    <w:p>
      <w:pPr>
        <w:pStyle w:val="ndice4"/>
        <w:tabs>
          <w:tab w:val="right" w:leader="dot" w:pos="8204"/>
        </w:tabs>
      </w:pPr>
      <w:r>
        <w:t>A.10.2.2 Lacunas demográficas</w:t>
        <w:tab/>
      </w:r>
      <w:r>
        <w:t>128</w:t>
      </w:r>
    </w:p>
    <w:p>
      <w:pPr>
        <w:pStyle w:val="ndice4"/>
        <w:tabs>
          <w:tab w:val="right" w:leader="dot" w:pos="8204"/>
        </w:tabs>
      </w:pPr>
      <w:r>
        <w:t>A.10.2.3 Limitações qualitativas dos dados existentes</w:t>
        <w:tab/>
      </w:r>
      <w:r>
        <w:t>128</w:t>
      </w:r>
    </w:p>
    <w:p>
      <w:pPr>
        <w:pStyle w:val="ndice3"/>
        <w:tabs>
          <w:tab w:val="right" w:leader="dot" w:pos="8204"/>
        </w:tabs>
      </w:pPr>
      <w:r>
        <w:t>A.10.3 Frentes identificadas para expansão futura</w:t>
        <w:tab/>
      </w:r>
      <w:r>
        <w:t>129</w:t>
      </w:r>
    </w:p>
    <w:p>
      <w:pPr>
        <w:pStyle w:val="ndice4"/>
        <w:tabs>
          <w:tab w:val="right" w:leader="dot" w:pos="8204"/>
        </w:tabs>
      </w:pPr>
      <w:r>
        <w:t>A.10.3.1 Prioridade alta</w:t>
        <w:tab/>
      </w:r>
      <w:r>
        <w:t>129</w:t>
      </w:r>
    </w:p>
    <w:p>
      <w:pPr>
        <w:pStyle w:val="ndice4"/>
        <w:tabs>
          <w:tab w:val="right" w:leader="dot" w:pos="8204"/>
        </w:tabs>
      </w:pPr>
      <w:r>
        <w:t>A.10.3.2 Prioridade média</w:t>
        <w:tab/>
      </w:r>
      <w:r>
        <w:t>129</w:t>
      </w:r>
    </w:p>
    <w:p>
      <w:pPr>
        <w:pStyle w:val="ndice4"/>
        <w:tabs>
          <w:tab w:val="right" w:leader="dot" w:pos="8204"/>
        </w:tabs>
      </w:pPr>
      <w:r>
        <w:t>A.10.3.3 Pertinência directa para o tema da tese</w:t>
        <w:tab/>
      </w:r>
      <w:r>
        <w:t>129</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Foram arquivados três projectos Bambu Lab A1, gerados no Bambu Studio 1.10.02.76: um projecto PLA para o Flexy Beast e dois projectos, respectivamente em PLA e PETG, para a UnLimbited Phoenix. Foi ainda preservado um projecto Prusa MINI para o Paraglider Hand, gerado no PrusaSlicer 2.8.1. Os projectos Bambu registam camada de 0,24 mm, duas paredes, 15% de enchimento em grelha, suporte em árvore automático e aba de 5 mm. No projecto PETG, as oito peças da UnLimbited Phoenix estão atribuídas ao perfil Bambu PETG Basic, com temperaturas nominais de 255 °C no bico e 70 °C na mesa. O projecto Prusa regista camada de 0,20 mm, duas paredes, 15% de enchimento em grelha, PLA, bico de 0,4 mm, mesa a 60 °C e suporte desactivado. Os parâmetros comparáveis foram mantidos nas restantes impressões, segundo os registos disponíveis, embora não exista um ficheiro de configuração individual para cada peça produzida. A distribuição dos modelos pelos dois programas, materiais e equipamentos decorreu da disponibilidade dos projectos de preparação e das condições operacionais de cada impressão. Não foi desenhado um ensaio comparativo: a mesma geometria não foi produzida em condições equivalentes nos diferentes sistemas e materiais, pelo que estes registos não permitem inferir superioridade ou equivalência entre programas, impressoras, PLA e PETG.</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Como complemento à avaliação inicial, foram executadas, em 13 e 14 de Julho de 2026, campanhas automatizadas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https://handfab.pedrocandeias.net/, foi examinada apenas na superfície não autenticada. O protocolo, os casos, os resultados completos e os registos que permitem reconstruir as execuções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Neste contexto, a definição de requisitos não constitui apenas uma etapa técnica de especificação, mas um processo de tradução entre problemas de uso, limitações clínicas, possibilidades tecnológicas e condições concretas de adopção. Assim, os requisitos considerados no projecto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TextoNormal-IPCA"/>
      </w:pPr>
      <w:r>
        <w:t>A partir desta leitura, os requisitos de projecto podem ser organizados em categorias interdependentes. Os requisitos funcionais incluem padrões de preensão, graus de liberdade, amplitude de movimento, força, velocidade e capacidade de realizar actividades da vida diária.</w:t>
      </w:r>
    </w:p>
    <w:p>
      <w:pPr>
        <w:pStyle w:val="TextoNormal-IPCA"/>
      </w:pPr>
      <w:r>
        <w:t>Os requisitos ergonómicos assumem particular centralidade, destacando-se o conforto, o baixo peso, a usabilidade, a facilidade de colocação e remoção da prótese e a adequação ao uso quotidiano prolongado. Ao nível técnico, definem-se parâmetros relativos a actuadores, sistemas de transmissão, sensores, estratégias de controlo, fontes de energia e selecção de materiais com propriedades mecânicas adequadas e compatibilidade biológica.</w:t>
      </w:r>
    </w:p>
    <w:p>
      <w:pPr>
        <w:pStyle w:val="TextoNormal-IPCA"/>
      </w:pPr>
      <w:r>
        <w:t>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pStyle w:val="TextoNormal-IPCA"/>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binário necessário nas articulações, número de graus de liberdade, autonomia energética ou tolerâncias dimensionais. As prioridades dos utilizadores nem sempre coincidem com os indicadores privilegiados pela engenharia, o que exige uma correspondência explícita entre necessidade, critério de avaliação e decisão de projecto (Cordella et al., 2016; Hofmann et al., 2016; Jones et al., 2023).</w:t>
      </w:r>
    </w:p>
    <w:p>
      <w:pPr>
        <w:pStyle w:val="TextoNormal-IPCA"/>
      </w:pPr>
      <w:r>
        <w:t>No sistema paramétrico desenvolvido, esta relação foi operacionalizada apenas nas dimensões cobertas pelo protótipo: variáveis geométricas, restrições construtivas e limites de fabrico. Conforto, segurança e desempenho funcional permaneceram como requisitos provenientes da literatura e não foram convertidos em critérios empiricamente avaliados. Esta distinção evita apresentar a coerência geométrica como demonstração de adequação funcional.</w:t>
      </w:r>
    </w:p>
    <w:p>
      <w:pPr>
        <w:pStyle w:val="TextoNormal-IPCA"/>
      </w:pPr>
      <w:r>
        <w:t>As abordagens clássicas da engenharia de produto estruturam o desenvolvimento através da definição de funções, requisitos técnicos, alternativas e critérios de avaliação. Os modelos centrados no utilizador e as metodologias participativas acrescentam ciclos de prototipagem e avaliação com utilizadores, clínicos e familiares, reconhecendo que a definição do problema depende do desempenho mecânico e da experiência concreta de uso (Henao et al., 2025; Peerdeman et al., 2011; Walker et al., 2019). No domínio digital, a modelação paramétrica, a digitalização 3D e a simulação permitem incorporar alguns requisitos em modelos computacionais antes da produção física; cada requisito continua a exigir um critério de verificação próprio.</w:t>
      </w:r>
    </w:p>
    <w:p>
      <w:pPr>
        <w:pStyle w:val="TextoNormal-IPCA"/>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TextoNormal-IPCA"/>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TextoNormal-IPCA"/>
      </w:pPr>
      <w:r>
        <w:t>A explicitação destes limites desde as fases conceptuais permite enquadrar o processo como um exercício de optimização sujeito a múltiplas restrições, estruturando as decisões projectuais de forma clara, verificável e passível de análise crítica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 xml:space="preserve">A definição de parâmetros pode apoiar-se em bases de dados antropométricas de referência e em normas de medição corporal, que ajudam a estabilizar a nomenclatura, os pontos anatómicos e os intervalos esperados de variação. No presente projecto, esse apoio foi operacionalizado através da consolidação local de dados provenientes de estudos populacionais e de bases de referência. O conjunto </w:t>
      </w:r>
      <w:r>
        <w:t>data/multi_population_hand.csv</w:t>
      </w:r>
      <w:r>
        <w:t xml:space="preserve"> contém 1.790 linhas em formato longo; cada linha representa uma estatística associada a uma medida e a um grupo, e não uma pessoa. O ficheiro cobre nove países — China, Estados Unidos da América, Índia, Jordânia, México, Nigéria, Países Baixos, Portugal e Turquia — e combina dados de estudos publicados, relatórios técnicos e subconjuntos DINED disponibilizados pela TU Delft.</w:t>
      </w:r>
    </w:p>
    <w:p>
      <w:pPr>
        <w:pStyle w:val="TextoNormal-IPCA"/>
      </w:pPr>
      <w:r>
        <w:t>Esta consolidação não cria uma nova norma antropométrica nem substitui a medição individual. A base funciona como infra-estrutura intermédia para três decisões de projecto: definir intervalos de referência para os parâmetros expostos; identificar dimensões recorrentes que possam servir como entradas mínimas; e testar a coerência geométrica de configurações derivadas de perfis populacionais. Os dados populacionais descrevem tendências e dispersões. O ajuste final ao corpo continua a exigir medições directas ou digitalização específica.</w:t>
      </w:r>
    </w:p>
    <w:p>
      <w:pPr>
        <w:pStyle w:val="TextoNormal-IPCA"/>
      </w:pPr>
      <w:r>
        <w:t>A selecção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Foram excluídos estudos que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directamente (Moreo, 2016).</w:t>
      </w:r>
    </w:p>
    <w:p>
      <w:pPr>
        <w:pStyle w:val="Legenda"/>
      </w:pPr>
      <w:r>
        <w:t>Tabela 4.4 — Fontes integradas na base local de dados antropométricos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Fonte</w:t>
            </w:r>
          </w:p>
        </w:tc>
        <w:tc>
          <w:tcPr>
            <w:tcW w:w="0" w:type="auto"/>
          </w:tcPr>
          <w:p>
            <w:pPr>
              <w:pStyle w:val="TextoNormal-IPCA"/>
              <w:jc w:val="center"/>
            </w:pPr>
            <w:r>
              <w:rPr>
                <w:b/>
              </w:rPr>
              <w:t>População e cobertura</w:t>
            </w:r>
          </w:p>
        </w:tc>
        <w:tc>
          <w:tcPr>
            <w:tcW w:w="0" w:type="auto"/>
          </w:tcPr>
          <w:p>
            <w:pPr>
              <w:pStyle w:val="TextoNormal-IPCA"/>
              <w:jc w:val="center"/>
            </w:pPr>
            <w:r>
              <w:rPr>
                <w:b/>
              </w:rPr>
              <w:t>Dados extraídos</w:t>
            </w:r>
          </w:p>
        </w:tc>
        <w:tc>
          <w:tcPr>
            <w:tcW w:w="0" w:type="auto"/>
          </w:tcPr>
          <w:p>
            <w:pPr>
              <w:pStyle w:val="TextoNormal-IPCA"/>
              <w:jc w:val="center"/>
            </w:pPr>
            <w:r>
              <w:rPr>
                <w:b/>
              </w:rPr>
              <w:t>Registos</w:t>
            </w:r>
          </w:p>
        </w:tc>
      </w:tr>
      <w:tr>
        <w:tc>
          <w:tcPr>
            <w:tcW w:w="0" w:type="auto"/>
          </w:tcPr>
          <w:p>
            <w:pPr>
              <w:pStyle w:val="TextoNormal-IPCA"/>
              <w:jc w:val="left"/>
            </w:pPr>
            <w:r>
              <w:t>DINED kima1993, TU Delft</w:t>
            </w:r>
          </w:p>
        </w:tc>
        <w:tc>
          <w:tcPr>
            <w:tcW w:w="0" w:type="auto"/>
          </w:tcPr>
          <w:p>
            <w:pPr>
              <w:pStyle w:val="TextoNormal-IPCA"/>
              <w:jc w:val="left"/>
            </w:pPr>
            <w:r>
              <w:t>Crianças neerlandesas, 2–12 anos</w:t>
            </w:r>
          </w:p>
        </w:tc>
        <w:tc>
          <w:tcPr>
            <w:tcW w:w="0" w:type="auto"/>
          </w:tcPr>
          <w:p>
            <w:pPr>
              <w:pStyle w:val="TextoNormal-IPCA"/>
              <w:jc w:val="left"/>
            </w:pPr>
            <w:r>
              <w:t>Médias e desvios-padrão de medições da mão por idade e sexo</w:t>
            </w:r>
          </w:p>
        </w:tc>
        <w:tc>
          <w:tcPr>
            <w:tcW w:w="0" w:type="auto"/>
          </w:tcPr>
          <w:p>
            <w:pPr>
              <w:pStyle w:val="TextoNormal-IPCA"/>
              <w:jc w:val="left"/>
            </w:pPr>
            <w:r>
              <w:t>528</w:t>
            </w:r>
          </w:p>
        </w:tc>
      </w:tr>
      <w:tr>
        <w:tc>
          <w:tcPr>
            <w:tcW w:w="0" w:type="auto"/>
          </w:tcPr>
          <w:p>
            <w:pPr>
              <w:pStyle w:val="TextoNormal-IPCA"/>
              <w:jc w:val="left"/>
            </w:pPr>
            <w:r>
              <w:t>DINED geron1998, TU Delft</w:t>
            </w:r>
          </w:p>
        </w:tc>
        <w:tc>
          <w:tcPr>
            <w:tcW w:w="0" w:type="auto"/>
          </w:tcPr>
          <w:p>
            <w:pPr>
              <w:pStyle w:val="TextoNormal-IPCA"/>
              <w:jc w:val="left"/>
            </w:pPr>
            <w:r>
              <w:t>Idosos neerlandeses, 50–80+ anos</w:t>
            </w:r>
          </w:p>
        </w:tc>
        <w:tc>
          <w:tcPr>
            <w:tcW w:w="0" w:type="auto"/>
          </w:tcPr>
          <w:p>
            <w:pPr>
              <w:pStyle w:val="TextoNormal-IPCA"/>
              <w:jc w:val="left"/>
            </w:pPr>
            <w:r>
              <w:t>Médias e desvios-padrão de medições da mão por grupos etários</w:t>
            </w:r>
          </w:p>
        </w:tc>
        <w:tc>
          <w:tcPr>
            <w:tcW w:w="0" w:type="auto"/>
          </w:tcPr>
          <w:p>
            <w:pPr>
              <w:pStyle w:val="TextoNormal-IPCA"/>
              <w:jc w:val="left"/>
            </w:pPr>
            <w:r>
              <w:t>210</w:t>
            </w:r>
          </w:p>
        </w:tc>
      </w:tr>
      <w:tr>
        <w:tc>
          <w:tcPr>
            <w:tcW w:w="0" w:type="auto"/>
          </w:tcPr>
          <w:p>
            <w:pPr>
              <w:pStyle w:val="TextoNormal-IPCA"/>
              <w:jc w:val="left"/>
            </w:pPr>
            <w:r>
              <w:t>DINED dined2004, TU Delft</w:t>
            </w:r>
          </w:p>
        </w:tc>
        <w:tc>
          <w:tcPr>
            <w:tcW w:w="0" w:type="auto"/>
          </w:tcPr>
          <w:p>
            <w:pPr>
              <w:pStyle w:val="TextoNormal-IPCA"/>
              <w:jc w:val="left"/>
            </w:pPr>
            <w:r>
              <w:t>Adultos neerlandeses, 20–60+ anos</w:t>
            </w:r>
          </w:p>
        </w:tc>
        <w:tc>
          <w:tcPr>
            <w:tcW w:w="0" w:type="auto"/>
          </w:tcPr>
          <w:p>
            <w:pPr>
              <w:pStyle w:val="TextoNormal-IPCA"/>
              <w:jc w:val="left"/>
            </w:pPr>
            <w:r>
              <w:t>Médias e desvios-padrão de medições da mão por sexo e idade</w:t>
            </w:r>
          </w:p>
        </w:tc>
        <w:tc>
          <w:tcPr>
            <w:tcW w:w="0" w:type="auto"/>
          </w:tcPr>
          <w:p>
            <w:pPr>
              <w:pStyle w:val="TextoNormal-IPCA"/>
              <w:jc w:val="left"/>
            </w:pPr>
            <w:r>
              <w:t>114</w:t>
            </w:r>
          </w:p>
        </w:tc>
      </w:tr>
      <w:tr>
        <w:tc>
          <w:tcPr>
            <w:tcW w:w="0" w:type="auto"/>
          </w:tcPr>
          <w:p>
            <w:pPr>
              <w:pStyle w:val="TextoNormal-IPCA"/>
              <w:jc w:val="left"/>
            </w:pPr>
            <w:r>
              <w:t>Rodríguez-Vega e Rodríguez-Vega (2024)</w:t>
            </w:r>
          </w:p>
        </w:tc>
        <w:tc>
          <w:tcPr>
            <w:tcW w:w="0" w:type="auto"/>
          </w:tcPr>
          <w:p>
            <w:pPr>
              <w:pStyle w:val="TextoNormal-IPCA"/>
              <w:jc w:val="left"/>
            </w:pPr>
            <w:r>
              <w:t>População mexicana, 15–59 anos</w:t>
            </w:r>
          </w:p>
        </w:tc>
        <w:tc>
          <w:tcPr>
            <w:tcW w:w="0" w:type="auto"/>
          </w:tcPr>
          <w:p>
            <w:pPr>
              <w:pStyle w:val="TextoNormal-IPCA"/>
              <w:jc w:val="left"/>
            </w:pPr>
            <w:r>
              <w:t>Comprimento da mão, comprimento da palma, largura da mão e diâmetro de preensão, com valores gerais e por grupos etários</w:t>
            </w:r>
          </w:p>
        </w:tc>
        <w:tc>
          <w:tcPr>
            <w:tcW w:w="0" w:type="auto"/>
          </w:tcPr>
          <w:p>
            <w:pPr>
              <w:pStyle w:val="TextoNormal-IPCA"/>
              <w:jc w:val="left"/>
            </w:pPr>
            <w:r>
              <w:t>360</w:t>
            </w:r>
          </w:p>
        </w:tc>
      </w:tr>
      <w:tr>
        <w:tc>
          <w:tcPr>
            <w:tcW w:w="0" w:type="auto"/>
          </w:tcPr>
          <w:p>
            <w:pPr>
              <w:pStyle w:val="TextoNormal-IPCA"/>
              <w:jc w:val="left"/>
            </w:pPr>
            <w:r>
              <w:t>Nag et al. (2003)</w:t>
            </w:r>
          </w:p>
        </w:tc>
        <w:tc>
          <w:tcPr>
            <w:tcW w:w="0" w:type="auto"/>
          </w:tcPr>
          <w:p>
            <w:pPr>
              <w:pStyle w:val="TextoNormal-IPCA"/>
              <w:jc w:val="left"/>
            </w:pPr>
            <w:r>
              <w:t>Mulheres indianas trabalhadoras</w:t>
            </w:r>
          </w:p>
        </w:tc>
        <w:tc>
          <w:tcPr>
            <w:tcW w:w="0" w:type="auto"/>
          </w:tcPr>
          <w:p>
            <w:pPr>
              <w:pStyle w:val="TextoNormal-IPCA"/>
              <w:jc w:val="left"/>
            </w:pPr>
            <w:r>
              <w:t>51 dimensões da mão, incluindo comprimentos, larguras, circunferências, profundidades e aberturas</w:t>
            </w:r>
          </w:p>
        </w:tc>
        <w:tc>
          <w:tcPr>
            <w:tcW w:w="0" w:type="auto"/>
          </w:tcPr>
          <w:p>
            <w:pPr>
              <w:pStyle w:val="TextoNormal-IPCA"/>
              <w:jc w:val="left"/>
            </w:pPr>
            <w:r>
              <w:t>255</w:t>
            </w:r>
          </w:p>
        </w:tc>
      </w:tr>
      <w:tr>
        <w:tc>
          <w:tcPr>
            <w:tcW w:w="0" w:type="auto"/>
          </w:tcPr>
          <w:p>
            <w:pPr>
              <w:pStyle w:val="TextoNormal-IPCA"/>
              <w:jc w:val="left"/>
            </w:pPr>
            <w:r>
              <w:t>Gordon et al. (2015)</w:t>
            </w:r>
          </w:p>
        </w:tc>
        <w:tc>
          <w:tcPr>
            <w:tcW w:w="0" w:type="auto"/>
          </w:tcPr>
          <w:p>
            <w:pPr>
              <w:pStyle w:val="TextoNormal-IPCA"/>
              <w:jc w:val="left"/>
            </w:pPr>
            <w:r>
              <w:t>Militares norte-americanos do ANSUR II</w:t>
            </w:r>
          </w:p>
        </w:tc>
        <w:tc>
          <w:tcPr>
            <w:tcW w:w="0" w:type="auto"/>
          </w:tcPr>
          <w:p>
            <w:pPr>
              <w:pStyle w:val="TextoNormal-IPCA"/>
              <w:jc w:val="left"/>
            </w:pPr>
            <w:r>
              <w:t>Medições da mão, punho e antebraço extraídas das estatísticas públicas do inquérito</w:t>
            </w:r>
          </w:p>
        </w:tc>
        <w:tc>
          <w:tcPr>
            <w:tcW w:w="0" w:type="auto"/>
          </w:tcPr>
          <w:p>
            <w:pPr>
              <w:pStyle w:val="TextoNormal-IPCA"/>
              <w:jc w:val="left"/>
            </w:pPr>
            <w:r>
              <w:t>154</w:t>
            </w:r>
          </w:p>
        </w:tc>
      </w:tr>
      <w:tr>
        <w:tc>
          <w:tcPr>
            <w:tcW w:w="0" w:type="auto"/>
          </w:tcPr>
          <w:p>
            <w:pPr>
              <w:pStyle w:val="TextoNormal-IPCA"/>
              <w:jc w:val="left"/>
            </w:pPr>
            <w:r>
              <w:t>Chatzioglou et al. (2024)</w:t>
            </w:r>
          </w:p>
        </w:tc>
        <w:tc>
          <w:tcPr>
            <w:tcW w:w="0" w:type="auto"/>
          </w:tcPr>
          <w:p>
            <w:pPr>
              <w:pStyle w:val="TextoNormal-IPCA"/>
              <w:jc w:val="left"/>
            </w:pPr>
            <w:r>
              <w:t>Jovens adultos da Turquia</w:t>
            </w:r>
          </w:p>
        </w:tc>
        <w:tc>
          <w:tcPr>
            <w:tcW w:w="0" w:type="auto"/>
          </w:tcPr>
          <w:p>
            <w:pPr>
              <w:pStyle w:val="TextoNormal-IPCA"/>
              <w:jc w:val="left"/>
            </w:pPr>
            <w:r>
              <w:t>Comprimentos dos cinco dedos da mão direita, por sexo e combinado</w:t>
            </w:r>
          </w:p>
        </w:tc>
        <w:tc>
          <w:tcPr>
            <w:tcW w:w="0" w:type="auto"/>
          </w:tcPr>
          <w:p>
            <w:pPr>
              <w:pStyle w:val="TextoNormal-IPCA"/>
              <w:jc w:val="left"/>
            </w:pPr>
            <w:r>
              <w:t>56</w:t>
            </w:r>
          </w:p>
        </w:tc>
      </w:tr>
      <w:tr>
        <w:tc>
          <w:tcPr>
            <w:tcW w:w="0" w:type="auto"/>
          </w:tcPr>
          <w:p>
            <w:pPr>
              <w:pStyle w:val="TextoNormal-IPCA"/>
              <w:jc w:val="left"/>
            </w:pPr>
            <w:r>
              <w:t>Hu et al. (2007)</w:t>
            </w:r>
          </w:p>
        </w:tc>
        <w:tc>
          <w:tcPr>
            <w:tcW w:w="0" w:type="auto"/>
          </w:tcPr>
          <w:p>
            <w:pPr>
              <w:pStyle w:val="TextoNormal-IPCA"/>
              <w:jc w:val="left"/>
            </w:pPr>
            <w:r>
              <w:t>Idosos chineses da área de Pequim</w:t>
            </w:r>
          </w:p>
        </w:tc>
        <w:tc>
          <w:tcPr>
            <w:tcW w:w="0" w:type="auto"/>
          </w:tcPr>
          <w:p>
            <w:pPr>
              <w:pStyle w:val="TextoNormal-IPCA"/>
              <w:jc w:val="left"/>
            </w:pPr>
            <w:r>
              <w:t>Larguras, comprimento da mão, comprimento do dedo e comprimento antebraço-ponta dos dedos</w:t>
            </w:r>
          </w:p>
        </w:tc>
        <w:tc>
          <w:tcPr>
            <w:tcW w:w="0" w:type="auto"/>
          </w:tcPr>
          <w:p>
            <w:pPr>
              <w:pStyle w:val="TextoNormal-IPCA"/>
              <w:jc w:val="left"/>
            </w:pPr>
            <w:r>
              <w:t>50</w:t>
            </w:r>
          </w:p>
        </w:tc>
      </w:tr>
      <w:tr>
        <w:tc>
          <w:tcPr>
            <w:tcW w:w="0" w:type="auto"/>
          </w:tcPr>
          <w:p>
            <w:pPr>
              <w:pStyle w:val="TextoNormal-IPCA"/>
              <w:jc w:val="left"/>
            </w:pPr>
            <w:r>
              <w:t>Ibiwari et al. (2025)</w:t>
            </w:r>
          </w:p>
        </w:tc>
        <w:tc>
          <w:tcPr>
            <w:tcW w:w="0" w:type="auto"/>
          </w:tcPr>
          <w:p>
            <w:pPr>
              <w:pStyle w:val="TextoNormal-IPCA"/>
              <w:jc w:val="left"/>
            </w:pPr>
            <w:r>
              <w:t>Atletas universitários da Nigéria</w:t>
            </w:r>
          </w:p>
        </w:tc>
        <w:tc>
          <w:tcPr>
            <w:tcW w:w="0" w:type="auto"/>
          </w:tcPr>
          <w:p>
            <w:pPr>
              <w:pStyle w:val="TextoNormal-IPCA"/>
              <w:jc w:val="left"/>
            </w:pPr>
            <w:r>
              <w:t>Comprimento da mão, largura da mão, comprimento palmar e 3.º dedo, por modalidade e sexo</w:t>
            </w:r>
          </w:p>
        </w:tc>
        <w:tc>
          <w:tcPr>
            <w:tcW w:w="0" w:type="auto"/>
          </w:tcPr>
          <w:p>
            <w:pPr>
              <w:pStyle w:val="TextoNormal-IPCA"/>
              <w:jc w:val="left"/>
            </w:pPr>
            <w:r>
              <w:t>32</w:t>
            </w:r>
          </w:p>
        </w:tc>
      </w:tr>
      <w:tr>
        <w:tc>
          <w:tcPr>
            <w:tcW w:w="0" w:type="auto"/>
          </w:tcPr>
          <w:p>
            <w:pPr>
              <w:pStyle w:val="TextoNormal-IPCA"/>
              <w:jc w:val="left"/>
            </w:pPr>
            <w:r>
              <w:t>Anacleto Filho et al. (2023)</w:t>
            </w:r>
          </w:p>
        </w:tc>
        <w:tc>
          <w:tcPr>
            <w:tcW w:w="0" w:type="auto"/>
          </w:tcPr>
          <w:p>
            <w:pPr>
              <w:pStyle w:val="TextoNormal-IPCA"/>
              <w:jc w:val="left"/>
            </w:pPr>
            <w:r>
              <w:t>Trabalhadores industriais portugueses</w:t>
            </w:r>
          </w:p>
        </w:tc>
        <w:tc>
          <w:tcPr>
            <w:tcW w:w="0" w:type="auto"/>
          </w:tcPr>
          <w:p>
            <w:pPr>
              <w:pStyle w:val="TextoNormal-IPCA"/>
              <w:jc w:val="left"/>
            </w:pPr>
            <w:r>
              <w:t>Comprimento e largura da mão, por sexo</w:t>
            </w:r>
          </w:p>
        </w:tc>
        <w:tc>
          <w:tcPr>
            <w:tcW w:w="0" w:type="auto"/>
          </w:tcPr>
          <w:p>
            <w:pPr>
              <w:pStyle w:val="TextoNormal-IPCA"/>
              <w:jc w:val="left"/>
            </w:pPr>
            <w:r>
              <w:t>20</w:t>
            </w:r>
          </w:p>
        </w:tc>
      </w:tr>
      <w:tr>
        <w:tc>
          <w:tcPr>
            <w:tcW w:w="0" w:type="auto"/>
          </w:tcPr>
          <w:p>
            <w:pPr>
              <w:pStyle w:val="TextoNormal-IPCA"/>
              <w:jc w:val="left"/>
            </w:pPr>
            <w:r>
              <w:t>Mistarihi (2020)</w:t>
            </w:r>
          </w:p>
        </w:tc>
        <w:tc>
          <w:tcPr>
            <w:tcW w:w="0" w:type="auto"/>
          </w:tcPr>
          <w:p>
            <w:pPr>
              <w:pStyle w:val="TextoNormal-IPCA"/>
              <w:jc w:val="left"/>
            </w:pPr>
            <w:r>
              <w:t>Trabalhadores com deficiência física na Jordânia</w:t>
            </w:r>
          </w:p>
        </w:tc>
        <w:tc>
          <w:tcPr>
            <w:tcW w:w="0" w:type="auto"/>
          </w:tcPr>
          <w:p>
            <w:pPr>
              <w:pStyle w:val="TextoNormal-IPCA"/>
              <w:jc w:val="left"/>
            </w:pPr>
            <w:r>
              <w:t>Comprimento da mão, largura da mão e comprimento cotovelo-ponta dos dedos</w:t>
            </w:r>
          </w:p>
        </w:tc>
        <w:tc>
          <w:tcPr>
            <w:tcW w:w="0" w:type="auto"/>
          </w:tcPr>
          <w:p>
            <w:pPr>
              <w:pStyle w:val="TextoNormal-IPCA"/>
              <w:jc w:val="left"/>
            </w:pPr>
            <w:r>
              <w:t>9</w:t>
            </w:r>
          </w:p>
        </w:tc>
      </w:tr>
      <w:tr>
        <w:tc>
          <w:tcPr>
            <w:tcW w:w="0" w:type="auto"/>
          </w:tcPr>
          <w:p>
            <w:pPr>
              <w:pStyle w:val="TextoNormal-IPCA"/>
              <w:jc w:val="left"/>
            </w:pPr>
            <w:r>
              <w:t>Lim et al. (2018)</w:t>
            </w:r>
          </w:p>
        </w:tc>
        <w:tc>
          <w:tcPr>
            <w:tcW w:w="0" w:type="auto"/>
          </w:tcPr>
          <w:p>
            <w:pPr>
              <w:pStyle w:val="TextoNormal-IPCA"/>
              <w:jc w:val="left"/>
            </w:pPr>
            <w:r>
              <w:t>Adultos jovens nos EUA</w:t>
            </w:r>
          </w:p>
        </w:tc>
        <w:tc>
          <w:tcPr>
            <w:tcW w:w="0" w:type="auto"/>
          </w:tcPr>
          <w:p>
            <w:pPr>
              <w:pStyle w:val="TextoNormal-IPCA"/>
              <w:jc w:val="left"/>
            </w:pPr>
            <w:r>
              <w:t>Comprimento e largura do dedo indicador para personalização de dedo protésico</w:t>
            </w:r>
          </w:p>
        </w:tc>
        <w:tc>
          <w:tcPr>
            <w:tcW w:w="0" w:type="auto"/>
          </w:tcPr>
          <w:p>
            <w:pPr>
              <w:pStyle w:val="TextoNormal-IPCA"/>
              <w:jc w:val="left"/>
            </w:pPr>
            <w:r>
              <w:t>2</w:t>
            </w:r>
          </w:p>
        </w:tc>
      </w:tr>
    </w:tbl>
    <w:p>
      <w:pPr>
        <w:pStyle w:val="TextoNormal-IPCA"/>
      </w:pPr>
      <w:r>
        <w:t>A extracção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preservação da fonte, página, população e nota metodológica permite identificar a origem de cada valor e regressar ao documento original sempre que uma medida pareça incoerente.</w:t>
      </w:r>
    </w:p>
    <w:p>
      <w:pPr>
        <w:pStyle w:val="TextoNormal-IPCA"/>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TextoNormal-IPCA"/>
      </w:pPr>
      <w:r>
        <w:t>Este formato facilita a integração de fontes incompletas, porque nem todos os estudos reportam o mesmo conjunto de estatísticas.</w:t>
      </w:r>
    </w:p>
    <w:p>
      <w:pPr>
        <w:pStyle w:val="TextoNormal-IPCA"/>
      </w:pPr>
      <w:r>
        <w:t>Na base actual, existem 612 médias, 609 desvios-padrão, 513 percentis, 28 mínimos e 28 máximos. Esta assimetria é metodologicamente relevante: os conjuntos ANSUR oferecem maior profundidade estatística, enquanto o DINED permite uma separação estruturada por idade e sexo, apenas com média e desvio-padrão na interface consultada. Estudos como Mistarihi (2020) ou Lim et al. (2018) fornecem valores parciais, úteis como referência contextual e insuficientes para uma estimativa populacional com o mesmo detalhe (Gordon et al., 2015; Lim et al., 2018; Mistarihi, 2020).</w:t>
      </w:r>
    </w:p>
    <w:p>
      <w:pPr>
        <w:pStyle w:val="TextoNormal-IPCA"/>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TextoNormal-IPCA"/>
      </w:pPr>
      <w:r>
        <w:t>Do mesmo modo, verifica-se heterogeneidade no critério de selecção da mão analisada, com estudos que consideram a mão direita, a mão dominante ou, no caso do estudo português, a mão esquerda, em função das condições específicas de recolha de dados. (Anacleto Filho et al., 2023). Estas diferenças impedem que todos os dados sejam tratados como directamente equivalentes e justificam o registo explícito dos respectivos protocolos de medição. A base de dados não elimina a heterogeneidade das fontes; pelo contrário, torna-a visível, permitindo que o modelo paramétrico utilize os valores antropométricos de forma contextualizada e metodologicamente informada. 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 Em sentido inverso, algumas fontes facilitaram a extracção. As tabelas com percentis claros, unidades explícitas e separação por sexo ou idade permitiram uma codificação directa e maior confiança na transcrição dos valores. No caso da DINED, a estrutura HTML da interface facilitou a identificação e a extracção consistente das médias e dos desvios-padrão, permitindo registar, para cada medida antropométrica, o valor médio observado no grupo e a respectiva dispersão interna. Esta informação foi recolhida mantendo a separação entre subconjuntos, sexo e grupos etários, embora os percentis não estivessem disponíveis na mesma interface.</w:t>
      </w:r>
    </w:p>
    <w:p>
      <w:pPr>
        <w:pStyle w:val="TextoNormal-IPCA"/>
      </w:pPr>
      <w:r>
        <w:t>O ANSUR II também foi particularmente útil por disponibilizar estatísticas amplas e uma grande amostra militar, permitindo trabalhar com medições da mão, punho e antebraço em escala populacional (Gordon et al., 2015; Molenbroek, 1998; Molenbroek et al., 2003; Steenbekkers &amp; van Beijsterveldt, 1998). Ainda assim, estas fontes não resolvem o problema da personalização clínica, uma vez que amostras compostas por militares, crianças neerlandesas ou idosos chineses não podem ser directamente extrapoladas para utilizadores com amputação de membro superior.</w:t>
      </w:r>
    </w:p>
    <w:p>
      <w:pPr>
        <w:pStyle w:val="TextoNormal-IPCA"/>
      </w:pPr>
      <w:r>
        <w:t>As decisões de normalização dos dados seguiram quatro princípios metodológicos. Em primeiro lugar, todas as medidas antropométricas foram convertidas para milímetros, centímetros e polegadas, mantendo-se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directamente relevantes para a geração da geometria principal, de dimensões do punho e antebraço, mais associadas à interface, à fixação ou à adaptação ao membro residual. Por fim, os valores recolhidos foram tratados como referências paramétricas, em lugar de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Os dados delimitam o espaço de alteração dentro do qual o modelo pode operar com maior coerência geométrica e metodológica. Para tal, o sistema necessita de identificar as medidas recorrentes na literatura, os intervalos observados em diferentes populações, as dimensões que podem funcionar como entradas mínimas de configuração e as situações em que o redimensionamento uniforme se torna metodologicamente arriscado.</w:t>
      </w:r>
    </w:p>
    <w:p>
      <w:pPr>
        <w:pStyle w:val="TextoNormal-IPCA"/>
      </w:pPr>
      <w:r>
        <w:t>A base de dados construída permite comparar valores relativos ao comprimento da mão, à largura da palma, aos comprimentos digitais, às dimensões do punho e às relações com o antebraço, mantendo a referência à fonte, à população e ao contexto metodológico de cada linha.</w:t>
      </w:r>
    </w:p>
    <w:p>
      <w:pPr>
        <w:pStyle w:val="TextoNormal-IPCA"/>
      </w:pP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TextoNormal-IPCA"/>
      </w:pPr>
      <w:r>
        <w:t>Permanece uma limitação central. A maior parte dos dados disponíveis provém de populações sem amputação e não descreve a morfologia do membro residual nem a interacção dinâmica entre tecido, carga e encaixe. Para uma prótese definitiva, a referência mais adequada seria a medição directa do utilizador, idealmente complementada por digitalização tridimensional e avaliação da interface com o corpo. Nesta investigação, os dados antropométricos públicos estruturam o sistema, apoiam os ensaios de coerência dimensional e fundamentam decisões de parametrização; não substituem avaliação clínica, prova de conforto ou avaliação individual.</w:t>
      </w:r>
    </w:p>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Tabela 4.8 identifica as entradas activas, os cálculos derivados e os limites existentes nas versões usadas nos ensaios. As fórmulas descrevem a implementação; não representam relações anatómicas universais.</w:t>
      </w:r>
    </w:p>
    <w:p>
      <w:pPr>
        <w:pStyle w:val="Legenda"/>
      </w:pPr>
      <w:r>
        <w:t>Tabela 4.8 — Relações paramétricas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 principal</w:t>
            </w:r>
          </w:p>
        </w:tc>
        <w:tc>
          <w:tcPr>
            <w:tcW w:w="0" w:type="auto"/>
          </w:tcPr>
          <w:p>
            <w:pPr>
              <w:pStyle w:val="TextoNormal-IPCA"/>
              <w:jc w:val="center"/>
            </w:pPr>
            <w:r>
              <w:rPr>
                <w:b/>
              </w:rPr>
              <w:t>Relação implementada</w:t>
            </w:r>
          </w:p>
        </w:tc>
        <w:tc>
          <w:tcPr>
            <w:tcW w:w="0" w:type="auto"/>
          </w:tcPr>
          <w:p>
            <w:pPr>
              <w:pStyle w:val="TextoNormal-IPCA"/>
              <w:jc w:val="center"/>
            </w:pPr>
            <w:r>
              <w:rPr>
                <w:b/>
              </w:rPr>
              <w:t>Parâmetros derivados e limite</w:t>
            </w:r>
          </w:p>
        </w:tc>
      </w:tr>
      <w:tr>
        <w:tc>
          <w:tcPr>
            <w:tcW w:w="0" w:type="auto"/>
          </w:tcPr>
          <w:p>
            <w:pPr>
              <w:pStyle w:val="TextoNormal-IPCA"/>
              <w:jc w:val="left"/>
            </w:pPr>
            <w:r>
              <w:t>Flexy Beast</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xScaleFactor = (palm_breadth_mm + 5) / 55</w:t>
            </w:r>
            <w:r>
              <w:t>; o comprimento médio regula o multiplicador geral dos dedos e os restantes comprimentos definem proporções relativas</w:t>
            </w:r>
          </w:p>
        </w:tc>
        <w:tc>
          <w:tcPr>
            <w:tcW w:w="0" w:type="auto"/>
          </w:tcPr>
          <w:p>
            <w:pPr>
              <w:pStyle w:val="TextoNormal-IPCA"/>
              <w:jc w:val="left"/>
            </w:pPr>
            <w:r>
              <w:t>fingerLength = middle_finger_length_mm / (37 × xScaleFactor)</w:t>
            </w:r>
            <w:r>
              <w:t>; largura da palma entre 55 e 110 mm</w:t>
            </w:r>
          </w:p>
        </w:tc>
      </w:tr>
      <w:tr>
        <w:tc>
          <w:tcPr>
            <w:tcW w:w="0" w:type="auto"/>
          </w:tcPr>
          <w:p>
            <w:pPr>
              <w:pStyle w:val="TextoNormal-IPCA"/>
              <w:jc w:val="left"/>
            </w:pPr>
            <w:r>
              <w:t>Paraglider Hand</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overall_scale = palm_breadth_mm / 66,4</w:t>
            </w:r>
            <w:r>
              <w:t>; a palma mantém escala uniforme para preservar furos circulares e os dedos recebem ajustes próprios</w:t>
            </w:r>
          </w:p>
        </w:tc>
        <w:tc>
          <w:tcPr>
            <w:tcW w:w="0" w:type="auto"/>
          </w:tcPr>
          <w:p>
            <w:pPr>
              <w:pStyle w:val="TextoNormal-IPCA"/>
              <w:jc w:val="left"/>
            </w:pPr>
            <w:r>
              <w:t xml:space="preserve">A palma Reborn exige </w:t>
            </w:r>
            <w:r>
              <w:t>scale(overall_scale / 1,25)</w:t>
            </w:r>
            <w:r>
              <w:t xml:space="preserve"> no ponto de chamada; largura declarada entre 55 e 110 mm</w:t>
            </w:r>
          </w:p>
        </w:tc>
      </w:tr>
      <w:tr>
        <w:tc>
          <w:tcPr>
            <w:tcW w:w="0" w:type="auto"/>
          </w:tcPr>
          <w:p>
            <w:pPr>
              <w:pStyle w:val="TextoNormal-IPCA"/>
              <w:jc w:val="left"/>
            </w:pPr>
            <w:r>
              <w:t>UnLimbited Phoenix</w:t>
            </w:r>
          </w:p>
        </w:tc>
        <w:tc>
          <w:tcPr>
            <w:tcW w:w="0" w:type="auto"/>
          </w:tcPr>
          <w:p>
            <w:pPr>
              <w:pStyle w:val="TextoNormal-IPCA"/>
              <w:jc w:val="left"/>
            </w:pPr>
            <w:r>
              <w:t>palm_breadth_mm</w:t>
            </w:r>
            <w:r>
              <w:t xml:space="preserve"> e, nas versões posteriores, comprimentos por dedo</w:t>
            </w:r>
          </w:p>
        </w:tc>
        <w:tc>
          <w:tcPr>
            <w:tcW w:w="0" w:type="auto"/>
          </w:tcPr>
          <w:p>
            <w:pPr>
              <w:pStyle w:val="TextoNormal-IPCA"/>
              <w:jc w:val="left"/>
            </w:pPr>
            <w:r>
              <w:t>HandPerc = palm_breadth_mm / 82 × 100</w:t>
            </w:r>
            <w:r>
              <w:t>, limitado ao intervalo do modelo; a montagem é escalada de forma uniforme</w:t>
            </w:r>
          </w:p>
        </w:tc>
        <w:tc>
          <w:tcPr>
            <w:tcW w:w="0" w:type="auto"/>
          </w:tcPr>
          <w:p>
            <w:pPr>
              <w:pStyle w:val="TextoNormal-IPCA"/>
              <w:jc w:val="left"/>
            </w:pPr>
            <w:r>
              <w:t>HandPerc</w:t>
            </w:r>
            <w:r>
              <w:t xml:space="preserve"> e </w:t>
            </w:r>
            <w:r>
              <w:t>HandPerc_override</w:t>
            </w:r>
            <w:r>
              <w:t xml:space="preserve"> limitados entre 100% e 160%; valores de palma abaixo de 82 mm ficam no mínimo de 100%</w:t>
            </w:r>
          </w:p>
        </w:tc>
      </w:tr>
    </w:tbl>
    <w:p>
      <w:pPr>
        <w:pStyle w:val="TextoNormal-IPCA"/>
      </w:pPr>
      <w:r>
        <w:t>No Flexy Beast, a largura metacarpal determina a escala global da palma e dos componentes estruturais. Os comprimentos digitais permitem alterar o alcance relativo de cada dedo, mas várias espessuras e interfaces continuam ligadas à escala da mão. No Paraglider, o escalonamento uniforme da palma é uma restrição deliberada: uma deformação diferente nos eixos X e Y transformaria os furos dos pinos em elipses e poderia impedir a montagem. Esta opção limita a adaptação local da palma, ao mesmo tempo que protege uma interface mecânica do desenho original.</w:t>
      </w:r>
    </w:p>
    <w:p>
      <w:pPr>
        <w:pStyle w:val="TextoNormal-IPCA"/>
      </w:pPr>
      <w:r>
        <w:t>No UnLimbited Phoenix, o piso de 82 mm decorre da gama dimensional adoptada pelo modelo integrado. Um perfil infantil abaixo desse valor gera a dimensão mínima suportada e deixa de representar a estimativa de entrada. O sistema deve, por isso, informar que o modelo não cobre esse perfil, em vez de descrever o resultado como adaptação anatómica. Esta diferença confirma que os limites pertencem à combinação entre dados, regras e arquitectura de cada modelo; não devem ser inferidos a partir do nome genérico «mão protésica».</w:t>
      </w:r>
    </w:p>
    <w:p>
      <w:pPr>
        <w:pStyle w:val="TextoNormal-IPCA"/>
      </w:pPr>
      <w:r>
        <w:t xml:space="preserve">Os parâmetros de lateralidade constituem uma classe separada. </w:t>
      </w:r>
      <w:r>
        <w:t>mirrored</w:t>
      </w:r>
      <w:r>
        <w:t xml:space="preserve"> no Flexy Beast e no Paraglider e </w:t>
      </w:r>
      <w:r>
        <w:t>LeftRight</w:t>
      </w:r>
      <w:r>
        <w:t xml:space="preserve"> no Phoenix são definidos pela interface. Desde a versão 14.19.0, estes campos possuem o papel </w:t>
      </w:r>
      <w:r>
        <w:t>laterality</w:t>
      </w:r>
      <w:r>
        <w:t>,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Cabealho2"/>
        <w:numPr>
          <w:ilvl w:val="1"/>
          <w:numId w:val="0"/>
        </w:numPr>
      </w:pPr>
      <w:r>
        <w:t>4.4 Iterações, refinamento e discussão intermédia</w:t>
      </w:r>
    </w:p>
    <w:p>
      <w:pPr>
        <w:pStyle w:val="TextoNormal-IPCA"/>
      </w:pPr>
      <w:r>
        <w:t>O desenvolvimento do modelo paramétrico não ocorreu, desde o início, como uma sequência linear orientada para uma solução estável e definitiva. Pelo contrário, evoluiu através de ciclos sucessivos de formulação, teste, correcção e reconfiguração, em coerência com a perspectiva de Research Through Design, segundo a qual o próprio processo projectual constitui um meio de produção de conhecimento (Zimmerman, Forlizzi, &amp; Evenson, 2007).</w:t>
      </w:r>
    </w:p>
    <w:p>
      <w:pPr>
        <w:pStyle w:val="TextoNormal-IPCA"/>
      </w:pPr>
      <w:r>
        <w:t>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TextoNormal-IPCA"/>
      </w:pPr>
      <w:r>
        <w:t>A necessidade de iteração tornou-se particularmente evidente porque a modelação paramétrica, apesar da sua aparência sistemática, depende de um equilíbrio delicado entre abstracção e concretização. Numa fase inicial, a estrutura do sistema assentou na definição de um conjunto de parâmetros julgados essenciais e numa primeira hierarquia entre variáveis de entrada, valores derivados e restrições.</w:t>
      </w:r>
    </w:p>
    <w:p>
      <w:pPr>
        <w:pStyle w:val="TextoNormal-IPCA"/>
      </w:pPr>
      <w:r>
        <w:t>À medida que o modelo foi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TextoNormal-IPCA"/>
      </w:pPr>
      <w:r>
        <w:t>Uma parte decisiva do refinamento incidiu na reorganização da arquitectura paramétrica. O objectivo passou de permitir alterações livres para garantir alterações controladas. Isto implicou reduzir redundâncias, clarificar dependências internas e distinguir os parâmetros estruturantes dos ajustamentos secundários. Procurou-se construir uma lógica hierárquica em que as relações críticas permanecessem explícitas e com origem identificável. Esta passagem favoreceu a manutenção do código e a solidez do modelo, dado que a literatura sublinha que a qualidade das relações paramétricas é determinante para famílias de produto adaptáveis e tecnicamente consistentes (Lei et al., 2016; Wiberg, Persson, &amp; Ölvander, 2019).</w:t>
      </w:r>
    </w:p>
    <w:p>
      <w:pPr>
        <w:pStyle w:val="TextoNormal-IPCA"/>
      </w:pPr>
      <w:r>
        <w:t>À medida que a estrutura geral se consolidou, o trabalho iterativo deslocou-se para a decomposição do sistema em módulos relativamente autónomos. Esta organização modular permitiu isolar problemas, testar componentes de forma localizada e introduzir alterações sem comprometer integralmente o comportamento global do modelo.</w:t>
      </w:r>
    </w:p>
    <w:p>
      <w:pPr>
        <w:pStyle w:val="TextoNormal-IPCA"/>
      </w:pPr>
      <w:r>
        <w:t>No contexto do presente projecto, esta estratégia revelou-se especialmente útil na articulação entre elementos estruturais, zonas de contacto, interfaces mecânicas e componentes de ligação. Para além de organizar o código, a divisão do modelo em módulos contribuiu para clarificar progressivamente a lógica do objecto, aproximando-o de uma estrutura configurável, mais sistemática e compatível com futuros contextos de interface ou de configuração apoiada (Nilsiam &amp; Pearce, 2017).</w:t>
      </w:r>
    </w:p>
    <w:p>
      <w:pPr>
        <w:pStyle w:val="TextoNormal-IPCA"/>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w:t>
      </w:r>
    </w:p>
    <w:p>
      <w:pPr>
        <w:pStyle w:val="TextoNormal-IPCA"/>
      </w:pPr>
      <w:r>
        <w:t>Nesse tipo de ensaio surgiram problemas como intersecções indevidas entre componentes, espessuras insuficientes em zonas críticas, desalinhamentos de interfaces, incompatibilidades entre dimensões derivadas e perdas localizadas de coerência proporcional. O refinamento incidiu, assim, na identificação de padrões recorrentes de instabilidade e conduziu à introdução progressiva de verificações condicionais, limites paramétricos e ajustes automáticos.</w:t>
      </w:r>
    </w:p>
    <w:p>
      <w:pPr>
        <w:pStyle w:val="TextoNormal-IPCA"/>
      </w:pPr>
      <w:r>
        <w:t>Outro eixo central do processo prendeu-se à relação entre personalização e fabrico. 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p>
    <w:p>
      <w:pPr>
        <w:pStyle w:val="TextoNormal-IPCA"/>
      </w:pPr>
      <w:r>
        <w:t>A evolução do modelo reforçou, nos casos examinados, a relevância de integrar critérios de Design for Additive Manufacturing na própria lógica paramétrica, em vez de os tratar como uma verificação externa e posterior. A literatura sobre DfAM aponta igualmente para a incorporação de tolerâncias, espessuras mínimas, orientações de fabrico e limites materiais desde a fase de concepção, reduzindo falhas e encurtando os ciclos de reimpressão e de correcção (Chtioui, Gaha, &amp; Benamara, 2023; Wiberg et al., 2019).</w:t>
      </w:r>
    </w:p>
    <w:p>
      <w:pPr>
        <w:pStyle w:val="TextoNormal-IPCA"/>
      </w:pPr>
      <w:r>
        <w:t>Em sistemas configuráveis para próteses, a coerência geométrica e a compatibilidade com o processo de impressão são insuficientes para assegurar a adequação ao uso. A articulação entre segmentos, o posicionamento relativo dos mecanismos, a distribuição de massa, as zonas sujeitas a esforço e a amplitude de movimento influenciam directamente o desempenho esperado do objecto. Por essa razão, várias versões do modelo implicaram reajustes que articularam a correcção formal da geometria com a procura de equilíbrio entre adaptação dimensional, comportamento funcional esperado e viabilidade material.</w:t>
      </w:r>
    </w:p>
    <w:p>
      <w:pPr>
        <w:pStyle w:val="TextoNormal-IPCA"/>
      </w:pPr>
      <w:r>
        <w:t>O refinamento correspondeu, assim, a uma negociação contínua entre a simplificação paramétrica e as exigências funcionais e materiais do protótipo.</w:t>
      </w:r>
    </w:p>
    <w:p>
      <w:pPr>
        <w:pStyle w:val="TextoNormal-IPCA"/>
      </w:pPr>
      <w:r>
        <w:t>Do ponto de vista metodológico, este percurso ultrapassa uma sucessão de tentativas e erros. Cada iteração reconfigurou a compreensão do problema e tornou mais explícitos aspectos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as alterações. O conhecimento produzido abrange o estado final do modelo e o processo de convergência crítica que permitiu delimitar o que pode ser parametrizado neste contexto (Zimmerman et al., 2007).</w:t>
      </w:r>
    </w:p>
    <w:p>
      <w:pPr>
        <w:pStyle w:val="TextoNormal-IPCA"/>
      </w:pPr>
      <w:r>
        <w:t>As iterações documentadas sustentam quatro observações circunscritas aos modelos avaliados. Primeiro, a modelação paramétrica baseada em código permitiu estruturar os sistemas configuráveis testados quando a arquitectura e as dependências entre parâmetros foram explicitadas. Segundo, as falhas observadas indicaram que a estabilidade paramétrica dependeu da qualidade das relações codificadas, e não apenas da quantidade de variáveis disponíveis.</w:t>
      </w:r>
    </w:p>
    <w:p>
      <w:pPr>
        <w:pStyle w:val="TextoNormal-IPCA"/>
      </w:pPr>
      <w:r>
        <w:t>Terceiro, a personalização examinada exigiu a articulação de critérios antropométricos, funcionais e produtivos, não se reduzindo a uma transformação geométrica. Por fim, a iteração funcionou como mecanismo de convergência: não encerrou definitivamente o sistema, mas estabilizou uma versão adequada às fases subsequentes de integração na plataforma e de avaliação técnica.</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No plano da segurança e do controlo de acesso, a arquitectura incorpora autenticação baseada em JSON Web Token (JWT), um mecanismo que permite verificar a identidade do utilizador através de credenciais digitais temporárias. A plataforma utiliza ainda tokens de actualização armazenados em cookies HttpOnly, isto é, cookies que não podem ser acedidos directamente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directamente na linha principal de execução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servidor. Esta decisão complementa a arquitectura híbrida descrita na secção anterior: o servidor conserva funções de autenticação, persistência e mediação com serviços externos, enquanto o navegador assume a computação geométrica directamente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acções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arquitectura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campanha complementar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campanha complementar com respostas de IA simuladas e previamente controladas. Esta campanha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campanha complementar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campanhas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A evidência de fabrico inclui 116 ficheiros 3MF gerados para três modelos e quatro idades,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docs/print-validation/bambulaba1_flexy_beast_teen_15_print.3mf, docs/print-validation/bambulaba1_unlimbed_phoenix_hand_teen_15_print_project.3mf, docs/print-validation/unlimbed_phoenix_hand_teen_15_print_project_PETG.3mf e docs/print-validation/prusa_mini_paraglider_15_teen_print_profile.3mf. Cada projecto identifica um caso adolescente de 15 anos, o material configurado e a impressora usada. Os parâmetros comparáveis foram mantidos nas restantes impressões, segundo os registos disponíveis.</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rPr>
          <w:cantSplit/>
        </w:trP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rPr>
          <w:cantSplit/>
        </w:trP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Dois projectos com camada de 0,24 mm, duas paredes e 15% de enchimento: peças atribuídas, respectivamente, a PLA e a Bambu PETG Basic; no PETG, bico a 255 °C e mesa a 70 °C</w:t>
            </w:r>
          </w:p>
        </w:tc>
        <w:tc>
          <w:tcPr>
            <w:tcW w:w="0" w:type="auto"/>
          </w:tcPr>
          <w:p>
            <w:pPr>
              <w:pStyle w:val="TextoNormal-IPCA"/>
              <w:jc w:val="left"/>
            </w:pPr>
            <w:r>
              <w:t>Oito conjuntos de peças em cada projecto; programa regista 0 arestas corrigidas e 0 faces degeneradas</w:t>
            </w:r>
          </w:p>
        </w:tc>
      </w:tr>
      <w:tr>
        <w:trPr>
          <w:cantSplit/>
        </w:trP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cantSplit/>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rPr>
          <w:cantSplit/>
        </w:trP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rPr>
          <w:cantSplit/>
        </w:trP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rPr>
          <w:cantSplit/>
        </w:trP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rPr>
          <w:cantSplit/>
        </w:trP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rPr>
          <w:cantSplit/>
        </w:trP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