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p14 w15">
  <w:body>
    <w:p>
      <w:pPr>
        <w:pStyle w:val="Normal"/>
        <w:bidi w:val="0"/>
        <w:jc w:val="left"/>
        <w:rPr>
          <w:lang w:val="pt-PT"/>
        </w:rPr>
      </w:pPr>
      <w:r>
        <w:rPr>
          <w:lang w:val="pt-PT"/>
        </w:rPr>
        <w:t>Projecto completo</w:t>
      </w:r>
    </w:p>
    <w:p>
      <w:pPr>
        <w:pStyle w:val="Normal"/>
        <w:bidi w:val="0"/>
        <w:jc w:val="left"/>
        <w:rPr>
          <w:lang w:val="pt-PT"/>
        </w:rPr>
      </w:pPr>
      <w:r>
        <w:rPr>
          <w:lang w:val="pt-PT"/>
        </w:rPr>
        <w:t>Versão do documento:0.4.8</w:t>
      </w:r>
    </w:p>
    <w:p>
      <w:pPr>
        <w:pStyle w:val="Normal"/>
        <w:bidi w:val="0"/>
        <w:jc w:val="left"/>
        <w:rPr>
          <w:lang w:val="pt-PT"/>
        </w:rPr>
      </w:pPr>
      <w:r>
        <w:rPr>
          <w:lang w:val="pt-PT"/>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expansã, a reprodutibilidade e a integração robusta de dados antropométricos, ou seja,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5715000" cy="3924300"/>
            <wp:effectExtent l="0" t="0" r="0" b="0"/>
            <wp:docPr id="1" name="Image 1" descr="Image 1"/>
            <wp:cNvGraphicFramePr>
              <a:graphicFrameLocks noChangeAspect="1"/>
            </wp:cNvGraphicFramePr>
            <a:graphic>
              <a:graphicData uri="http://schemas.openxmlformats.org/drawingml/2006/picture">
                <pic:pic>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t>1.3 Objetivos da investigação</w:t>
      </w:r>
    </w:p>
    <w:p>
      <w:pPr>
        <w:pStyle w:val="Heading3"/>
        <w:bidi w:val="0"/>
        <w:jc w:val="left"/>
        <w:rPr>
          <w:lang w:val="pt-PT"/>
        </w:rPr>
      </w:pPr>
      <w:r>
        <w:rPr>
          <w:lang w:val="pt-PT"/>
        </w:rPr>
        <w:t>1.3.1 Objetivo geral</w:t>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Normal"/>
        <w:bidi w:val="0"/>
        <w:jc w:val="left"/>
        <w:rPr>
          <w:lang w:val="pt-PT"/>
        </w:rPr>
      </w:pPr>
      <w:r>
        <w:rPr>
          <w:lang w:val="pt-PT"/>
        </w:rP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Quote"/>
        <w:bidi w:val="0"/>
        <w:ind w:left="720" w:right="720"/>
        <w:jc w:val="left"/>
        <w:rPr>
          <w:lang w:val="pt-PT"/>
        </w:rPr>
      </w:pPr>
      <w:r>
        <w:rPr>
          <w:lang w:val="pt-PT"/>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Quote"/>
        <w:bidi w:val="0"/>
        <w:ind w:left="720" w:right="720"/>
        <w:jc w:val="left"/>
        <w:rPr>
          <w:lang w:val="pt-PT"/>
        </w:rPr>
      </w:pPr>
      <w:r>
        <w:rPr>
          <w:lang w:val="pt-PT"/>
        </w:rPr>
        <w:t>[!Quem diz que são 4?] 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w:t>
      </w:r>
      <w:r>
        <w:rPr/>
        <w:commentReference w:id="0"/>
      </w:r>
      <w:r>
        <w:rPr/>
        <w:commentReference w:id="1"/>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[^1]proprioceptivo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drawing>
          <wp:inline distT="0" distB="0" distL="0" distR="0">
            <wp:extent cx="5715000" cy="5467350"/>
            <wp:effectExtent l="0" t="0" r="0" b="0"/>
            <wp:docPr id="2" name="Image 2" descr="Image 2"/>
            <wp:cNvGraphicFramePr>
              <a:graphicFrameLocks noChangeAspect="1"/>
            </wp:cNvGraphicFramePr>
            <a:graphic>
              <a:graphicData uri="http://schemas.openxmlformats.org/drawingml/2006/picture">
                <pic:pic>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noChangeAspect="1"/>
            </wp:cNvGraphicFramePr>
            <a:graphic>
              <a:graphicData uri="http://schemas.openxmlformats.org/drawingml/2006/picture">
                <pic:pic>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(APA 7):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 xml:space="preserve">O design industrial, no contexto da saúde e das tecnologias de apoio, é reconhecido progressivamente como uma disciplina mediadora entre as necessidades humanas, os contextos de utilização e os sistemas técnicos regulados. </w:t>
      </w:r>
      <w:commentRangeStart w:id="2"/>
      <w:r>
        <w:rPr>
          <w:lang w:val="pt-PT"/>
        </w:rPr>
        <w:t xml:space="preserve">A literatura evidencia que o design não se limita à configuração formal de produtos, </w:t>
      </w:r>
      <w:r>
        <w:rPr>
          <w:lang w:val="pt-PT"/>
        </w:rPr>
      </w:r>
      <w:commentRangeEnd w:id="2"/>
      <w:r>
        <w:commentReference w:id="2"/>
      </w:r>
      <w:r>
        <w:rPr>
          <w:lang w:val="pt-PT"/>
        </w:rPr>
        <w:t>mas também desempenha um papel estruturante na promoção da inclusão, da autonomia e da participação social, ao modelar a relação entre indivíduos e ambientes por meio de artefactos e sistemas. 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(APA 7):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estabelece requisitos específicos para a aplicação de engenharia de usabilidade em dispositivos médicos, reforçando a integração formal de testes formativos e sumativos no processo regulado (Fisher &amp; Johansen, 2020 (#ref-fisher-2020); Millet et al., 2018 (#ref-millet-2018)).</w:t>
      </w:r>
      <w:r>
        <w:rPr/>
        <w:commentReference w:id="3"/>
      </w:r>
      <w:r>
        <w:rPr/>
        <w:commentReference w:id="4"/>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t>Design Participativo e Co-design</w:t>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por meio do uso de protocolos sistemáticos, como o PRISMA, e de instrumentos de avaliação crítica, o que reflete uma crescente preocupação em fundamentar decisões de design com base empírica robusta (Chapman et al., 2025 (#ref-chapman-2025)).</w:t>
      </w:r>
      <w:r>
        <w:rPr/>
        <w:commentReference w:id="5"/>
      </w:r>
      <w:r>
        <w:rPr/>
        <w:commentReference w:id="6"/>
      </w:r>
    </w:p>
    <w:p>
      <w:pPr>
        <w:pStyle w:val="Heading3"/>
        <w:bidi w:val="0"/>
        <w:jc w:val="left"/>
        <w:rPr>
          <w:lang w:val="pt-PT"/>
        </w:rPr>
      </w:pPr>
      <w:r>
        <w:rPr>
          <w:lang w:val="pt-PT"/>
        </w:rPr>
        <w:t>Desafios e lacunas</w:t>
      </w:r>
    </w:p>
    <w:p>
      <w:pPr>
        <w:pStyle w:val="Normal"/>
        <w:bidi w:val="0"/>
        <w:jc w:val="left"/>
        <w:rPr>
          <w:lang w:val="pt-PT"/>
        </w:rPr>
      </w:pPr>
      <w:r>
        <w:rPr>
          <w:lang w:val="pt-PT"/>
        </w:rPr>
        <w:t>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w:t>
      </w:r>
      <w:r>
        <w:rPr/>
        <w:commentReference w:id="7"/>
      </w:r>
      <w:r>
        <w:rPr/>
        <w:commentReference w:id="8"/>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3"/>
        <w:bidi w:val="0"/>
        <w:jc w:val="left"/>
        <w:rPr>
          <w:lang w:val="pt-PT"/>
        </w:rPr>
      </w:pPr>
      <w:r>
        <w:rPr>
          <w:lang w:val="pt-PT"/>
        </w:rPr>
        <w:t>2.3 Fabricação Aditiva e parametrização no design de produto</w:t>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drawing>
          <wp:inline distT="0" distB="0" distL="0" distR="0">
            <wp:extent cx="5715000" cy="3924300"/>
            <wp:effectExtent l="0" t="0" r="0" b="0"/>
            <wp:docPr id="4" name="Image 4" descr="Image 4"/>
            <wp:cNvGraphicFramePr>
              <a:graphicFrameLocks noChangeAspect="1"/>
            </wp:cNvGraphicFramePr>
            <a:graphic>
              <a:graphicData uri="http://schemas.openxmlformats.org/drawingml/2006/picture">
                <pic:pic>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designs”[^7]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 Em vez de um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[^8]escalados (Lim et al., 2018 (#ref-lim-2018)).</w:t>
      </w:r>
      <w:r>
        <w:rPr/>
        <w:commentReference w:id="9"/>
      </w:r>
      <w:r>
        <w:rPr/>
        <w:commentReference w:id="10"/>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r>
        <w:rPr/>
        <w:commentReference w:id="11"/>
      </w:r>
      <w:r>
        <w:rPr/>
        <w:commentReference w:id="12"/>
      </w:r>
      <w:r>
        <w:rPr/>
        <w:commentReference w:id="13"/>
      </w:r>
      <w:r>
        <w:rPr/>
        <w:commentReference w:id="14"/>
      </w:r>
    </w:p>
    <w:p>
      <w:pPr>
        <w:pStyle w:val="Heading3"/>
        <w:bidi w:val="0"/>
        <w:jc w:val="left"/>
        <w:rPr>
          <w:lang w:val="pt-PT"/>
        </w:rPr>
      </w:pPr>
      <w:r>
        <w:rPr>
          <w:lang w:val="pt-PT"/>
        </w:rPr>
        <w:t>Configuradores e Cocriação Digital</w:t>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drawing>
          <wp:inline distT="0" distB="0" distL="0" distR="0">
            <wp:extent cx="5715000" cy="3019425"/>
            <wp:effectExtent l="0" t="0" r="0" b="0"/>
            <wp:docPr id="5" name="Image 5" descr="Image 5"/>
            <wp:cNvGraphicFramePr>
              <a:graphicFrameLocks noChangeAspect="1"/>
            </wp:cNvGraphicFramePr>
            <a:graphic>
              <a:graphicData uri="http://schemas.openxmlformats.org/drawingml/2006/picture">
                <pic:pic>
                  <pic:nvPicPr>
                    <pic:cNvPr id="5" name="Image 5" descr="Image 5"/>
                    <pic:cNvPicPr>
                      <a:picLocks noChangeAspect="1" noChangeArrowheads="1"/>
                    </pic:cNvPicPr>
                  </pic:nvPicPr>
                  <pic:blipFill>
                    <a:blip r:embed="rId8"/>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 xml:space="preserve">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w:t>
      </w:r>
      <w:r>
        <w:rPr>
          <w:i/>
          <w:lang w:val="pt-PT"/>
        </w:rPr>
        <w:t>mass customization</w:t>
      </w:r>
      <w:r>
        <w:rPr>
          <w:lang w:val="pt-PT"/>
        </w:rPr>
        <w:t xml:space="preserve"> e </w:t>
      </w:r>
      <w:r>
        <w:rPr>
          <w:i/>
          <w:lang w:val="pt-PT"/>
        </w:rPr>
        <w:t>mass personalization</w:t>
      </w:r>
      <w:r>
        <w:rPr>
          <w:lang w:val="pt-PT"/>
        </w:rPr>
        <w:t>, reduzindo custos marginais ao eliminar a utilização de moldes e dispositivos específicos de [^12]fabrico (Lei et al., 2016 (#ref-lei-2016); Stralen, 2018 (#ref-stralen-2018)).</w:t>
      </w:r>
      <w:r>
        <w:rPr/>
        <w:commentReference w:id="15"/>
      </w:r>
      <w:r>
        <w:rPr/>
        <w:commentReference w:id="16"/>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 para selecionar soluções alinhadas com objetivos específicos (Lei et al., 2016 (#ref-lei-2016); Yao et al., 2016 (#ref-yao-2016)).</w:t>
      </w:r>
      <w:r>
        <w:rPr/>
        <w:commentReference w:id="17"/>
      </w:r>
      <w:r>
        <w:rPr/>
        <w:commentReference w:id="18"/>
      </w:r>
    </w:p>
    <w:p>
      <w:pPr>
        <w:pStyle w:val="Normal"/>
        <w:bidi w:val="0"/>
        <w:jc w:val="left"/>
        <w:rPr>
          <w:lang w:val="pt-PT"/>
        </w:rPr>
      </w:pPr>
      <w:r>
        <w:rPr>
          <w:lang w:val="pt-PT"/>
        </w:rP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t>Implicações para o Design Industrial</w:t>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r>
        <w:rPr/>
        <w:commentReference w:id="19"/>
      </w:r>
      <w:r>
        <w:rPr/>
        <w:commentReference w:id="20"/>
      </w:r>
      <w:r>
        <w:rPr/>
        <w:commentReference w:id="21"/>
      </w:r>
      <w:r>
        <w:rPr/>
        <w:commentReference w:id="22"/>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noChangeAspect="1"/>
            </wp:cNvGraphicFramePr>
            <a:graphic>
              <a:graphicData uri="http://schemas.openxmlformats.org/drawingml/2006/picture">
                <pic:pic>
                  <pic:nvPicPr>
                    <pic:cNvPr id="6" name="Image 6" descr="Image 6"/>
                    <pic:cNvPicPr>
                      <a:picLocks noChangeAspect="1" noChangeArrowheads="1"/>
                    </pic:cNvPicPr>
                  </pic:nvPicPr>
                  <pic:blipFill>
                    <a:blip r:embed="rId9"/>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(APA 7): Yu, A., Yick, K. L., Ng, S. P., &amp; Yip, J. (2013). 2D and 3D anatomical analyses of hand dimensions for custom-made gloves. Applied Ergonomics, 44, 381-392.</w:t>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ListNumber"/>
        <w:bidi w:val="0"/>
        <w:ind w:hanging="360" w:left="720"/>
        <w:jc w:val="left"/>
        <w:rPr>
          <w:lang w:val="pt-PT"/>
        </w:rPr>
      </w:pPr>
      <w:r>
        <w:rPr>
          <w:lang w:val="pt-PT"/>
        </w:rPr>
        <w:t>1. A antropometria manual inclui medições em posturas normalizadas, com instrumentos clínicos e de ergonomia. Mantém relevância em contextos de acessibilidade clínica e de monitorização simples (por exemplo, circunferências para inferir variações do coto). Contudo, assinala-se que as medidas de circunferência podem ser um proxy frágil para alterações reais de volume, dependendo da geometria e da distribuição dos tecidos, o que limita a sua fiabilidade para decisões de ajuste fino (Ibrahim et al., 2024 (#ref-ibrahim-2024)).</w:t>
      </w:r>
      <w:r>
        <w:rPr/>
        <w:commentReference w:id="23"/>
      </w:r>
      <w:r>
        <w:rPr/>
        <w:commentReference w:id="24"/>
      </w:r>
    </w:p>
    <w:p>
      <w:pPr>
        <w:pStyle w:val="ListNumber"/>
        <w:bidi w:val="0"/>
        <w:ind w:hanging="360" w:left="720"/>
        <w:jc w:val="left"/>
        <w:rPr>
          <w:lang w:val="pt-PT"/>
        </w:rPr>
      </w:pPr>
      <w:r>
        <w:rPr>
          <w:lang w:val="pt-PT"/>
        </w:rPr>
        <w:t>2. Digitalização 3D (scanning óptico)capta a superfície corporal em nuvens de pontos ou malhas, que são posteriormente limpas e convertidas em modelos utilizáveis (frequentemente em STL) para CAD e fabrico. É descrita como facilitadora de fluxos de personalização e pode ser combinada com a automatização (por exemplo, correspondência de características anatómicas) para reduzir o trabalho manual. A consistência pode variar conforme a complexidade da forma, e desafios de repetibilidade são relatados quando a geometria é irregular, como em cotos complexos (Squibb et al., 2024 (#ref-squibb-2024)).</w:t>
      </w:r>
      <w:r>
        <w:rPr/>
        <w:commentReference w:id="25"/>
      </w:r>
      <w:r>
        <w:rPr/>
        <w:commentReference w:id="26"/>
      </w:r>
    </w:p>
    <w:p>
      <w:pPr>
        <w:pStyle w:val="ListNumber"/>
        <w:bidi w:val="0"/>
        <w:ind w:hanging="360" w:left="720"/>
        <w:jc w:val="left"/>
        <w:rPr>
          <w:lang w:val="pt-P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Em síntese, as ortóteses constituem uma das abordagens mais adequadas para a aquisição da geometria 3D do corpo em fluxos personalizados (Silva et al., 2024 (#ref-silva-2024)).</w:t>
      </w:r>
      <w:r>
        <w:rPr/>
        <w:commentReference w:id="27"/>
      </w:r>
      <w:r>
        <w:rPr/>
        <w:commentReference w:id="28"/>
      </w:r>
    </w:p>
    <w:p>
      <w:pPr>
        <w:pStyle w:val="ListNumber"/>
        <w:bidi w:val="0"/>
        <w:ind w:hanging="360" w:left="720"/>
        <w:jc w:val="left"/>
        <w:rPr>
          <w:lang w:val="pt-PT"/>
        </w:rPr>
      </w:pPr>
      <w:r>
        <w:rPr>
          <w:lang w:val="pt-PT"/>
        </w:rPr>
        <w:t>4. Imagens médicas (CT/MRI) permitem obter geometria externa e, em alguns casos, informação interna (por exemplo, estruturas ósseas), o que sustenta modelos mais ricos e abordagens como a modelação estatística de forma. Contudo, envolve maior custo e menor acessibilidade e, no caso do CT, implica considerações associadas à exposição à radiação e à dependência do contexto hospitalar.</w:t>
      </w:r>
      <w:r>
        <w:rPr/>
        <w:commentReference w:id="29"/>
      </w:r>
      <w:r>
        <w:rPr/>
        <w:commentReference w:id="30"/>
      </w:r>
      <w:r>
        <w:rPr/>
        <w:commentReference w:id="31"/>
      </w:r>
      <w:r>
        <w:rPr/>
        <w:commentReference w:id="32"/>
      </w:r>
    </w:p>
    <w:p>
      <w:pPr>
        <w:pStyle w:val="ListNumber"/>
        <w:bidi w:val="0"/>
        <w:ind w:hanging="360" w:left="720"/>
        <w:jc w:val="left"/>
        <w:rPr>
          <w:lang w:val="pt-PT"/>
        </w:rPr>
      </w:pPr>
      <w:r>
        <w:rPr>
          <w:lang w:val="pt-PT"/>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“hot spots” térmicos e flutuações de volume do coto. Estes métodos ajudam a ligar decisões de forma/retificação a desfechos de conforto e segurança, embora, em muitos casos, sejam descritos como ainda experimentais e com barreiras à adoção clínica (Ibrahim et al., 2024 (#ref-ibrahim-2024); Young et al., 2023 (#ref-young-2023)).</w:t>
      </w:r>
      <w:r>
        <w:rPr/>
        <w:commentReference w:id="33"/>
      </w:r>
      <w:r>
        <w:rPr/>
        <w:commentReference w:id="34"/>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 – Métodos multivariados e aprendizagem estatística: usados quando se trabalha com dados de alta dimensionalidade (malhas, secções, nuvens de pontos), permitindo extrair padrões de retificação ou modos de variação. – Modelos preditivos e modelação estatística de forma (SSM): aplicados para reconstruir a geometria a partir de medições reduzidas e inferir relações entre a superfície e a anatomia interna, com PCA e regressões como ferramentas frequentes, embora limitados por tamanhos amostrais reduzidos em vários estudos (Sunderland et al., 2024 (#ref-sunderland-2024)).</w:t>
      </w:r>
      <w:r>
        <w:rPr/>
        <w:commentReference w:id="35"/>
      </w:r>
      <w:r>
        <w:rPr/>
        <w:commentReference w:id="36"/>
      </w:r>
      <w:r>
        <w:rPr/>
        <w:commentReference w:id="37"/>
      </w:r>
      <w:r>
        <w:rPr/>
        <w:commentReference w:id="38"/>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bidi w:val="0"/>
        <w:jc w:val="left"/>
        <w:rPr>
          <w:lang w:val="pt-PT"/>
        </w:rPr>
      </w:pPr>
      <w:r>
        <w:rPr>
          <w:lang w:val="pt-PT"/>
        </w:rPr>
        <w:t>Evidência por tipo de dispositivo</w:t>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lang w:val="pt-PT"/>
        </w:rPr>
        <w:t xml:space="preserve">Encaixes protésicos e ortóteses: forte ênfase na digitalização 3D, na análise quantitativa de malhas e na validação por meio de métricas de interface e/ou de simulação (FEA). Em workflows digitais de fabrico, verificam-se diferenças geométricas relevantes entre soluções manuais e digitais, reforçando que “digitalizar” </w:t>
      </w:r>
      <w:commentRangeStart w:id="39"/>
      <w:r>
        <w:rPr>
          <w:lang w:val="pt-PT"/>
        </w:rPr>
        <w:t>não se limita a mudar de formato, mas também a alterar o resultado do ajuste final</w:t>
      </w:r>
      <w:r>
        <w:rPr>
          <w:lang w:val="pt-PT"/>
        </w:rPr>
      </w:r>
      <w:commentRangeEnd w:id="39"/>
      <w:r>
        <w:commentReference w:id="39"/>
      </w:r>
      <w:r>
        <w:rPr>
          <w:lang w:val="pt-PT"/>
        </w:rPr>
        <w:t xml:space="preserve"> (Kannenberg et al., 2024 (#ref-kannenberg-2024); Silva et al., 2024 (#ref-silva-2024)). – Próteses de membro superior: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intervalo entre a captura e a obtenção de um modelo pronto para fabricação (Chainando et al., 2025 (#ref-chainando-2025); Çıklaçandır et al., 2022 (#ref-cklacandr-2022)). –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t>Limitações, lacunas e recomendações</w:t>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t>Estruturação de dados</w:t>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noChangeAspect="1"/>
            </wp:cNvGraphicFramePr>
            <a:graphic>
              <a:graphicData uri="http://schemas.openxmlformats.org/drawingml/2006/picture">
                <pic:pic>
                  <pic:nvPicPr>
                    <pic:cNvPr id="7" name="Image 7" descr="Image 7"/>
                    <pic:cNvPicPr>
                      <a:picLocks noChangeAspect="1" noChangeArrowheads="1"/>
                    </pic:cNvPicPr>
                  </pic:nvPicPr>
                  <pic:blipFill>
                    <a:blip r:embed="rId10"/>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Fonte original (APA 7):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bidi w:val="0"/>
        <w:jc w:val="left"/>
        <w:rPr>
          <w:lang w:val="pt-PT"/>
        </w:rPr>
      </w:pPr>
      <w:r>
        <w:rPr>
          <w:lang w:val="pt-PT"/>
        </w:rPr>
        <w:t>O que é a Inteligência Artificial</w:t>
      </w:r>
    </w:p>
    <w:p>
      <w:pPr>
        <w:pStyle w:val="Normal"/>
        <w:bidi w:val="0"/>
        <w:jc w:val="left"/>
        <w:rPr>
          <w:lang w:val="pt-PT"/>
        </w:rPr>
      </w:pPr>
      <w:r>
        <w:rPr>
          <w:lang w:val="pt-PT"/>
        </w:rPr>
        <w:t>De forma ampla, a IA pode ser entendida como um conjunto de métodos computacionais orientados a executar tarefas que requerem aprendizagem, reconhecimento de padrões, inferência ou geração de respostas com base em dados. Esta definição é útil porque evita tratar a IA como uma entidade única ou um sinônimo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r>
        <w:rPr/>
        <w:commentReference w:id="40"/>
      </w:r>
      <w:r>
        <w:rPr/>
        <w:commentReference w:id="41"/>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r>
        <w:rPr/>
        <w:commentReference w:id="42"/>
      </w:r>
      <w:r>
        <w:rPr/>
        <w:commentReference w:id="43"/>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t>IA ao longo do processo de design</w:t>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Isto não significa, porém, que a IA seja igualmente eficaz em todas as etapas. A literatura sugere que seu valor tende a ser maior em tarefas de exploração divergente, análise extensiva e automatização parcial, enquanto as etapas de convergência, enquadramento contextual, decisão ética e validação final continuam a depender fortemente do julgamento humano. A IA pode ampliar o que é possível explorar e tornar mais rápida a comparação entre alternativas, mas não elimina a necessidade de decidir o que faz sentido desenvolver, para quem, em que contexto e com que consequências (Ao et al., 2025 (#ref-ao-2025); Choudhury et al., 2025 (#ref-choudhury-2025); Virós-i-Martin &amp; Selva, 2021 (#ref-viros-i-martin-2021)).</w:t>
      </w:r>
      <w:r>
        <w:rPr/>
        <w:commentReference w:id="44"/>
      </w:r>
      <w:r>
        <w:rPr/>
        <w:commentReference w:id="45"/>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t>Neste quadro, a questão central deixa de ser se a IA substitui o designer e passa a ser como ela redistribui a agência no processo de projeto. A literatura descreve uma deslocação do designer, enquanto gerador exclusivo de forma, para um papel mais híbrido de orientador, curador, intérprete e decisor estratégico. Em vez de desaparecer, o papel humano torna-se mais exigente em tarefas como a formulação do problema, a definição de critérios, a leitura contextual, a seleção entre alternativas e a justificação das decisões. Esta transformação é particularmente relevante em domínios sensíveis, onde a adequação ao utilizador, a responsabilidade técnica e a aceitabilidade ética não podem ser delegadas a um sistema treinado apenas com dados passados (Figoli et al., 2022 (#ref-figoli-2022); Kadenhe et al., 2025 (#ref-kadenhe-2025); Virós-i-Martin &amp; Selva, 2021 (#ref-viros-i-martin-2021)).</w:t>
      </w:r>
      <w:r>
        <w:rPr/>
        <w:commentReference w:id="46"/>
      </w:r>
      <w:r>
        <w:rPr/>
        <w:commentReference w:id="47"/>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Normal"/>
        <w:bidi w:val="0"/>
        <w:jc w:val="left"/>
        <w:rPr>
          <w:highlight w:val="none"/>
          <w:shd w:fill="FFFF00" w:val="clear"/>
        </w:rPr>
      </w:pPr>
      <w:r>
        <w:rPr>
          <w:shd w:fill="FFFF00" w:val="clear"/>
          <w:lang w:val="pt-PT"/>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lang w:val="pt-PT"/>
        </w:rPr>
      </w:pPr>
      <w:r>
        <w:rPr>
          <w:shd w:fill="FFFF00" w:val="clear"/>
          <w:lang w:val="pt-PT"/>
        </w:rPr>
        <w:t>O meta-design aprofunda esta lógica ao defender a participação “em uso”,</w:t>
      </w:r>
      <w:r>
        <w:rPr/>
        <w:commentReference w:id="48"/>
      </w:r>
      <w:r>
        <w:rPr/>
        <w:commentReference w:id="49"/>
      </w:r>
      <w:r>
        <w:rPr>
          <w:shd w:fill="FFFF00" w:val="clear"/>
          <w:lang w:val="pt-PT"/>
        </w:rPr>
        <w:t xml:space="preserve">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commentReference w:id="50"/>
      </w:r>
      <w:r>
        <w:rPr/>
        <w:commentReference w:id="51"/>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noChangeAspect="1"/>
            </wp:cNvGraphicFramePr>
            <a:graphic>
              <a:graphicData uri="http://schemas.openxmlformats.org/drawingml/2006/picture">
                <pic:pic>
                  <pic:nvPicPr>
                    <pic:cNvPr id="8" name="Image 8" descr="Image 8"/>
                    <pic:cNvPicPr>
                      <a:picLocks noChangeAspect="1" noChangeArrowheads="1"/>
                    </pic:cNvPicPr>
                  </pic:nvPicPr>
                  <pic:blipFill>
                    <a:blip r:embed="rId11"/>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Fonte original (APA 7):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 xml:space="preserve">A literatura identifica, contudo, riscos como a </w:t>
      </w:r>
      <w:r>
        <w:rPr>
          <w:shd w:fill="FFFF00" w:val="clear"/>
          <w:lang w:val="pt-PT"/>
        </w:rPr>
        <w:t>participation overload</w:t>
      </w:r>
      <w:r>
        <w:rPr/>
        <w:commentReference w:id="52"/>
      </w:r>
      <w:r>
        <w:rPr/>
        <w:commentReference w:id="53"/>
      </w:r>
      <w:r>
        <w:rPr>
          <w:lang w:val="pt-PT"/>
        </w:rPr>
        <w:t>, isto é, a transferência excessiva de carga de trabalho e de decisão para os utilizadores, o que requer mecanismos de apoio, curadoria e reutilização para tornar a participação sustentável (Fischer et al., 2017 (#ref-fischer-2017)).</w:t>
      </w:r>
    </w:p>
    <w:p>
      <w:pPr>
        <w:pStyle w:val="Normal"/>
        <w:bidi w:val="0"/>
        <w:jc w:val="left"/>
        <w:rPr>
          <w:lang w:val="pt-PT"/>
        </w:rPr>
      </w:pPr>
      <w:r>
        <w:rPr>
          <w:lang w:val="pt-PT"/>
        </w:rPr>
        <w:t xml:space="preserve">Em paralelo, o conceito de </w:t>
      </w:r>
      <w:r>
        <w:rPr>
          <w:shd w:fill="FFFF00" w:val="clear"/>
          <w:lang w:val="pt-PT"/>
        </w:rPr>
        <w:t>Software Shaping Workshop</w:t>
      </w:r>
      <w:r>
        <w:rPr/>
        <w:commentReference w:id="54"/>
      </w:r>
      <w:r>
        <w:rPr/>
        <w:commentReference w:id="55"/>
      </w:r>
      <w:r>
        <w:rPr>
          <w:lang w:val="pt-PT"/>
        </w:rPr>
        <w:t xml:space="preserve"> operacionaliza o meta-design como um “workshop virtual” composto por ferramentas familiares adaptadas à cultura e às competências de uma comunidade. Em contextos de reabilitação e assistência, este paradigma manifesta-se em sistemas que fornecem a cuidadores e terapeutas interfaces do tipo editor, permitindo adaptar scripts, exercícios e conteúdos sem necessidade de programação,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highlight w:val="none"/>
          <w:shd w:fill="FFFF00" w:val="clear"/>
        </w:rPr>
      </w:pPr>
      <w:r>
        <w:rPr>
          <w:shd w:fill="FFFF00"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Que fatores promovem adesão e que barreiras dificultam continuidade</w:t>
            </w:r>
          </w:p>
        </w:tc>
      </w:tr>
    </w:tbl>
    <w:p>
      <w:pPr>
        <w:pStyle w:val="Normal"/>
        <w:bidi w:val="0"/>
        <w:jc w:val="left"/>
        <w:rPr>
          <w:highlight w:val="none"/>
          <w:shd w:fill="FFFF00" w:val="clear"/>
        </w:rPr>
      </w:pPr>
      <w:r>
        <w:rPr>
          <w:shd w:fill="FFFF00" w:val="clear"/>
        </w:rPr>
      </w:r>
    </w:p>
    <w:p>
      <w:pPr>
        <w:pStyle w:val="Normal"/>
        <w:bidi w:val="0"/>
        <w:jc w:val="left"/>
        <w:rPr/>
      </w:pPr>
      <w:r>
        <w:rPr>
          <w:shd w:fill="FFFF00" w:val="clear"/>
          <w:lang w:val="pt-PT"/>
        </w:rPr>
        <w:t xml:space="preserve">Fonte adaptada. Referência original (APA 7): Akasaka, M., Veeckman, C., Georges, A., Schuurman, D., &amp; Coorevits, L. (2022). A framework for configuring participation in living labs. </w:t>
      </w:r>
      <w:hyperlink r:id="rId12">
        <w:r>
          <w:rPr>
            <w:rStyle w:val="Hyperlink"/>
            <w:shd w:fill="FFFF00" w:val="clear"/>
            <w:lang w:val="pt-PT"/>
          </w:rPr>
          <w:t>https://www.semanticscholar.org/paper/305d55af5fda06b4d1b33e7d29c1f16d1b7ea488</w:t>
        </w:r>
        <w:r>
          <w:rPr>
            <w:rStyle w:val="Hyperlink"/>
          </w:rPr>
          <w:commentReference w:id="56"/>
        </w:r>
        <w:r>
          <w:rPr>
            <w:rStyle w:val="Hyperlink"/>
          </w:rPr>
          <w:commentReference w:id="57"/>
        </w:r>
      </w:hyperlink>
    </w:p>
    <w:p>
      <w:pPr>
        <w:pStyle w:val="Normal"/>
        <w:bidi w:val="0"/>
        <w:jc w:val="left"/>
        <w:rPr>
          <w:lang w:val="pt-PT"/>
        </w:rPr>
      </w:pPr>
      <w:r>
        <w:rP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ListNumber"/>
        <w:bidi w:val="0"/>
        <w:ind w:hanging="360" w:left="720"/>
        <w:jc w:val="left"/>
        <w:rPr>
          <w:lang w:val="pt-PT"/>
        </w:rPr>
      </w:pPr>
      <w:r>
        <w:rPr>
          <w:lang w:val="pt-PT"/>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ListNumber"/>
        <w:bidi w:val="0"/>
        <w:ind w:hanging="360" w:left="720"/>
        <w:jc w:val="left"/>
        <w:rPr>
          <w:lang w:val="pt-PT"/>
        </w:rPr>
      </w:pPr>
      <w:r>
        <w:rPr>
          <w:lang w:val="pt-PT"/>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ListNumber"/>
        <w:bidi w:val="0"/>
        <w:ind w:hanging="360" w:left="720"/>
        <w:jc w:val="left"/>
        <w:rPr>
          <w:lang w:val="pt-PT"/>
        </w:rPr>
      </w:pPr>
      <w:r>
        <w:rPr>
          <w:lang w:val="pt-PT"/>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Normal"/>
        <w:bidi w:val="0"/>
        <w:jc w:val="left"/>
        <w:rPr>
          <w:lang w:val="pt-PT"/>
        </w:rPr>
      </w:pPr>
      <w:r>
        <w:rPr>
          <w:lang w:val="pt-PT"/>
        </w:rPr>
        <w:t>Em saúde, plataformas baseadas em</w:t>
      </w:r>
      <w:r>
        <w:rPr>
          <w:i/>
          <w:iCs/>
          <w:lang w:val="pt-PT"/>
        </w:rPr>
        <w:t xml:space="preserve"> digital twins</w:t>
      </w:r>
      <w:r>
        <w:rPr/>
        <w:commentReference w:id="58"/>
      </w:r>
      <w:r>
        <w:rPr/>
        <w:commentReference w:id="59"/>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 xml:space="preserve">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w:t>
      </w:r>
      <w:commentRangeStart w:id="60"/>
      <w:r>
        <w:rPr>
          <w:lang w:val="pt-PT"/>
        </w:rPr>
        <w:t>personalização não se limita à interface, estendendo-se à seleção de exercícios, ao</w:t>
      </w:r>
      <w:r>
        <w:rPr>
          <w:lang w:val="pt-PT"/>
        </w:rPr>
      </w:r>
      <w:commentRangeEnd w:id="60"/>
      <w:r>
        <w:commentReference w:id="60"/>
      </w:r>
      <w:r>
        <w:rPr>
          <w:lang w:val="pt-PT"/>
        </w:rPr>
        <w:t xml:space="preserve">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 Estudos sobre próteses pediátricas, serviços de reabilitação assistiva e modelos como o Victoria Hand Project</w:t>
      </w:r>
      <w:r>
        <w:rPr/>
        <w:commentReference w:id="61"/>
      </w:r>
      <w:r>
        <w:rPr/>
        <w:commentReference w:id="62"/>
      </w:r>
      <w:r>
        <w:rPr>
          <w:lang w:val="pt-PT"/>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rastreabilidade, segurança e qualidade,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FFFF00" w:val="clear"/>
          <w:lang w:val="pt-PT"/>
        </w:rPr>
        <w:t>por nível de prontidão tecnológica, ou Technology Readiness Level (TRL),</w:t>
      </w:r>
      <w:r>
        <w:rPr/>
        <w:commentReference w:id="63"/>
      </w:r>
      <w:r>
        <w:rPr/>
        <w:commentReference w:id="64"/>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noChangeAspect="1"/>
            </wp:cNvGraphicFramePr>
            <a:graphic>
              <a:graphicData uri="http://schemas.openxmlformats.org/drawingml/2006/picture">
                <pic:pic>
                  <pic:nvPicPr>
                    <pic:cNvPr id="9" name="Image 9" descr="Image 9"/>
                    <pic:cNvPicPr>
                      <a:picLocks noChangeAspect="1" noChangeArrowheads="1"/>
                    </pic:cNvPicPr>
                  </pic:nvPicPr>
                  <pic:blipFill>
                    <a:blip r:embed="rId13"/>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r>
        <w:rPr/>
        <w:commentReference w:id="65"/>
      </w:r>
      <w:r>
        <w:rPr/>
        <w:commentReference w:id="66"/>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 xml:space="preserve">Esta desarticulação tem implicações diretas para o design. Sem métricas ecologicamente válidas e sensíveis às prioridades do utilizador, torna-se difícil orientar decisões de projeto para benefícios significativos e sustentados. Como consequência, </w:t>
      </w:r>
      <w:commentRangeStart w:id="67"/>
      <w:r>
        <w:rPr>
          <w:lang w:val="pt-PT"/>
        </w:rPr>
        <w:t>podem ocorrer melhorias técnicas que não se traduzem necessariamente em aceitação, integração f</w:t>
      </w:r>
      <w:r>
        <w:rPr>
          <w:lang w:val="pt-PT"/>
        </w:rPr>
      </w:r>
      <w:commentRangeEnd w:id="67"/>
      <w:r>
        <w:commentReference w:id="67"/>
      </w:r>
      <w:r>
        <w:rPr>
          <w:lang w:val="pt-PT"/>
        </w:rPr>
        <w:t>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noChangeAspect="1"/>
            </wp:cNvGraphicFramePr>
            <a:graphic>
              <a:graphicData uri="http://schemas.openxmlformats.org/drawingml/2006/picture">
                <pic:pic>
                  <pic:nvPicPr>
                    <pic:cNvPr id="10" name="Image 10" descr="Image 10"/>
                    <pic:cNvPicPr>
                      <a:picLocks noChangeAspect="1" noChangeArrowheads="1"/>
                    </pic:cNvPicPr>
                  </pic:nvPicPr>
                  <pic:blipFill>
                    <a:blip r:embed="rId14"/>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(APA 7): Silva, L. A. da, Medola, F. O., Rodrigues, O. V., Rodrigues, A. C. T., &amp; Sandnes, F. E. (2018). Interdisciplinary-based development of user-friendly customized 3D printed upper limb prosthesis. Comunicação em conferência.</w:t>
      </w:r>
      <w:r>
        <w:rPr/>
        <w:commentReference w:id="68"/>
      </w:r>
      <w:r>
        <w:rPr/>
        <w:commentReference w:id="69"/>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w:t>
      </w:r>
      <w:r>
        <w:rPr/>
        <w:commentReference w:id="70"/>
      </w:r>
      <w:r>
        <w:rPr/>
        <w:commentReference w:id="71"/>
      </w:r>
      <w:r>
        <w:rPr>
          <w:lang w:val="pt-PT"/>
        </w:rPr>
        <w:t xml:space="preserve">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Normal"/>
        <w:bidi w:val="0"/>
        <w:jc w:val="left"/>
        <w:rPr>
          <w:lang w:val="pt-PT"/>
        </w:rPr>
      </w:pPr>
      <w:r>
        <w:rPr/>
        <w:commentReference w:id="72"/>
      </w:r>
    </w:p>
    <w:p>
      <w:pPr>
        <w:pStyle w:val="Heading3"/>
        <w:bidi w:val="0"/>
        <w:jc w:val="left"/>
        <w:rPr>
          <w:lang w:val="pt-PT"/>
        </w:rPr>
      </w:pPr>
      <w:r>
        <w:rPr>
          <w:lang w:val="pt-PT"/>
        </w:rPr>
        <w:t>3.4 Métodos de recolha e análise de dados</w:t>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73"/>
      </w:r>
      <w:r>
        <w:rPr/>
        <w:commentReference w:id="74"/>
      </w:r>
      <w:r>
        <w:rPr>
          <w:lang w:val="pt-PT"/>
        </w:rPr>
        <w:t>. Estes dados são analisados de forma iterativa, permitindo reformular o modelo paramétrico e otimizar o seu desempenho.</w:t>
      </w:r>
    </w:p>
    <w:p>
      <w:pPr>
        <w:pStyle w:val="Normal"/>
        <w:bidi w:val="0"/>
        <w:jc w:val="left"/>
        <w:rPr>
          <w:lang w:val="pt-PT"/>
        </w:rPr>
      </w:pPr>
      <w:r>
        <w:rPr>
          <w:lang w:val="pt-PT"/>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noChangeAspect="1"/>
            </wp:cNvGraphicFramePr>
            <a:graphic>
              <a:graphicData uri="http://schemas.openxmlformats.org/drawingml/2006/picture">
                <pic:pic>
                  <pic:nvPicPr>
                    <pic:cNvPr id="11" name="Image 11" descr="Image 11"/>
                    <pic:cNvPicPr>
                      <a:picLocks noChangeAspect="1" noChangeArrowheads="1"/>
                    </pic:cNvPicPr>
                  </pic:nvPicPr>
                  <pic:blipFill>
                    <a:blip r:embed="rId15"/>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w:t>
      </w:r>
      <w:commentRangeStart w:id="75"/>
      <w:r>
        <w:rPr>
          <w:lang w:val="pt-PT"/>
        </w:rPr>
        <w:t xml:space="preserve">s OpenSCAD/WebAssembly </w:t>
      </w:r>
      <w:r>
        <w:rPr>
          <w:lang w:val="pt-PT"/>
        </w:rPr>
      </w:r>
      <w:commentRangeEnd w:id="75"/>
      <w:r>
        <w:commentReference w:id="75"/>
      </w:r>
      <w:r>
        <w:rPr>
          <w:lang w:val="pt-PT"/>
        </w:rPr>
        <w:t xml:space="preserve">e se os ficheiros </w:t>
      </w:r>
      <w:commentRangeStart w:id="76"/>
      <w:r>
        <w:rPr>
          <w:lang w:val="pt-PT"/>
        </w:rPr>
        <w:t>3MF e STL</w:t>
      </w:r>
      <w:r>
        <w:rPr>
          <w:lang w:val="pt-PT"/>
        </w:rPr>
      </w:r>
      <w:commentRangeEnd w:id="76"/>
      <w:r>
        <w:commentReference w:id="76"/>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Implica, pelo contrário, a conceção de dispositivos capazes de conciliar funcionalidade, conforto, leveza, fiabilidade, controlo inteligível, aceitabilidade estética e e custos compatíveis com a produção, adaptação, manutenção e acesso continuado à prótese, num contexto em que continuam a registar-se taxas elevadas de rejeição e abandono. 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77"/>
      </w:r>
      <w:r>
        <w:rPr/>
        <w:commentReference w:id="78"/>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noChangeAspect="1"/>
            </wp:cNvGraphicFramePr>
            <a:graphic>
              <a:graphicData uri="http://schemas.openxmlformats.org/drawingml/2006/picture">
                <pic:pic>
                  <pic:nvPicPr>
                    <pic:cNvPr id="12" name="Image 12" descr="Image 12"/>
                    <pic:cNvPicPr>
                      <a:picLocks noChangeAspect="1" noChangeArrowheads="1"/>
                    </pic:cNvPicPr>
                  </pic:nvPicPr>
                  <pic:blipFill>
                    <a:blip r:embed="rId16"/>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(APA 7):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7">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noChangeAspect="1"/>
            </wp:cNvGraphicFramePr>
            <a:graphic>
              <a:graphicData uri="http://schemas.openxmlformats.org/drawingml/2006/picture">
                <pic:pic>
                  <pic:nvPicPr>
                    <pic:cNvPr id="13" name="Image 13" descr="Image 13"/>
                    <pic:cNvPicPr>
                      <a:picLocks noChangeAspect="1" noChangeArrowheads="1"/>
                    </pic:cNvPicPr>
                  </pic:nvPicPr>
                  <pic:blipFill>
                    <a:blip r:embed="rId18"/>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19">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3"/>
        <w:gridCol w:w="2613"/>
        <w:gridCol w:w="2528"/>
        <w:gridCol w:w="1642"/>
      </w:tblGrid>
      <w:tr>
        <w:trPr>
          <w:tblHeader w:val="true"/>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customização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commentRangeStart w:id="79"/>
      <w:r>
        <w:rPr>
          <w:lang w:val="pt-PT"/>
        </w:rPr>
        <w:t>A opção pelo formato longo foi deliberada.</w:t>
      </w:r>
      <w:r>
        <w:rPr>
          <w:lang w:val="pt-PT"/>
        </w:rPr>
      </w:r>
      <w:commentRangeEnd w:id="79"/>
      <w:r>
        <w:commentReference w:id="79"/>
      </w:r>
      <w:r>
        <w:rPr>
          <w:lang w:val="pt-PT"/>
        </w:rPr>
        <w:t xml:space="preserve"> Em vez de criar uma linha por dimensão com colunas fixas para média, desvio-padrão e percentis, cada estatística foi registada como uma linha própria. Assim, uma mesma dimensão pode originar várias linhas para média, desvio-padrão, P5, P50, P95, mínimo ou máximo. Este formato facilita a integração de fontes incompletas, porque nem todos os estudos reportam o mesmo conjunto de estatísticas. Na base atual, existem 612 médias, 609 desvios-padrão, 513 percentis, 28 mínimos e 28 máximos. Esta assimetria é metodologicamente relevante: </w:t>
      </w:r>
      <w:commentRangeStart w:id="80"/>
      <w:r>
        <w:rPr>
          <w:lang w:val="pt-PT"/>
        </w:rPr>
        <w:t>os datasets</w:t>
      </w:r>
      <w:r>
        <w:rPr>
          <w:lang w:val="pt-PT"/>
        </w:rPr>
      </w:r>
      <w:commentRangeEnd w:id="80"/>
      <w:r>
        <w:commentReference w:id="80"/>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 xml:space="preserve">As principais dificuldades encontradas dizem respeito à heterogeneidade dos protocolos. A expressão “comprimento da mão”, por exemplo, nem sempre corresponde ao mesmo trajeto anatómico: </w:t>
      </w:r>
      <w:commentRangeStart w:id="81"/>
      <w:r>
        <w:rPr>
          <w:lang w:val="pt-PT"/>
        </w:rPr>
        <w:t>alguns estudos usam a prega do punho,</w:t>
      </w:r>
      <w:r>
        <w:rPr>
          <w:lang w:val="pt-PT"/>
        </w:rPr>
      </w:r>
      <w:commentRangeEnd w:id="81"/>
      <w:r>
        <w:commentReference w:id="81"/>
      </w:r>
      <w:r>
        <w:rPr>
          <w:lang w:val="pt-PT"/>
        </w:rPr>
        <w:t xml:space="preserve"> outros o processo estilóide, e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t xml:space="preserve">Em sentido inverso, algumas fontes facilitaram a extração. As tabelas com percentis claros, unidades explícitas e separação por sexo ou idade permitiram codificação direta e maior confiança. A estrutura HTML da DINED </w:t>
      </w:r>
      <w:commentRangeStart w:id="82"/>
      <w:r>
        <w:rPr>
          <w:shd w:fill="FFFF00" w:val="clear"/>
          <w:lang w:val="pt-PT"/>
        </w:rPr>
        <w:t>facilitou a recuperação sistemática de médias e desvios-padrão por sub-base,</w:t>
      </w:r>
      <w:r>
        <w:rPr>
          <w:shd w:fill="FFFF00" w:val="clear"/>
          <w:lang w:val="pt-PT"/>
        </w:rPr>
      </w:r>
      <w:commentRangeEnd w:id="82"/>
      <w:r>
        <w:commentReference w:id="82"/>
      </w:r>
      <w:r>
        <w:rPr>
          <w:lang w:val="pt-PT"/>
        </w:rPr>
        <w:t xml:space="preserve"> sexo e grupo etário, embora não disponibilize percentis na mesma interface. 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 A base de dados construída permite comparar, de forma rastreável, valores relativos ao comprimento da mão, à largura da palma, aos comprimentos digitais, às dimensões do punho e às relações com o antebraço. Deste modo, sustenta a passagem entre o enquadramento antropométrico e</w:t>
      </w:r>
      <w:commentRangeStart w:id="83"/>
      <w:r>
        <w:rPr>
          <w:lang w:val="pt-PT"/>
        </w:rPr>
        <w:t xml:space="preserve"> a modelação em OpenSCAD</w:t>
      </w:r>
      <w:r>
        <w:rPr>
          <w:lang w:val="pt-PT"/>
        </w:rPr>
      </w:r>
      <w:commentRangeEnd w:id="83"/>
      <w:r>
        <w:commentReference w:id="83"/>
      </w:r>
      <w:r>
        <w:rPr>
          <w:lang w:val="pt-PT"/>
        </w:rPr>
        <w:t>: os dados não geram a prótese de forma automática,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 Os estudos revistos sobre modelação paramétrica aplicada a próteses e sobre modelação CAD programável reforçam esta perspetiva, ao associarem estas abordagens a maior rastreabilidade das decisões, consistência entre variantes e capacidade de automatização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noChangeAspect="1"/>
            </wp:cNvGraphicFramePr>
            <a:graphic>
              <a:graphicData uri="http://schemas.openxmlformats.org/drawingml/2006/picture">
                <pic:pic>
                  <pic:nvPicPr>
                    <pic:cNvPr id="14" name="Image 14" descr="Image 14"/>
                    <pic:cNvPicPr>
                      <a:picLocks noChangeAspect="1" noChangeArrowheads="1"/>
                    </pic:cNvPicPr>
                  </pic:nvPicPr>
                  <pic:blipFill>
                    <a:blip r:embed="rId20"/>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(APA 7):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1">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coto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pPr>
      <w:commentRangeStart w:id="84"/>
      <w:r>
        <w:rPr>
          <w:lang w:val="pt-PT"/>
        </w:rPr>
        <w:t>Por fim, importa reconhecer que a robustez da abordagem não se esgota na geração</w:t>
      </w:r>
      <w:r>
        <w:rPr>
          <w:lang w:val="pt-PT"/>
        </w:rPr>
      </w:r>
      <w:commentRangeEnd w:id="84"/>
      <w:r>
        <w:commentReference w:id="84"/>
      </w:r>
      <w:r>
        <w:rPr>
          <w:lang w:val="pt-PT"/>
        </w:rPr>
        <w:t xml:space="preserve"> da geometria. Mesmo quando a lógica paramétrica é clara e as restrições estão integradas, a validação continua a depender da verificação no slicer, do controlo dimensional, de eventual simulação estrutural e da observação do comportamento da peça em protótipo. 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85"/>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85"/>
      <w:r>
        <w:commentReference w:id="85"/>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86"/>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86"/>
      <w:r>
        <w:commentReference w:id="86"/>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xml:space="preserve">. Neste sentido, a evolução do modelo confirmou a relevância de integrar critérios de </w:t>
      </w:r>
      <w:commentRangeStart w:id="87"/>
      <w:r>
        <w:rPr>
          <w:lang w:val="pt-PT"/>
        </w:rPr>
        <w:t>Design for Additive Manufacturing</w:t>
      </w:r>
      <w:r>
        <w:rPr>
          <w:lang w:val="pt-PT"/>
        </w:rPr>
      </w:r>
      <w:commentRangeEnd w:id="87"/>
      <w:r>
        <w:commentReference w:id="87"/>
      </w:r>
      <w:r>
        <w:rPr>
          <w:lang w:val="pt-PT"/>
        </w:rPr>
        <w:t xml:space="preserve">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Por essa razão, várias </w:t>
      </w:r>
      <w:commentRangeStart w:id="88"/>
      <w:r>
        <w:rPr>
          <w:lang w:val="pt-PT"/>
        </w:rPr>
        <w:t>revisões do modelo implicaram reajustes que não se limitavam à correção formal da</w:t>
      </w:r>
      <w:r>
        <w:rPr>
          <w:lang w:val="pt-PT"/>
        </w:rPr>
      </w:r>
      <w:commentRangeEnd w:id="88"/>
      <w:r>
        <w:commentReference w:id="88"/>
      </w:r>
      <w:r>
        <w:rPr>
          <w:lang w:val="pt-PT"/>
        </w:rPr>
        <w:t xml:space="preserve"> geometria, mas procuravam manter um equilíbrio plausível entre adaptação dimensional, comportamento funcional e viabilidade material. 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89"/>
      <w:r>
        <w:rPr>
          <w:lang w:val="pt-PT"/>
        </w:rPr>
        <w:t>ivamente técnica (Peixoto et al., 2025 (#ref-peixoto-2025)).</w:t>
      </w:r>
      <w:commentRangeEnd w:id="89"/>
      <w:r>
        <w:commentReference w:id="89"/>
      </w: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w:t>
      </w:r>
      <w:commentRangeStart w:id="90"/>
      <w:r>
        <w:rPr>
          <w:lang w:val="pt-PT"/>
        </w:rPr>
        <w:t xml:space="preserve"> esta diferenciação não se limita a uma decisão administrativa, participando diretamente na forma como a plataforma enquadra a personalização.</w:t>
      </w:r>
      <w:commentRangeEnd w:id="90"/>
      <w:r>
        <w:commentReference w:id="90"/>
      </w:r>
      <w:r>
        <w:rPr>
          <w:lang w:val="pt-PT"/>
        </w:rPr>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pStyle w:val="Normal"/>
        <w:bidi w:val="0"/>
        <w:jc w:val="left"/>
        <w:rPr>
          <w:lang w:val="pt-PT"/>
        </w:rPr>
      </w:pPr>
      <w:r>
        <w:rPr>
          <w:lang w:val="pt-PT"/>
        </w:rP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5" name="Image 15" descr="Image 15"/>
            <wp:cNvGraphicFramePr>
              <a:graphicFrameLocks noChangeAspect="1"/>
            </wp:cNvGraphicFramePr>
            <a:graphic>
              <a:graphicData uri="http://schemas.openxmlformats.org/drawingml/2006/picture">
                <pic:pic>
                  <pic:nvPicPr>
                    <pic:cNvPr id="15" name="Image 15" descr="Image 15"/>
                    <pic:cNvPicPr>
                      <a:picLocks noChangeAspect="1" noChangeArrowheads="1"/>
                    </pic:cNvPicPr>
                  </pic:nvPicPr>
                  <pic:blipFill>
                    <a:blip r:embed="rId22"/>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5.1 — Fluxo geral de produção personalizada de próteses a partir de digitalização, CAD adaptativo e fabrico aditivo.</w:t>
      </w:r>
    </w:p>
    <w:p>
      <w:pPr>
        <w:pStyle w:val="Normal"/>
        <w:bidi w:val="0"/>
        <w:jc w:val="left"/>
        <w:rPr>
          <w:lang w:val="pt-PT"/>
        </w:rPr>
      </w:pPr>
      <w:r>
        <w:rPr>
          <w:lang w:val="pt-PT"/>
        </w:rPr>
        <w:t xml:space="preserve">Fonte original (APA 7): Górski, F., Zawadzki, P., Wichniarek, R., Kuczko, W., Słupińska, S., &amp; Żukowska, M. (2022). Automated design and rapid manufacturing of low-cost customized upper limb prostheses. Journal of Physics: Conference Series, 2198, 012040. </w:t>
      </w:r>
      <w:hyperlink r:id="rId23">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shd w:fill="FFFF00" w:val="clear"/>
          <w:lang w:val="pt-PT"/>
        </w:rPr>
        <w:t>E</w:t>
      </w:r>
      <w:commentRangeStart w:id="91"/>
      <w:r>
        <w:rPr>
          <w:shd w:fill="FFFF00" w:val="clear"/>
          <w:lang w:val="pt-PT"/>
        </w:rPr>
        <w:t>m termos operacionais, o processo organiza-se  numa cadeia relativamente clara. Os ficheiros .scad, que contêm a definição algorítmica do modelo, e os conjuntos de parâmetros produzidos pela interface são carregados no frontend.</w:t>
      </w:r>
      <w:r>
        <w:rPr>
          <w:shd w:fill="FFFF00" w:val="clear"/>
          <w:lang w:val="pt-PT"/>
        </w:rPr>
      </w:r>
      <w:commentRangeEnd w:id="91"/>
      <w:r>
        <w:commentReference w:id="91"/>
      </w:r>
      <w:r>
        <w:rPr>
          <w:lang w:val="pt-PT"/>
        </w:rPr>
        <w:t xml:space="preserve"> </w:t>
      </w:r>
      <w:commentRangeStart w:id="92"/>
      <w:r>
        <w:rPr>
          <w:lang w:val="pt-PT"/>
        </w:rPr>
        <w:t>Esses elementos são depois encaminhados para um Web Worker, isto é, um processo separado da interface principal, capaz de executar tarefas pesadas em segundo plano. Nesse worker,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de parâmetros -&gt; worker -&gt; OpenSCAD em WASM -&gt; geometria visível é central para o funcionamento do sistema, pois liga a edição, o cálculo e o feedback formal numa sequência rastreável.</w:t>
      </w:r>
      <w:commentRangeEnd w:id="92"/>
      <w:r>
        <w:commentReference w:id="92"/>
      </w:r>
      <w:r>
        <w:rPr>
          <w:lang w:val="pt-PT"/>
        </w:rPr>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 xml:space="preserve">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w:t>
      </w:r>
      <w:commentRangeStart w:id="93"/>
      <w:r>
        <w:rPr>
          <w:lang w:val="pt-PT"/>
        </w:rPr>
        <w:t>organização modular não serve apenas para distribuir funcionalidades;</w:t>
      </w:r>
      <w:r>
        <w:rPr>
          <w:lang w:val="pt-PT"/>
        </w:rPr>
      </w:r>
      <w:commentRangeEnd w:id="93"/>
      <w:r>
        <w:commentReference w:id="93"/>
      </w:r>
      <w:r>
        <w:rPr>
          <w:lang w:val="pt-PT"/>
        </w:rPr>
        <w:t xml:space="preserve"> também torna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5.2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6" name="Image 16" descr="Image 16"/>
            <wp:cNvGraphicFramePr>
              <a:graphicFrameLocks noChangeAspect="1"/>
            </wp:cNvGraphicFramePr>
            <a:graphic>
              <a:graphicData uri="http://schemas.openxmlformats.org/drawingml/2006/picture">
                <pic:pic>
                  <pic:nvPicPr>
                    <pic:cNvPr id="16" name="Image 16" descr="Image 16"/>
                    <pic:cNvPicPr>
                      <a:picLocks noChangeAspect="1" noChangeArrowheads="1"/>
                    </pic:cNvPicPr>
                  </pic:nvPicPr>
                  <pic:blipFill>
                    <a:blip r:embed="rId24"/>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5.2 — Ferramenta paramétrica para configuração de ajudas técnicas com variação de dimensões, materiais e peso.</w:t>
      </w:r>
    </w:p>
    <w:p>
      <w:pPr>
        <w:pStyle w:val="Normal"/>
        <w:bidi w:val="0"/>
        <w:jc w:val="left"/>
        <w:rPr>
          <w:lang w:val="pt-PT"/>
        </w:rPr>
      </w:pPr>
      <w:r>
        <w:rPr>
          <w:lang w:val="pt-PT"/>
        </w:rPr>
        <w:t xml:space="preserve">Fonte original (APA 7): Li, M., &amp; Aflatoony, L. (2025). Parametric design and three-dimensional printing: Enabling occupational therapists to develop custom hand grips. Disability and Rehabilitation: Assistive Technology, 20(6), 1829-1837. </w:t>
      </w:r>
      <w:hyperlink r:id="rId25">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94"/>
      <w:r>
        <w:rPr>
          <w:lang w:val="pt-PT"/>
        </w:rPr>
        <w:t>STL ou 3MF</w:t>
      </w:r>
      <w:r>
        <w:rPr>
          <w:lang w:val="pt-PT"/>
        </w:rPr>
      </w:r>
      <w:commentRangeEnd w:id="94"/>
      <w:r>
        <w:commentReference w:id="94"/>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 xml:space="preserve">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w:t>
      </w:r>
      <w:commentRangeStart w:id="95"/>
      <w:r>
        <w:rPr>
          <w:lang w:val="pt-PT"/>
        </w:rPr>
        <w:t>da plataforma não se esgota na manipulação de parâmetros e na visualização de</w:t>
      </w:r>
      <w:r>
        <w:rPr>
          <w:lang w:val="pt-PT"/>
        </w:rPr>
      </w:r>
      <w:commentRangeEnd w:id="95"/>
      <w:r>
        <w:commentReference w:id="95"/>
      </w:r>
      <w:r>
        <w:rPr>
          <w:lang w:val="pt-PT"/>
        </w:rPr>
        <w:t xml:space="preserve"> formas; inclui também a gestão das relações entre agentes, das responsabilidades e dos níveis de intervenção. Neste sentido, a aplicação obtém sugestões paramétricas através do servidor, que se comunica com serviços externos por intermédio de um </w:t>
      </w:r>
      <w:commentRangeStart w:id="96"/>
      <w:r>
        <w:rPr>
          <w:lang w:val="pt-PT"/>
        </w:rPr>
        <w:t>proxy seguro</w:t>
      </w:r>
      <w:r>
        <w:rPr>
          <w:lang w:val="pt-PT"/>
        </w:rPr>
      </w:r>
      <w:commentRangeEnd w:id="96"/>
      <w:r>
        <w:commentReference w:id="96"/>
      </w:r>
      <w:r>
        <w:rPr>
          <w:lang w:val="pt-PT"/>
        </w:rPr>
        <w:t>, mas enquadra essa capacidade dentro de 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97"/>
      <w:r>
        <w:rPr>
          <w:lang w:val="pt-PT"/>
        </w:rPr>
        <w:t>No caso do Paraglider Hand, também conhecido como Flexible Flyer, a integração partiu de uma mão mecânica acionada pelo corpo, derivada da linhagem Phoenix e UnLimbited.</w:t>
      </w:r>
      <w:r>
        <w:rPr>
          <w:lang w:val="pt-PT"/>
        </w:rPr>
      </w:r>
      <w:commentRangeEnd w:id="97"/>
      <w:r>
        <w:commentReference w:id="97"/>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98"/>
      <w:r>
        <w:rPr>
          <w:lang w:val="pt-PT"/>
        </w:rPr>
        <w:t>parâmetros de hardware</w:t>
      </w:r>
      <w:r>
        <w:rPr>
          <w:lang w:val="pt-PT"/>
        </w:rPr>
      </w:r>
      <w:commentRangeEnd w:id="98"/>
      <w:r>
        <w:commentReference w:id="98"/>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 xml:space="preserve">Do ponto de vista funcional, a persistência dessas configurações em estruturas </w:t>
      </w:r>
      <w:commentRangeStart w:id="99"/>
      <w:r>
        <w:rPr>
          <w:lang w:val="pt-PT"/>
        </w:rPr>
        <w:t>JSON</w:t>
      </w:r>
      <w:r>
        <w:rPr>
          <w:lang w:val="pt-PT"/>
        </w:rPr>
      </w:r>
      <w:commentRangeEnd w:id="99"/>
      <w:r>
        <w:commentReference w:id="99"/>
      </w:r>
      <w:r>
        <w:rPr>
          <w:lang w:val="pt-PT"/>
        </w:rPr>
        <w:t xml:space="preserve">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00"/>
      <w:r>
        <w:rPr>
          <w:lang w:val="pt-PT"/>
        </w:rPr>
        <w:t>SQLite</w:t>
      </w:r>
      <w:r>
        <w:rPr>
          <w:lang w:val="pt-PT"/>
        </w:rPr>
      </w:r>
      <w:commentRangeEnd w:id="100"/>
      <w:r>
        <w:commentReference w:id="100"/>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01"/>
      <w:r>
        <w:rPr>
          <w:lang w:val="pt-PT"/>
        </w:rPr>
        <w:t>IA</w:t>
      </w:r>
      <w:r>
        <w:rPr>
          <w:lang w:val="pt-PT"/>
        </w:rPr>
      </w:r>
      <w:commentRangeEnd w:id="101"/>
      <w:r>
        <w:commentReference w:id="101"/>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102"/>
      <w:r>
        <w:rPr>
          <w:lang w:val="pt-PT"/>
        </w:rPr>
        <w:t>EMG</w:t>
      </w:r>
      <w:r>
        <w:rPr>
          <w:lang w:val="pt-PT"/>
        </w:rPr>
      </w:r>
      <w:commentRangeEnd w:id="102"/>
      <w:r>
        <w:commentReference w:id="102"/>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103"/>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103"/>
      <w:r>
        <w:commentReference w:id="103"/>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104"/>
      <w:r>
        <w:rPr>
          <w:i/>
          <w:iCs/>
          <w:shd w:fill="FFFF00" w:val="clear"/>
          <w:lang w:val="pt-PT"/>
        </w:rPr>
        <w:t>data-driven</w:t>
      </w:r>
      <w:r>
        <w:rPr>
          <w:i/>
          <w:iCs/>
          <w:shd w:fill="FFFF00" w:val="clear"/>
          <w:lang w:val="pt-PT"/>
        </w:rPr>
      </w:r>
      <w:commentRangeEnd w:id="104"/>
      <w:r>
        <w:commentReference w:id="104"/>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105"/>
      <w:r>
        <w:rPr>
          <w:i/>
          <w:iCs/>
          <w:lang w:val="pt-PT"/>
        </w:rPr>
        <w:t>human-in-the-loop.</w:t>
      </w:r>
      <w:r>
        <w:rPr>
          <w:i/>
          <w:iCs/>
          <w:lang w:val="pt-PT"/>
        </w:rPr>
      </w:r>
      <w:commentRangeEnd w:id="105"/>
      <w:r>
        <w:commentReference w:id="105"/>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 xml:space="preserve">A validação antropométrica assistida por IA realizada no sistema deve ser entendida como validação interna de plausibilidade e de coerência paramétrica, não como validação clínica da prótese final.  </w:t>
      </w: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106"/>
      <w:r>
        <w:rPr>
          <w:lang w:val="pt-PT"/>
        </w:rPr>
        <w:t>O primeiro conjunto experimental usou cinco perfis sintéticos descritos apenas por indicadores populacionais indiretos, como idade, sexo, altura, peso, país, envergadura ou constituição física, sem qualquer medição direta da mão. E</w:t>
      </w:r>
      <w:r>
        <w:rPr>
          <w:lang w:val="pt-PT"/>
        </w:rPr>
      </w:r>
      <w:commentRangeEnd w:id="106"/>
      <w:r>
        <w:commentReference w:id="106"/>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107"/>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17" name="Image 17" descr="Image 17"/>
            <wp:cNvGraphicFramePr>
              <a:graphicFrameLocks noChangeAspect="1"/>
            </wp:cNvGraphicFramePr>
            <a:graphic>
              <a:graphicData uri="http://schemas.openxmlformats.org/drawingml/2006/picture">
                <pic:pic>
                  <pic:nvPicPr>
                    <pic:cNvPr id="17" name="Image 17" descr="Image 17"/>
                    <pic:cNvPicPr>
                      <a:picLocks noChangeAspect="1" noChangeArrowheads="1"/>
                    </pic:cNvPicPr>
                  </pic:nvPicPr>
                  <pic:blipFill>
                    <a:blip r:embed="rId26"/>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desafios de explicabilidade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27">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108"/>
      <w:r>
        <w:rPr>
          <w:lang w:val="pt-PT"/>
        </w:rPr>
        <w:t>UI/UX</w:t>
      </w:r>
      <w:r>
        <w:rPr>
          <w:lang w:val="pt-PT"/>
        </w:rPr>
      </w:r>
      <w:commentRangeEnd w:id="108"/>
      <w:r>
        <w:commentReference w:id="108"/>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previsibilidade das ações e o registo das alterações, mediando a passagem entre os dados do utilizador, as regras paramétricas, a assistência algorítmica e o resultado tridimensional. 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18" name="Image 18" descr="Image 18"/>
            <wp:cNvGraphicFramePr>
              <a:graphicFrameLocks noChangeAspect="1"/>
            </wp:cNvGraphicFramePr>
            <a:graphic>
              <a:graphicData uri="http://schemas.openxmlformats.org/drawingml/2006/picture">
                <pic:pic>
                  <pic:nvPicPr>
                    <pic:cNvPr id="18" name="Image 18" descr="Image 18"/>
                    <pic:cNvPicPr>
                      <a:picLocks noChangeAspect="1" noChangeArrowheads="1"/>
                    </pic:cNvPicPr>
                  </pic:nvPicPr>
                  <pic:blipFill>
                    <a:blip r:embed="rId28"/>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(APA 7):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coerência técnica do modelo paramétrico, funcionamento da plataforma digital e plausibilidade das sugestões assistidas por IA.</w:t>
      </w:r>
    </w:p>
    <w:p>
      <w:pPr>
        <w:pStyle w:val="Normal"/>
        <w:bidi w:val="0"/>
        <w:jc w:val="left"/>
        <w:rPr>
          <w:lang w:val="pt-PT"/>
        </w:rPr>
      </w:pPr>
      <w:r>
        <w:rPr>
          <w:lang w:val="pt-PT"/>
        </w:rPr>
        <w:t xml:space="preserve">Esta separação </w:t>
      </w:r>
      <w:r>
        <w:rPr>
          <w:lang w:val="pt-PT"/>
        </w:rPr>
        <w:t>demonstrou-se</w:t>
      </w:r>
      <w:r>
        <w:rPr>
          <w:lang w:val="pt-PT"/>
        </w:rPr>
        <w:t xml:space="preserve"> necessária </w:t>
      </w:r>
      <w:r>
        <w:rPr>
          <w:lang w:val="pt-PT"/>
        </w:rPr>
        <w:t>pois</w:t>
      </w:r>
      <w:r>
        <w:rPr>
          <w:lang w:val="pt-PT"/>
        </w:rPr>
        <w:t xml:space="preserve"> o projeto combina componentes de natureza distinta.</w:t>
      </w:r>
    </w:p>
    <w:p>
      <w:pPr>
        <w:pStyle w:val="Normal"/>
        <w:bidi w:val="0"/>
        <w:jc w:val="left"/>
        <w:rPr>
          <w:lang w:val="pt-PT"/>
        </w:rPr>
      </w:pPr>
      <w:r>
        <w:rPr>
          <w:lang w:val="pt-PT"/>
        </w:rPr>
        <w:t xml:space="preserve">Um modelo OpenSCAD pode ser parametricamente consistente e, ainda assim, a interface pode não tornar essa consistência compreensível; do mesmo modo, uma sugestão de IA pode ser plausível como ponto de partida e continuar insuficiente como validação final da prótese. </w:t>
      </w:r>
      <w:r>
        <w:rPr>
          <w:lang w:val="pt-PT"/>
        </w:rPr>
        <w:t>O</w:t>
      </w:r>
      <w:r>
        <w:rPr>
          <w:lang w:val="pt-PT"/>
        </w:rPr>
        <w:t>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condições mínimas de plausibilidade antes de qualquer prototipagem. A avaliação de conforto, desempenho funcional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19" name="Image 19" descr="Image 19"/>
            <wp:cNvGraphicFramePr>
              <a:graphicFrameLocks noChangeAspect="1"/>
            </wp:cNvGraphicFramePr>
            <a:graphic>
              <a:graphicData uri="http://schemas.openxmlformats.org/drawingml/2006/picture">
                <pic:pic>
                  <pic:nvPicPr>
                    <pic:cNvPr id="19" name="Image 19" descr="Image 19"/>
                    <pic:cNvPicPr>
                      <a:picLocks noChangeAspect="1" noChangeArrowheads="1"/>
                    </pic:cNvPicPr>
                  </pic:nvPicPr>
                  <pic:blipFill>
                    <a:blip r:embed="rId29"/>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(APA 7):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commentRangeStart w:id="109"/>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w:t>
      </w:r>
      <w:r>
        <w:rPr>
          <w:lang w:val="pt-PT"/>
        </w:rPr>
      </w:r>
      <w:commentRangeEnd w:id="109"/>
      <w:r>
        <w:commentReference w:id="109"/>
      </w:r>
      <w:r>
        <w:rPr>
          <w:lang w:val="pt-PT"/>
        </w:rPr>
        <w:t xml:space="preserve">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p>
    <w:p>
      <w:pPr>
        <w:pStyle w:val="Normal"/>
        <w:bidi w:val="0"/>
        <w:jc w:val="left"/>
        <w:rPr>
          <w:lang w:val="pt-PT"/>
        </w:rPr>
      </w:pPr>
      <w:r>
        <w:rPr>
          <w:lang w:val="pt-PT"/>
        </w:rPr>
        <w:t>Tabela 8.1 — Síntese da validação antropométrica assistida por IA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Eixo avaliado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 observado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Interpretação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Conformidade com o esquema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Saídas parseáveis, chaves conhecidas e valores dentro dos limites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O esquema vivo do modelo reduziu sugestões inválidas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Proporcionalidade digital</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 médio mais longo, mindinho mais curto e polegar abaixo do dedo médio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As relações anatómicas principais foram preservadas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ricas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fornecidas mantidas literalmente</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 IA não reestimou valores diretamente declarados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parciais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Campos em falta estimados em torno da medida fornecida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O sistema combinou dados explícitos e priors populacionais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apenas demográficas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Conjunto completo e plausível de parâmetros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O fluxo oferece um ponto de partida para utilizadores não especialistas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Lateralidade</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Correta nos cenários iniciais, mas falhou em pedidos explícitos de mão esquerda na avaliação UCD</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Corrigida por controlo determinístico da interface e exclusão da lateralidade das sugestões da IA</w:t>
            </w:r>
          </w:p>
        </w:tc>
      </w:tr>
    </w:tbl>
    <w:p>
      <w:pPr>
        <w:pStyle w:val="Normal"/>
        <w:bidi w:val="0"/>
        <w:jc w:val="left"/>
        <w:rPr>
          <w:lang w:val="pt-PT"/>
        </w:rPr>
      </w:pPr>
      <w:r>
        <w:rPr>
          <w:lang w:val="pt-PT"/>
        </w:rPr>
      </w:r>
    </w:p>
    <w:p>
      <w:pPr>
        <w:pStyle w:val="Normal"/>
        <w:bidi w:val="0"/>
        <w:jc w:val="left"/>
        <w:rPr>
          <w:lang w:val="pt-PT"/>
        </w:rPr>
      </w:pPr>
      <w:r>
        <w:rPr>
          <w:lang w:val="pt-PT"/>
        </w:rP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intermodelos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t>Tabela 8.2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lang w:val="pt-PT"/>
        </w:rPr>
        <w:t>Tabela 8.3 — Rácio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certos tokens abreviados confundiam unidades de medida com indicação de sexo masculino. A correção passou por análise multilingue com fronteiras de palavra e classificação mais robusta de grupos etários. A segunda fragilidade estava no Paraglider, cuja palma permanecia congelada numa escala interna herdada da biblioteca original; a correção reaplicou a escala no ponto de chamada relevante. A terceira surgiu no Phoenix, onde um parâmetro de override permitia contornar o piso mínimo de escala; a correção passou por aplicar o mesmo limite ao ramo alternativo.</w:t>
      </w:r>
    </w:p>
    <w:p>
      <w:pPr>
        <w:pStyle w:val="Normal"/>
        <w:bidi w:val="0"/>
        <w:jc w:val="left"/>
        <w:rPr>
          <w:lang w:val="pt-PT"/>
        </w:rPr>
      </w:pPr>
      <w:r>
        <w:rPr>
          <w:lang w:val="pt-PT"/>
        </w:rPr>
        <w:t>O contributo desta etapa é duplo. Por um lado, confirma que a validação de IA não deve terminar no JSON, pois a geometria pode esconder acoplamentos, limites e heranças de código que só se tornam visíveis na exportação. Por outro lado, mostra que os modelos integrados não são intercambiáveis: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dimensionalmente plausível,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lang w:val="pt-PT"/>
        </w:rPr>
        <w:t>A principal aprendizagem metodológica é que a robustez do sistema depende menos da presença isolada de IA e mais da qualidade das fronteiras que a enquadram. O esquema vivo do modelo, os limites declarados, a filtragem de chaves, a ancoragem em dados populacionais, a renderização por OpenSCAD/WebAssembly e a exportação STL formam uma cadeia de verificações sucessivas. 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O contributo central não é uma prótese clinicamente validada, mas uma infraestrutura projetual que torna mais explícita, rastreável e acessível a passagem entre dados do utilizador, parâmetros geométricos e geometria exportável.</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A integração da IA acrescentou uma camada de apoio à decisão, capaz de transformar descrições incompletas em pontos de partida plausíveis, desde que as sugestões permaneçam limitadas pelo esquema vivo do modelo e sujeitas a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 Terceiro, a validação geométrica intermodelos demonstrou que a exportação STL é indispensável para revelar constrangimentos que não aparecem na resposta numérica, como pisos de escala, dependências herdadas e diferenças reais entre modelos. Quarto, a avaliação centrada no utilizador revelou que a acessibilidade paramétrica depende tanto da qualidade da inferência como das salvaguardas de interface: entradas vagas e multilingues foram absorvidas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abre uma via de universalização para outros membros. A arquitetura deixa de depender apenas de pressupostos específicos da mão quando propriedades como lateralidade, tipo de membro e orientação antropométrica passam a ser declaradas no ficheiro de configuração do modelo. Este passo não torna automaticamente a plataforma válida para pé, perna ou braço, pois seriam necessários novos datasets, novos mapeamentos antropométricos e nova validação geométrica; contudo, mostra que a estrutura técnica pode evoluir de um configurador de mãos para uma plataforma paramétrica por tipo de membro, desde que cada modelo declare a sua gramática dimensional e os seus limites de fabrico.</w:t>
      </w:r>
    </w:p>
    <w:p>
      <w:pPr>
        <w:pStyle w:val="Heading3"/>
        <w:bidi w:val="0"/>
        <w:jc w:val="left"/>
        <w:rPr>
          <w:lang w:val="pt-PT"/>
        </w:rPr>
      </w:pPr>
      <w:r>
        <w:rPr>
          <w:lang w:val="pt-PT"/>
        </w:rPr>
      </w:r>
    </w:p>
    <w:p>
      <w:pPr>
        <w:pStyle w:val="Heading3"/>
        <w:bidi w:val="0"/>
        <w:jc w:val="left"/>
        <w:rPr>
          <w:lang w:val="pt-PT"/>
        </w:rPr>
      </w:pPr>
      <w:r>
        <w:rPr>
          <w:lang w:val="pt-PT"/>
        </w:rPr>
        <w:t>9.2 Contributos para o Design Industrial</w:t>
      </w:r>
    </w:p>
    <w:p>
      <w:pPr>
        <w:pStyle w:val="Normal"/>
        <w:bidi w:val="0"/>
        <w:jc w:val="left"/>
        <w:rPr>
          <w:lang w:val="pt-PT"/>
        </w:rPr>
      </w:pPr>
      <w:r>
        <w:rPr>
          <w:lang w:val="pt-PT"/>
        </w:rPr>
        <w:t>Para o Design Industrial, o principal contributo está na demonstração de um processo em que o artefacto, a interface e a lógica paramétrica funcionam como instrumentos de investigação. O projeto não trata a prótese apenas como objeto formal, mas como sistema configurável em que requisitos anatómicos, funcionais, produtivos e experienciais são traduzidos em parâmetros criticáveis. 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assistivos, nos quais a acessibilidade da configuração deve ser equilibrada com responsabilidade, segurança e coerência funcional.</w:t>
      </w:r>
    </w:p>
    <w:p>
      <w:pPr>
        <w:pStyle w:val="Normal"/>
        <w:bidi w:val="0"/>
        <w:jc w:val="left"/>
        <w:rPr>
          <w:lang w:val="pt-PT"/>
        </w:rPr>
      </w:pPr>
      <w:r>
        <w:rPr>
          <w:lang w:val="pt-PT"/>
        </w:rPr>
        <w:t>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human-in-the-loop,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Normal"/>
        <w:bidi w:val="0"/>
        <w:jc w:val="left"/>
        <w:rPr>
          <w:lang w:val="pt-PT"/>
        </w:rPr>
      </w:pPr>
      <w:r>
        <w:rPr>
          <w:lang w:val="pt-PT"/>
        </w:rPr>
        <w:t>As limitações do estudo são relevantes e delimitam o alcance das conclusões. Não foram realizados testes com utilizadores reais, avaliações clínicas, medições diretas de conforto, ensaios funcionais prolongados nem validação biomecânica completa. A avaliação antropométrica baseou-se em perfis simulados, dados secundários e critérios internos de plausibilidade. Por isso, os resultados devem ser interpretados como validação metodológica e técnica do fluxo de personalização, não como prova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com repetição automática do pedido quando a resposta violar o contrato esperado. 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p>
    <w:p>
      <w:pPr>
        <w:pStyle w:val="Heading2"/>
        <w:bidi w:val="0"/>
        <w:jc w:val="left"/>
        <w:rPr>
          <w:lang w:val="pt-PT"/>
        </w:rPr>
      </w:pPr>
      <w:r>
        <w:rPr>
          <w:lang w:val="pt-PT"/>
        </w:rPr>
        <w:b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id="ref-atallah-2025"&gt;&lt;/a&gt; Atallah, H., Qufabz, T., Naeem, R., Bakhsh, H. R., Ferriero, G., Varga, D., Derkács, E., &amp; Molics, B. (2025). The current state of 3D-printed prostheses clinical outcomes: A systematic review. Journal of Functional Biomaterials, 16(10), 370. https://doi.org/10.3390/jfb16100370</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id="ref-cabibihan-2021"&gt;&lt;/a&gt; Cabibihan, J.-J., Abubasha, M. K., &amp; Thakor, N. V. (2021). Suitability of the openly accessible 3D printed prosthetic hands for war-wounded children. Frontiers in Robotics and AI, 7, 594196. https://doi.org/10.3389/frobt.2020.594196</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id="ref-diment-2018"&gt;&lt;/a&gt; Diment, L. E., Thompson, M. S., &amp; Bergmann, J. H. M. (2018). Three-dimensional printed upper-limb prostheses lack randomised controlled trials: A systematic review. Prosthetics and Orthotics International, 42(1), 7-13. https://doi.org/10.1177/0309364617704803</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id="ref-wendo-2022"&gt;&lt;/a&gt; Wendo, K., Barbier, O., Bollen, X., Schubert, T., Lejeune, T., Raucent, B., &amp; Olszewski, R. (2022). Open-source 3D printing in the prosthetic field: The case of upper limb prostheses: A review. Machines, 10(6), 413. https://doi.org/10.3390/machines10060413</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&lt;a id="ref-zuniga-2015"&gt;&lt;/a&gt; Zuniga, J., Katsavelis, D., Peck, J., Stollberg, J., Petrykowski, M., Carson, A., &amp; Fernandez, C. (2015). Cyborg beast: A low-cost 3D-printed prosthetic hand for children with upper-limb differences. BMC Research Notes, 8, 10. https://doi.org/10.1186/s13104-015-0971-9</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t>&lt;a id="ref-1-definir-o-que-e-propriocep"&gt;&lt;/a&gt;</w:t>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id="ref-7-definir-seed-design"&gt;&lt;/a&gt;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rPr/>
      </w:pPr>
      <w:r>
        <w:annotationRef/>
      </w:r>
      <w:r>
        <w:rPr>
          <w:lang w:val="pt-PT"/>
        </w:rPr>
      </w:r>
    </w:p>
  </w:comment>
  <w:comment w:id="1" w:author="Unknown Author" w:date="2026-06-30T18:08:33Z" w:initials="">
    <w:p>
      <w:pPr>
        <w:overflowPunct w:val="true"/>
        <w:bidi w:val="0"/>
        <w:rPr/>
      </w:pPr>
      <w:r>
        <w:annotationRef/>
      </w:r>
      <w:r>
        <w:rPr>
          <w:lang w:val="pt-PT"/>
        </w:rPr>
        <w:t xml:space="preserve"> material/prosthetics-design/A review of technology, materials and R&amp;D challenges of upper limb prosthesis for improved user suitability.pdf</w:t>
      </w:r>
    </w:p>
    <w:p>
      <w:pPr>
        <w:overflowPunct w:val="true"/>
        <w:bidi w:val="0"/>
        <w:rPr/>
      </w:pPr>
      <w:r>
        <w:rPr>
          <w:lang w:val="pt-PT"/>
        </w:rPr>
      </w:r>
    </w:p>
    <w:p>
      <w:pPr>
        <w:overflowPunct w:val="true"/>
        <w:bidi w:val="0"/>
        <w:rPr/>
      </w:pPr>
      <w:r>
        <w:rPr>
          <w:lang w:val="pt-PT"/>
        </w:rPr>
        <w:t xml:space="preserve">  Ela sustenta a classificação assim: Brack e Amalu classificam a tecnologia de próteses de membro superior em próteses passivas, ativas e híbridas; depois</w:t>
      </w:r>
    </w:p>
    <w:p>
      <w:pPr>
        <w:overflowPunct w:val="true"/>
        <w:bidi w:val="0"/>
        <w:rPr/>
      </w:pPr>
      <w:r>
        <w:rPr>
          <w:lang w:val="pt-PT"/>
        </w:rPr>
        <w:t xml:space="preserve">  subdividem as ativas em acionadas pelo corpo e mioelétricas. Também definem as híbridas como combinação de componentes acionados pelo corpo e mioelétricos.</w:t>
      </w:r>
    </w:p>
    <w:p>
      <w:pPr>
        <w:overflowPunct w:val="true"/>
        <w:bidi w:val="0"/>
        <w:rPr/>
      </w:pPr>
      <w:r>
        <w:rPr>
          <w:lang w:val="pt-PT"/>
        </w:rPr>
      </w:r>
    </w:p>
    <w:p>
      <w:pPr>
        <w:overflowPunct w:val="true"/>
        <w:bidi w:val="0"/>
        <w:rPr/>
      </w:pPr>
      <w:r>
        <w:rPr>
          <w:lang w:val="pt-PT"/>
        </w:rPr>
        <w:t xml:space="preserve">  Podes citar a frase como:</w:t>
      </w:r>
    </w:p>
    <w:p>
      <w:pPr>
        <w:overflowPunct w:val="true"/>
        <w:bidi w:val="0"/>
        <w:rPr/>
      </w:pPr>
      <w:r>
        <w:rPr>
          <w:lang w:val="pt-PT"/>
        </w:rPr>
      </w:r>
    </w:p>
    <w:p>
      <w:pPr>
        <w:overflowPunct w:val="true"/>
        <w:bidi w:val="0"/>
        <w:rPr/>
      </w:pPr>
      <w:r>
        <w:rPr>
          <w:lang w:val="pt-PT"/>
        </w:rPr>
        <w:t xml:space="preserve">  &gt; As próteses de membro superior podem ser classificadas de acordo com a fonte de energia e o mecanismo de controlo, distinguindo-se próteses passivas, acionadas</w:t>
      </w:r>
    </w:p>
    <w:p>
      <w:pPr>
        <w:overflowPunct w:val="true"/>
        <w:bidi w:val="0"/>
        <w:rPr/>
      </w:pPr>
      <w:r>
        <w:rPr>
          <w:lang w:val="pt-PT"/>
        </w:rPr>
        <w:t xml:space="preserve">  &gt; pelo corpo, mioelétricas e híbridas (Brack &amp; Amalu, 2021).</w:t>
      </w:r>
    </w:p>
    <w:p>
      <w:pPr>
        <w:overflowPunct w:val="true"/>
        <w:bidi w:val="0"/>
        <w:rPr/>
      </w:pPr>
      <w:r>
        <w:rPr>
          <w:lang w:val="pt-PT"/>
        </w:rPr>
      </w:r>
    </w:p>
    <w:p>
      <w:pPr>
        <w:overflowPunct w:val="true"/>
        <w:bidi w:val="0"/>
        <w:rPr/>
      </w:pPr>
      <w:r>
        <w:rPr>
          <w:lang w:val="pt-PT"/>
        </w:rPr>
        <w:t xml:space="preserve">  Entrada APA 7:</w:t>
      </w:r>
    </w:p>
    <w:p>
      <w:pPr>
        <w:overflowPunct w:val="true"/>
        <w:bidi w:val="0"/>
        <w:rPr/>
      </w:pPr>
      <w:r>
        <w:rPr>
          <w:lang w:val="pt-PT"/>
        </w:rPr>
      </w:r>
    </w:p>
    <w:p>
      <w:pPr>
        <w:overflowPunct w:val="true"/>
        <w:bidi w:val="0"/>
        <w:rPr/>
      </w:pPr>
      <w:r>
        <w:rPr>
          <w:lang w:val="pt-PT"/>
        </w:rPr>
        <w:t xml:space="preserve">  Brack, R., &amp; Amalu, E. H. (2021). A review of technology, materials and R&amp;D challenges of upper limb prosthesis for improved user suitability. Journal of</w:t>
      </w:r>
    </w:p>
    <w:p>
      <w:pPr>
        <w:overflowPunct w:val="true"/>
        <w:bidi w:val="0"/>
        <w:rPr/>
      </w:pPr>
      <w:r>
        <w:rPr>
          <w:lang w:val="pt-PT"/>
        </w:rPr>
        <w:t xml:space="preserve">  Orthopaedics, 23, 88–96. https://doi.org/10.1016/j.jor.2020.12.009</w:t>
      </w:r>
    </w:p>
    <w:p>
      <w:pPr>
        <w:overflowPunct w:val="true"/>
        <w:bidi w:val="0"/>
        <w:rPr/>
      </w:pPr>
      <w:r>
        <w:rPr>
          <w:lang w:val="pt-PT"/>
        </w:rPr>
      </w:r>
    </w:p>
  </w:comment>
  <w:comment w:id="2" w:author="Unknown Author" w:date="2026-07-05T12:15:35Z" w:initials="">
    <w:p>
      <w:pPr>
        <w:overflowPunct w:val="true"/>
        <w:rPr/>
      </w:pPr>
      <w:r>
        <w:annotationRef/>
      </w:r>
      <w:r>
        <w:rPr>
          <w:lang w:val="pt-PT"/>
        </w:rPr>
        <w:t>Negação</w:t>
      </w:r>
    </w:p>
  </w:comment>
  <w:comment w:id="3" w:author="" w:initials="">
    <w:p>
      <w:pPr>
        <w:overflowPunct w:val="false"/>
        <w:rPr/>
      </w:pPr>
      <w:r>
        <w:annotationRef/>
      </w:r>
      <w:r>
        <w:rPr>
          <w:lang w:val="pt-PT"/>
        </w:rPr>
      </w:r>
    </w:p>
  </w:comment>
  <w:comment w:id="4" w:author="Unknown Author" w:date="2026-06-30T20:08:54Z" w:initials="">
    <w:p>
      <w:pPr>
        <w:overflowPunct w:val="true"/>
        <w:bidi w:val="0"/>
        <w:rPr/>
      </w:pPr>
      <w:r>
        <w:annotationRef/>
      </w:r>
      <w:r>
        <w:rPr>
          <w:lang w:val="pt-PT"/>
        </w:rPr>
        <w:t>Meter a norma</w:t>
      </w:r>
    </w:p>
  </w:comment>
  <w:comment w:id="5" w:author="" w:initials="">
    <w:p>
      <w:pPr>
        <w:overflowPunct w:val="false"/>
        <w:rPr/>
      </w:pPr>
      <w:r>
        <w:annotationRef/>
      </w:r>
      <w:r>
        <w:rPr>
          <w:lang w:val="pt-PT"/>
        </w:rPr>
      </w:r>
    </w:p>
  </w:comment>
  <w:comment w:id="6" w:author="Unknown Author" w:date="2026-06-30T20:11:38Z" w:initials="">
    <w:p>
      <w:pPr>
        <w:overflowPunct w:val="true"/>
        <w:bidi w:val="0"/>
        <w:rPr/>
      </w:pPr>
      <w:r>
        <w:annotationRef/>
      </w:r>
      <w:r>
        <w:rPr>
          <w:lang w:val="pt-PT"/>
        </w:rPr>
        <w:t>Explicar o prisma</w:t>
      </w:r>
    </w:p>
  </w:comment>
  <w:comment w:id="7" w:author="" w:initials="">
    <w:p>
      <w:pPr>
        <w:overflowPunct w:val="false"/>
        <w:rPr/>
      </w:pPr>
      <w:r>
        <w:annotationRef/>
      </w:r>
      <w:r>
        <w:rPr>
          <w:lang w:val="pt-PT"/>
        </w:rPr>
      </w:r>
    </w:p>
  </w:comment>
  <w:comment w:id="8" w:author="Unknown Author" w:date="2026-06-30T20:17:49Z" w:initials="">
    <w:p>
      <w:pPr>
        <w:overflowPunct w:val="true"/>
        <w:bidi w:val="0"/>
        <w:rPr/>
      </w:pPr>
      <w:r>
        <w:annotationRef/>
      </w:r>
      <w:r>
        <w:rPr>
          <w:lang w:val="pt-PT"/>
        </w:rPr>
        <w:t>Quem diz?</w:t>
      </w:r>
    </w:p>
    <w:p>
      <w:pPr>
        <w:overflowPunct w:val="true"/>
        <w:bidi w:val="0"/>
        <w:rPr/>
      </w:pPr>
      <w:r>
        <w:rPr>
          <w:lang w:val="pt-PT"/>
        </w:rPr>
      </w:r>
    </w:p>
    <w:p>
      <w:pPr>
        <w:overflowPunct w:val="true"/>
        <w:bidi w:val="0"/>
        <w:rPr/>
      </w:pPr>
      <w:r>
        <w:rPr>
          <w:lang w:val="pt-PT"/>
        </w:rPr>
        <w:t xml:space="preserve"> Privitera, M. (2017). Designing industrial design in the highly regulated medical device development process: Defining our valuable contribution towards</w:t>
      </w:r>
    </w:p>
    <w:p>
      <w:pPr>
        <w:overflowPunct w:val="true"/>
        <w:bidi w:val="0"/>
        <w:rPr/>
      </w:pPr>
      <w:r>
        <w:rPr>
          <w:lang w:val="pt-PT"/>
        </w:rPr>
        <w:t xml:space="preserve">  usability. The Design Journal, 20(sup1), S2190–S2206. https://doi.org/10.1080/14606925.2017.1352735</w:t>
      </w:r>
    </w:p>
    <w:p>
      <w:pPr>
        <w:overflowPunct w:val="true"/>
        <w:bidi w:val="0"/>
        <w:rPr/>
      </w:pPr>
      <w:r>
        <w:rPr>
          <w:lang w:val="pt-PT"/>
        </w:rPr>
      </w:r>
    </w:p>
    <w:p>
      <w:pPr>
        <w:overflowPunct w:val="true"/>
        <w:bidi w:val="0"/>
        <w:rPr/>
      </w:pPr>
      <w:r>
        <w:rPr>
          <w:lang w:val="pt-PT"/>
        </w:rPr>
        <w:t xml:space="preserve">  Oldfrey, B. M., et al. (2024). A scoping review of digital fabrication techniques applied to prosthetics and orthotics: Part 1 of 2: Prosthetics. Prosthetics and</w:t>
      </w:r>
    </w:p>
    <w:p>
      <w:pPr>
        <w:overflowPunct w:val="true"/>
        <w:bidi w:val="0"/>
        <w:rPr/>
      </w:pPr>
      <w:r>
        <w:rPr>
          <w:lang w:val="pt-PT"/>
        </w:rPr>
        <w:t xml:space="preserve">  Orthotics International, 48, 574–589. https://doi.org/10.1097/PXR.0000000000000351</w:t>
      </w:r>
    </w:p>
    <w:p>
      <w:pPr>
        <w:overflowPunct w:val="true"/>
        <w:bidi w:val="0"/>
        <w:rPr/>
      </w:pPr>
      <w:r>
        <w:rPr>
          <w:lang w:val="pt-PT"/>
        </w:rPr>
      </w:r>
    </w:p>
    <w:p>
      <w:pPr>
        <w:overflowPunct w:val="true"/>
        <w:bidi w:val="0"/>
        <w:rPr/>
      </w:pPr>
      <w:r>
        <w:rPr>
          <w:lang w:val="pt-PT"/>
        </w:rPr>
        <w:t xml:space="preserve">  Mc Guinness, E., Patel, D., Patrick, M., &amp; Austin, V. (2025). Outcomes of assistive technology use by sex and gender: A scoping review. Disability and</w:t>
      </w:r>
    </w:p>
    <w:p>
      <w:pPr>
        <w:overflowPunct w:val="true"/>
        <w:bidi w:val="0"/>
        <w:rPr/>
      </w:pPr>
      <w:r>
        <w:rPr>
          <w:lang w:val="pt-PT"/>
        </w:rPr>
        <w:t xml:space="preserve">  Rehabilitation: Assistive Technology, 20(8), 2666–2690. https://doi.org/10.1080/17483107.2025.2516615</w:t>
      </w:r>
    </w:p>
    <w:p>
      <w:pPr>
        <w:overflowPunct w:val="true"/>
        <w:bidi w:val="0"/>
        <w:rPr/>
      </w:pPr>
      <w:r>
        <w:rPr>
          <w:lang w:val="pt-PT"/>
        </w:rPr>
      </w:r>
    </w:p>
  </w:comment>
  <w:comment w:id="9" w:author="" w:initials="">
    <w:p>
      <w:pPr>
        <w:overflowPunct w:val="false"/>
        <w:rPr/>
      </w:pPr>
      <w:r>
        <w:annotationRef/>
      </w:r>
      <w:r>
        <w:rPr>
          <w:lang w:val="pt-PT"/>
        </w:rPr>
      </w:r>
    </w:p>
  </w:comment>
  <w:comment w:id="10" w:author="Unknown Author" w:date="2026-06-30T20:34:34Z" w:initials="">
    <w:p>
      <w:pPr>
        <w:overflowPunct w:val="true"/>
        <w:bidi w:val="0"/>
        <w:rPr/>
      </w:pPr>
      <w:r>
        <w:annotationRef/>
      </w:r>
      <w:r>
        <w:rPr>
          <w:lang w:val="pt-PT"/>
        </w:rPr>
        <w:t>Escalados ou escalonados</w:t>
      </w:r>
    </w:p>
  </w:comment>
  <w:comment w:id="11" w:author="Unknown Author" w:date="2026-06-30T20:44:05Z" w:initials="">
    <w:p>
      <w:pPr>
        <w:overflowPunct w:val="true"/>
        <w:bidi w:val="0"/>
        <w:rPr/>
      </w:pPr>
      <w:r>
        <w:annotationRef/>
      </w:r>
      <w:r>
        <w:rPr>
          <w:lang w:val="pt-PT"/>
        </w:rPr>
        <w:t>Mesmo problema</w:t>
      </w:r>
    </w:p>
    <w:p>
      <w:pPr>
        <w:overflowPunct w:val="true"/>
        <w:bidi w:val="0"/>
        <w:rPr/>
      </w:pPr>
      <w:r>
        <w:rPr>
          <w:lang w:val="pt-PT"/>
        </w:rPr>
      </w:r>
    </w:p>
  </w:comment>
  <w:comment w:id="12" w:author="" w:initials="">
    <w:p>
      <w:pPr>
        <w:overflowPunct w:val="false"/>
        <w:rPr/>
      </w:pPr>
      <w:r>
        <w:annotationRef/>
      </w:r>
      <w:r>
        <w:rPr>
          <w:lang w:val="pt-PT"/>
        </w:rPr>
      </w:r>
    </w:p>
  </w:comment>
  <w:comment w:id="13" w:author="" w:initials="">
    <w:p>
      <w:pPr>
        <w:overflowPunct w:val="false"/>
        <w:rPr/>
      </w:pPr>
      <w:r>
        <w:annotationRef/>
      </w:r>
      <w:r>
        <w:rPr>
          <w:lang w:val="pt-PT"/>
        </w:rPr>
      </w:r>
    </w:p>
  </w:comment>
  <w:comment w:id="14" w:author="Unknown Author" w:date="2026-06-30T20:36:00Z" w:initials="">
    <w:p>
      <w:pPr>
        <w:overflowPunct w:val="true"/>
        <w:bidi w:val="0"/>
        <w:rPr/>
      </w:pPr>
      <w:r>
        <w:annotationRef/>
      </w:r>
      <w:r>
        <w:rPr>
          <w:lang w:val="pt-PT"/>
        </w:rPr>
        <w:t>Não me recordo se escrevemos antes FA ou não.</w:t>
      </w:r>
    </w:p>
  </w:comment>
  <w:comment w:id="15" w:author="" w:initials="">
    <w:p>
      <w:pPr>
        <w:overflowPunct w:val="false"/>
        <w:rPr/>
      </w:pPr>
      <w:r>
        <w:annotationRef/>
      </w:r>
      <w:r>
        <w:rPr>
          <w:lang w:val="pt-PT"/>
        </w:rPr>
      </w:r>
    </w:p>
  </w:comment>
  <w:comment w:id="16" w:author="Unknown Author" w:date="2026-06-30T20:54:43Z" w:initials="">
    <w:p>
      <w:pPr>
        <w:overflowPunct w:val="true"/>
        <w:bidi w:val="0"/>
        <w:rPr/>
      </w:pPr>
      <w:r>
        <w:annotationRef/>
      </w:r>
      <w:r>
        <w:rPr>
          <w:lang w:val="pt-PT"/>
        </w:rPr>
        <w:t>E meter isto em português de portugal?</w:t>
      </w:r>
    </w:p>
  </w:comment>
  <w:comment w:id="17" w:author="" w:initials="">
    <w:p>
      <w:pPr>
        <w:overflowPunct w:val="false"/>
        <w:rPr/>
      </w:pPr>
      <w:r>
        <w:annotationRef/>
      </w:r>
      <w:r>
        <w:rPr>
          <w:lang w:val="pt-PT"/>
        </w:rPr>
      </w:r>
    </w:p>
  </w:comment>
  <w:comment w:id="18" w:author="Unknown Author" w:date="2026-06-30T21:02:37Z" w:initials="">
    <w:p>
      <w:pPr>
        <w:overflowPunct w:val="true"/>
        <w:bidi w:val="0"/>
        <w:rPr/>
      </w:pPr>
      <w:r>
        <w:annotationRef/>
      </w:r>
      <w:r>
        <w:rPr>
          <w:lang w:val="pt-PT"/>
        </w:rPr>
        <w:t>É meter aqui uma nota a explicar o que é uma fronteira de pareto.</w:t>
      </w:r>
    </w:p>
  </w:comment>
  <w:comment w:id="19" w:author="Unknown Author" w:date="2026-06-30T21:07:24Z" w:initials="">
    <w:p>
      <w:pPr>
        <w:overflowPunct w:val="true"/>
        <w:bidi w:val="0"/>
        <w:rPr/>
      </w:pPr>
      <w:r>
        <w:annotationRef/>
      </w:r>
      <w:r>
        <w:rPr>
          <w:lang w:val="pt-PT"/>
        </w:rPr>
        <w:t>Antes já tinhamos apontado para FA</w:t>
      </w:r>
    </w:p>
  </w:comment>
  <w:comment w:id="20" w:author="" w:initials="">
    <w:p>
      <w:pPr>
        <w:overflowPunct w:val="false"/>
        <w:rPr/>
      </w:pPr>
      <w:r>
        <w:annotationRef/>
      </w:r>
      <w:r>
        <w:rPr>
          <w:lang w:val="pt-PT"/>
        </w:rPr>
      </w:r>
    </w:p>
  </w:comment>
  <w:comment w:id="21" w:author="" w:initials="">
    <w:p>
      <w:pPr>
        <w:overflowPunct w:val="false"/>
        <w:rPr/>
      </w:pPr>
      <w:r>
        <w:annotationRef/>
      </w:r>
      <w:r>
        <w:rPr>
          <w:lang w:val="pt-PT"/>
        </w:rPr>
      </w:r>
    </w:p>
  </w:comment>
  <w:comment w:id="22" w:author="Unknown Author" w:date="2026-06-30T21:07:04Z" w:initials="">
    <w:p>
      <w:pPr>
        <w:overflowPunct w:val="true"/>
        <w:bidi w:val="0"/>
        <w:rPr/>
      </w:pPr>
      <w:r>
        <w:annotationRef/>
      </w:r>
      <w:r>
        <w:rPr>
          <w:lang w:val="pt-PT"/>
        </w:rPr>
        <w:t>É preciso definir o que é CAD/CAM</w:t>
      </w:r>
    </w:p>
  </w:comment>
  <w:comment w:id="23" w:author="" w:initials="">
    <w:p>
      <w:pPr>
        <w:overflowPunct w:val="false"/>
        <w:rPr/>
      </w:pPr>
      <w:r>
        <w:annotationRef/>
      </w:r>
      <w:r>
        <w:rPr>
          <w:lang w:val="pt-PT"/>
        </w:rPr>
      </w:r>
    </w:p>
  </w:comment>
  <w:comment w:id="24" w:author="Unknown Author" w:date="2026-06-30T21:11:54Z" w:initials="">
    <w:p>
      <w:pPr>
        <w:overflowPunct w:val="true"/>
        <w:bidi w:val="0"/>
        <w:rPr/>
      </w:pPr>
      <w:r>
        <w:annotationRef/>
      </w:r>
      <w:r>
        <w:rPr>
          <w:lang w:val="pt-PT"/>
        </w:rPr>
        <w:t>Um proxy? Brooooo</w:t>
      </w:r>
    </w:p>
    <w:p>
      <w:pPr>
        <w:overflowPunct w:val="true"/>
        <w:bidi w:val="0"/>
        <w:rPr/>
      </w:pPr>
      <w:r>
        <w:rPr>
          <w:lang w:val="pt-PT"/>
        </w:rPr>
      </w:r>
    </w:p>
  </w:comment>
  <w:comment w:id="25" w:author="" w:initials="">
    <w:p>
      <w:pPr>
        <w:overflowPunct w:val="false"/>
        <w:rPr/>
      </w:pPr>
      <w:r>
        <w:annotationRef/>
      </w:r>
      <w:r>
        <w:rPr>
          <w:lang w:val="pt-PT"/>
        </w:rPr>
      </w:r>
    </w:p>
  </w:comment>
  <w:comment w:id="26" w:author="Unknown Author" w:date="2026-07-01T07:18:56Z" w:initials="">
    <w:p>
      <w:pPr>
        <w:overflowPunct w:val="true"/>
        <w:bidi w:val="0"/>
        <w:rPr/>
      </w:pPr>
      <w:r>
        <w:annotationRef/>
      </w:r>
      <w:r>
        <w:rPr>
          <w:lang w:val="pt-PT"/>
        </w:rPr>
        <w:t>Sem ser in engrishe prease</w:t>
      </w:r>
    </w:p>
  </w:comment>
  <w:comment w:id="27" w:author="" w:initials="">
    <w:p>
      <w:pPr>
        <w:overflowPunct w:val="false"/>
        <w:rPr/>
      </w:pPr>
      <w:r>
        <w:annotationRef/>
      </w:r>
      <w:r>
        <w:rPr>
          <w:lang w:val="pt-PT"/>
        </w:rPr>
      </w:r>
    </w:p>
  </w:comment>
  <w:comment w:id="28" w:author="Unknown Author" w:date="2026-07-01T07:37:46Z" w:initials="">
    <w:p>
      <w:pPr>
        <w:overflowPunct w:val="true"/>
        <w:bidi w:val="0"/>
        <w:rPr/>
      </w:pPr>
      <w:r>
        <w:annotationRef/>
      </w:r>
      <w:r>
        <w:rPr>
          <w:lang w:val="pt-PT"/>
        </w:rPr>
        <w:t>Isto parece-me perdido aqui</w:t>
      </w:r>
    </w:p>
  </w:comment>
  <w:comment w:id="29" w:author="Unknown Author" w:date="2026-07-01T07:38:17Z" w:initials="">
    <w:p>
      <w:pPr>
        <w:overflowPunct w:val="true"/>
        <w:bidi w:val="0"/>
        <w:rPr/>
      </w:pPr>
      <w:r>
        <w:annotationRef/>
      </w:r>
      <w:r>
        <w:rPr>
          <w:lang w:val="pt-PT"/>
        </w:rPr>
        <w:t>É preciso explicar o que é a modelação estatística de forma</w:t>
      </w:r>
    </w:p>
  </w:comment>
  <w:comment w:id="30" w:author="" w:initials="">
    <w:p>
      <w:pPr>
        <w:overflowPunct w:val="false"/>
        <w:rPr/>
      </w:pPr>
      <w:r>
        <w:annotationRef/>
      </w:r>
      <w:r>
        <w:rPr>
          <w:lang w:val="pt-PT"/>
        </w:rPr>
      </w:r>
    </w:p>
  </w:comment>
  <w:comment w:id="31" w:author="" w:initials="">
    <w:p>
      <w:pPr>
        <w:overflowPunct w:val="false"/>
        <w:rPr/>
      </w:pPr>
      <w:r>
        <w:annotationRef/>
      </w:r>
      <w:r>
        <w:rPr>
          <w:lang w:val="pt-PT"/>
        </w:rPr>
      </w:r>
    </w:p>
  </w:comment>
  <w:comment w:id="32" w:author="Unknown Author" w:date="2026-07-01T07:38:53Z" w:initials="">
    <w:p>
      <w:pPr>
        <w:overflowPunct w:val="true"/>
        <w:bidi w:val="0"/>
        <w:rPr/>
      </w:pPr>
      <w:r>
        <w:annotationRef/>
      </w:r>
      <w:r>
        <w:rPr>
          <w:lang w:val="pt-PT"/>
        </w:rPr>
        <w:t>É preciso explicar o que é um CT/MRI</w:t>
      </w:r>
    </w:p>
  </w:comment>
  <w:comment w:id="33" w:author="" w:initials="">
    <w:p>
      <w:pPr>
        <w:overflowPunct w:val="false"/>
        <w:rPr/>
      </w:pPr>
      <w:r>
        <w:annotationRef/>
      </w:r>
      <w:r>
        <w:rPr>
          <w:lang w:val="pt-PT"/>
        </w:rPr>
      </w:r>
    </w:p>
  </w:comment>
  <w:comment w:id="34" w:author="Unknown Author" w:date="2026-07-01T07:40:04Z" w:initials="">
    <w:p>
      <w:pPr>
        <w:overflowPunct w:val="true"/>
        <w:bidi w:val="0"/>
        <w:rPr/>
      </w:pPr>
      <w:r>
        <w:annotationRef/>
      </w:r>
      <w:r>
        <w:rPr>
          <w:lang w:val="pt-PT"/>
        </w:rPr>
        <w:t>Explicar o que são hot spots térmicos</w:t>
      </w:r>
    </w:p>
  </w:comment>
  <w:comment w:id="35" w:author="Unknown Author" w:date="2026-07-01T07:42:10Z" w:initials="">
    <w:p>
      <w:pPr>
        <w:overflowPunct w:val="true"/>
        <w:bidi w:val="0"/>
        <w:rPr/>
      </w:pPr>
      <w:r>
        <w:annotationRef/>
      </w:r>
      <w:r>
        <w:rPr>
          <w:lang w:val="pt-PT"/>
        </w:rPr>
        <w:t>Com PCA? Claro, bro. E vai querer mais alguma coisa para comer?</w:t>
      </w:r>
    </w:p>
  </w:comment>
  <w:comment w:id="36" w:author="" w:initials="">
    <w:p>
      <w:pPr>
        <w:overflowPunct w:val="false"/>
        <w:rPr/>
      </w:pPr>
      <w:r>
        <w:annotationRef/>
      </w:r>
      <w:r>
        <w:rPr>
          <w:lang w:val="pt-PT"/>
        </w:rPr>
      </w:r>
    </w:p>
  </w:comment>
  <w:comment w:id="37" w:author="" w:initials="">
    <w:p>
      <w:pPr>
        <w:overflowPunct w:val="false"/>
        <w:rPr/>
      </w:pPr>
      <w:r>
        <w:annotationRef/>
      </w:r>
      <w:r>
        <w:rPr>
          <w:lang w:val="pt-PT"/>
        </w:rPr>
      </w:r>
    </w:p>
  </w:comment>
  <w:comment w:id="38" w:author="Unknown Author" w:date="2026-07-01T07:42:41Z" w:initials="">
    <w:p>
      <w:pPr>
        <w:overflowPunct w:val="true"/>
        <w:bidi w:val="0"/>
        <w:rPr/>
      </w:pPr>
      <w:r>
        <w:annotationRef/>
      </w:r>
      <w:r>
        <w:rPr>
          <w:lang w:val="pt-PT"/>
        </w:rPr>
        <w:t>Definir sigla</w:t>
      </w:r>
    </w:p>
  </w:comment>
  <w:comment w:id="39" w:author="Unknown Author" w:date="2026-07-05T12:15:50Z" w:initials="">
    <w:p>
      <w:pPr>
        <w:overflowPunct w:val="true"/>
        <w:rPr/>
      </w:pPr>
      <w:r>
        <w:annotationRef/>
      </w:r>
      <w:r>
        <w:rPr>
          <w:lang w:val="pt-PT"/>
        </w:rPr>
        <w:t>Negação</w:t>
      </w:r>
    </w:p>
  </w:comment>
  <w:comment w:id="40" w:author="" w:initials="">
    <w:p>
      <w:pPr>
        <w:overflowPunct w:val="false"/>
        <w:rPr/>
      </w:pPr>
      <w:r>
        <w:annotationRef/>
      </w:r>
      <w:r>
        <w:rPr>
          <w:lang w:val="pt-PT"/>
        </w:rPr>
      </w:r>
    </w:p>
  </w:comment>
  <w:comment w:id="41" w:author="Unknown Author" w:date="2026-07-01T07:50:57Z" w:initials="">
    <w:p>
      <w:pPr>
        <w:overflowPunct w:val="true"/>
        <w:bidi w:val="0"/>
        <w:rPr/>
      </w:pPr>
      <w:r>
        <w:annotationRef/>
      </w:r>
      <w:r>
        <w:rPr>
          <w:lang w:val="pt-PT"/>
        </w:rPr>
        <w:t>Vamos definir</w:t>
      </w:r>
    </w:p>
  </w:comment>
  <w:comment w:id="42" w:author="" w:initials="">
    <w:p>
      <w:pPr>
        <w:overflowPunct w:val="false"/>
        <w:rPr/>
      </w:pPr>
      <w:r>
        <w:annotationRef/>
      </w:r>
      <w:r>
        <w:rPr>
          <w:lang w:val="pt-PT"/>
        </w:rPr>
      </w:r>
    </w:p>
  </w:comment>
  <w:comment w:id="43" w:author="Unknown Author" w:date="2026-07-01T08:01:54Z" w:initials="">
    <w:p>
      <w:pPr>
        <w:overflowPunct w:val="true"/>
        <w:bidi w:val="0"/>
        <w:rPr/>
      </w:pPr>
      <w:r>
        <w:annotationRef/>
      </w:r>
      <w:r>
        <w:rPr>
          <w:lang w:val="pt-PT"/>
        </w:rPr>
        <w:t>O que é um prompt? É preciso definir</w:t>
      </w:r>
    </w:p>
  </w:comment>
  <w:comment w:id="44" w:author="" w:initials="">
    <w:p>
      <w:pPr>
        <w:overflowPunct w:val="false"/>
        <w:rPr/>
      </w:pPr>
      <w:r>
        <w:annotationRef/>
      </w:r>
      <w:r>
        <w:rPr>
          <w:lang w:val="pt-PT"/>
        </w:rPr>
      </w:r>
    </w:p>
  </w:comment>
  <w:comment w:id="45" w:author="Unknown Author" w:date="2026-07-01T08:10:15Z" w:initials="">
    <w:p>
      <w:pPr>
        <w:overflowPunct w:val="true"/>
        <w:bidi w:val="0"/>
        <w:rPr/>
      </w:pPr>
      <w:r>
        <w:annotationRef/>
      </w:r>
      <w:r>
        <w:rPr>
          <w:lang w:val="pt-PT"/>
        </w:rPr>
        <w:t>Não sei se julgamento é a expressão correta</w:t>
      </w:r>
    </w:p>
  </w:comment>
  <w:comment w:id="46" w:author="" w:initials="">
    <w:p>
      <w:pPr>
        <w:overflowPunct w:val="false"/>
        <w:rPr/>
      </w:pPr>
      <w:r>
        <w:annotationRef/>
      </w:r>
      <w:r>
        <w:rPr>
          <w:lang w:val="pt-PT"/>
        </w:rPr>
      </w:r>
    </w:p>
  </w:comment>
  <w:comment w:id="47" w:author="Unknown Author" w:date="2026-07-01T08:12:05Z" w:initials="">
    <w:p>
      <w:pPr>
        <w:overflowPunct w:val="true"/>
        <w:bidi w:val="0"/>
        <w:rPr/>
      </w:pPr>
      <w:r>
        <w:annotationRef/>
      </w:r>
      <w:r>
        <w:rPr>
          <w:lang w:val="pt-PT"/>
        </w:rPr>
        <w:t>É uma boa frase se queres fazer de jesus pq vais ser cruxificado</w:t>
      </w:r>
    </w:p>
  </w:comment>
  <w:comment w:id="48" w:author="Unknown Author" w:date="2026-07-01T19:07:33Z" w:initials="">
    <w:p>
      <w:pPr>
        <w:overflowPunct w:val="false"/>
        <w:bidi w:val="0"/>
        <w:rPr/>
      </w:pPr>
      <w:r>
        <w:annotationRef/>
      </w:r>
      <w:r>
        <w:rPr>
          <w:lang w:val="pt-PT"/>
        </w:rPr>
        <w:t>Precisas de definir o meta design</w:t>
      </w:r>
    </w:p>
  </w:comment>
  <w:comment w:id="49" w:author="" w:initials="">
    <w:p>
      <w:pPr>
        <w:overflowPunct w:val="false"/>
        <w:rPr/>
      </w:pPr>
      <w:r>
        <w:annotationRef/>
      </w:r>
      <w:r>
        <w:rPr>
          <w:lang w:val="pt-PT"/>
        </w:rPr>
      </w:r>
    </w:p>
  </w:comment>
  <w:comment w:id="50" w:author="Unknown Author" w:date="2026-07-01T19:08:06Z" w:initials="">
    <w:p>
      <w:pPr>
        <w:overflowPunct w:val="false"/>
        <w:bidi w:val="0"/>
        <w:rPr/>
      </w:pPr>
      <w:r>
        <w:annotationRef/>
      </w:r>
      <w:r>
        <w:rPr>
          <w:lang w:val="pt-PT"/>
        </w:rPr>
        <w:t>Tens que desenvolver isto pare perceber seisto faz sentido de estar aqui ou se cortamos</w:t>
      </w:r>
    </w:p>
  </w:comment>
  <w:comment w:id="51" w:author="" w:initials="">
    <w:p>
      <w:pPr>
        <w:overflowPunct w:val="false"/>
        <w:rPr/>
      </w:pPr>
      <w:r>
        <w:annotationRef/>
      </w:r>
      <w:r>
        <w:rPr>
          <w:lang w:val="pt-PT"/>
        </w:rPr>
      </w:r>
    </w:p>
  </w:comment>
  <w:comment w:id="52" w:author="Unknown Author" w:date="2026-07-01T19:09:25Z" w:initials="">
    <w:p>
      <w:pPr>
        <w:overflowPunct w:val="false"/>
        <w:bidi w:val="0"/>
        <w:rPr/>
      </w:pPr>
      <w:r>
        <w:annotationRef/>
      </w:r>
      <w:r>
        <w:rPr>
          <w:lang w:val="pt-PT"/>
        </w:rPr>
        <w:t>FALA PORTUGUÊS!</w:t>
      </w:r>
    </w:p>
  </w:comment>
  <w:comment w:id="53" w:author="" w:initials="">
    <w:p>
      <w:pPr>
        <w:overflowPunct w:val="false"/>
        <w:rPr/>
      </w:pPr>
      <w:r>
        <w:annotationRef/>
      </w:r>
      <w:r>
        <w:rPr>
          <w:lang w:val="pt-PT"/>
        </w:rPr>
      </w:r>
    </w:p>
  </w:comment>
  <w:comment w:id="54" w:author="Unknown Author" w:date="2026-07-01T20:23:09Z" w:initials="">
    <w:p>
      <w:pPr>
        <w:overflowPunct w:val="false"/>
        <w:bidi w:val="0"/>
        <w:rPr/>
      </w:pPr>
      <w:r>
        <w:annotationRef/>
      </w:r>
      <w:r>
        <w:rPr>
          <w:lang w:val="pt-PT"/>
        </w:rPr>
        <w:t>E definir isto?</w:t>
      </w:r>
    </w:p>
  </w:comment>
  <w:comment w:id="55" w:author="" w:initials="">
    <w:p>
      <w:pPr>
        <w:overflowPunct w:val="false"/>
        <w:rPr/>
      </w:pPr>
      <w:r>
        <w:annotationRef/>
      </w:r>
      <w:r>
        <w:rPr>
          <w:lang w:val="pt-PT"/>
        </w:rPr>
      </w:r>
    </w:p>
  </w:comment>
  <w:comment w:id="56" w:author="" w:initials="">
    <w:p>
      <w:pPr>
        <w:overflowPunct w:val="false"/>
        <w:rPr/>
      </w:pPr>
      <w:r>
        <w:annotationRef/>
      </w:r>
      <w:r>
        <w:rPr>
          <w:lang w:val="pt-PT"/>
        </w:rPr>
      </w:r>
    </w:p>
  </w:comment>
  <w:comment w:id="57" w:author="Unknown Author" w:date="2026-07-01T20:24:02Z" w:initials="">
    <w:p>
      <w:pPr>
        <w:overflowPunct w:val="false"/>
        <w:bidi w:val="0"/>
        <w:rPr/>
      </w:pPr>
      <w:r>
        <w:annotationRef/>
      </w:r>
      <w:r>
        <w:rPr>
          <w:lang w:val="pt-PT"/>
        </w:rPr>
        <w:t>Não precisava claramente de ser uma tabela</w:t>
      </w:r>
    </w:p>
  </w:comment>
  <w:comment w:id="58" w:author="Unknown Author" w:date="2026-07-01T20:42:22Z" w:initials="">
    <w:p>
      <w:pPr>
        <w:overflowPunct w:val="false"/>
        <w:bidi w:val="0"/>
        <w:rPr/>
      </w:pPr>
      <w:r>
        <w:annotationRef/>
      </w:r>
      <w:r>
        <w:rPr>
          <w:lang w:val="pt-PT"/>
        </w:rPr>
        <w:t>Definir o que são</w:t>
      </w:r>
    </w:p>
    <w:p>
      <w:pPr>
        <w:overflowPunct w:val="false"/>
        <w:bidi w:val="0"/>
        <w:rPr/>
      </w:pPr>
      <w:r>
        <w:rPr>
          <w:lang w:val="pt-PT"/>
        </w:rPr>
      </w:r>
    </w:p>
  </w:comment>
  <w:comment w:id="59" w:author="" w:initials="">
    <w:p>
      <w:pPr>
        <w:overflowPunct w:val="false"/>
        <w:rPr/>
      </w:pPr>
      <w:r>
        <w:annotationRef/>
      </w:r>
      <w:r>
        <w:rPr>
          <w:lang w:val="pt-PT"/>
        </w:rPr>
      </w:r>
    </w:p>
  </w:comment>
  <w:comment w:id="60" w:author="Unknown Author" w:date="2026-07-05T12:16:03Z" w:initials="">
    <w:p>
      <w:pPr>
        <w:overflowPunct w:val="true"/>
        <w:rPr/>
      </w:pPr>
      <w:r>
        <w:annotationRef/>
      </w:r>
      <w:r>
        <w:rPr>
          <w:lang w:val="pt-PT"/>
        </w:rPr>
        <w:t>Negação</w:t>
      </w:r>
    </w:p>
  </w:comment>
  <w:comment w:id="61" w:author="Unknown Author" w:date="2026-07-01T20:43:47Z" w:initials="">
    <w:p>
      <w:pPr>
        <w:overflowPunct w:val="false"/>
        <w:bidi w:val="0"/>
        <w:rPr/>
      </w:pPr>
      <w:r>
        <w:annotationRef/>
      </w:r>
      <w:r>
        <w:rPr>
          <w:lang w:val="pt-PT"/>
        </w:rPr>
        <w:t>É a primeira vez que estás a falar sobre isto. É preciso referir e explicar algures antes deste ponto o que é a Vitoria Hand Project e Já agora a E-Nabled</w:t>
      </w:r>
    </w:p>
  </w:comment>
  <w:comment w:id="62" w:author="" w:initials="">
    <w:p>
      <w:pPr>
        <w:overflowPunct w:val="false"/>
        <w:rPr/>
      </w:pPr>
      <w:r>
        <w:annotationRef/>
      </w:r>
      <w:r>
        <w:rPr>
          <w:lang w:val="pt-PT"/>
        </w:rPr>
      </w:r>
    </w:p>
  </w:comment>
  <w:comment w:id="63" w:author="Unknown Author" w:date="2026-07-01T21:09:50Z" w:initials="">
    <w:p>
      <w:pPr>
        <w:overflowPunct w:val="false"/>
        <w:bidi w:val="0"/>
        <w:rPr/>
      </w:pPr>
      <w:r>
        <w:annotationRef/>
      </w:r>
      <w:r>
        <w:rPr>
          <w:lang w:val="pt-PT"/>
        </w:rPr>
        <w:t>Vamos adicionar uma nota a definir o que é</w:t>
      </w:r>
    </w:p>
  </w:comment>
  <w:comment w:id="64" w:author="" w:initials="">
    <w:p>
      <w:pPr>
        <w:overflowPunct w:val="false"/>
        <w:rPr/>
      </w:pPr>
      <w:r>
        <w:annotationRef/>
      </w:r>
      <w:r>
        <w:rPr>
          <w:lang w:val="pt-PT"/>
        </w:rPr>
      </w:r>
    </w:p>
  </w:comment>
  <w:comment w:id="65" w:author="" w:initials="">
    <w:p>
      <w:pPr>
        <w:overflowPunct w:val="false"/>
        <w:rPr/>
      </w:pPr>
      <w:r>
        <w:annotationRef/>
      </w:r>
      <w:r>
        <w:rPr>
          <w:lang w:val="pt-PT"/>
        </w:rPr>
      </w:r>
    </w:p>
  </w:comment>
  <w:comment w:id="66" w:author="Unknown Author" w:date="2026-07-01T21:02:39Z" w:initials="">
    <w:p>
      <w:pPr>
        <w:overflowPunct w:val="false"/>
        <w:bidi w:val="0"/>
        <w:rPr/>
      </w:pPr>
      <w:r>
        <w:annotationRef/>
      </w:r>
      <w:r>
        <w:rPr>
          <w:lang w:val="pt-PT"/>
        </w:rPr>
        <w:t>Esta legenda precisa de mais explicação sobre o que são proteses UL, 3DP, LL other, etc</w:t>
      </w:r>
    </w:p>
    <w:p>
      <w:pPr>
        <w:overflowPunct w:val="false"/>
        <w:bidi w:val="0"/>
        <w:rPr/>
      </w:pPr>
      <w:r>
        <w:rPr>
          <w:lang w:val="pt-PT"/>
        </w:rPr>
      </w:r>
    </w:p>
  </w:comment>
  <w:comment w:id="67" w:author="Unknown Author" w:date="2026-07-05T12:16:20Z" w:initials="">
    <w:p>
      <w:pPr>
        <w:overflowPunct w:val="true"/>
        <w:rPr/>
      </w:pPr>
      <w:r>
        <w:annotationRef/>
      </w:r>
      <w:r>
        <w:rPr>
          <w:lang w:val="pt-PT"/>
        </w:rPr>
        <w:t>Negação</w:t>
      </w:r>
    </w:p>
  </w:comment>
  <w:comment w:id="68" w:author="" w:initials="">
    <w:p>
      <w:pPr>
        <w:overflowPunct w:val="false"/>
        <w:rPr/>
      </w:pPr>
      <w:r>
        <w:annotationRef/>
      </w:r>
      <w:r>
        <w:rPr>
          <w:lang w:val="pt-PT"/>
        </w:rPr>
      </w:r>
    </w:p>
  </w:comment>
  <w:comment w:id="69" w:author="Unknown Author" w:date="2026-07-02T17:25:21Z" w:initials="">
    <w:p>
      <w:pPr>
        <w:overflowPunct w:val="false"/>
        <w:bidi w:val="0"/>
        <w:rPr/>
      </w:pPr>
      <w:r>
        <w:annotationRef/>
      </w:r>
      <w:r>
        <w:rPr>
          <w:lang w:val="pt-PT"/>
        </w:rPr>
        <w:t>Podemos adicionar aquele gráfico todo bonito que fizeste antes.</w:t>
      </w:r>
    </w:p>
  </w:comment>
  <w:comment w:id="70" w:author="Unknown Author" w:date="2026-07-02T17:36:42Z" w:initials="">
    <w:p>
      <w:pPr>
        <w:overflowPunct w:val="false"/>
        <w:bidi w:val="0"/>
        <w:rPr/>
      </w:pPr>
      <w:r>
        <w:annotationRef/>
      </w:r>
      <w:r>
        <w:rPr>
          <w:lang w:val="pt-PT"/>
        </w:rPr>
        <w:t>Isto já foi definido anteriormento?</w:t>
      </w:r>
    </w:p>
  </w:comment>
  <w:comment w:id="71" w:author="" w:initials="">
    <w:p>
      <w:pPr>
        <w:overflowPunct w:val="false"/>
        <w:rPr/>
      </w:pPr>
      <w:r>
        <w:annotationRef/>
      </w:r>
      <w:r>
        <w:rPr>
          <w:lang w:val="pt-PT"/>
        </w:rPr>
      </w:r>
    </w:p>
  </w:comment>
  <w:comment w:id="72" w:author="Unknown Author" w:date="2026-07-02T17:57:37Z" w:initials="">
    <w:p>
      <w:pPr>
        <w:overflowPunct w:val="false"/>
        <w:bidi w:val="0"/>
        <w:rPr/>
      </w:pPr>
      <w:r>
        <w:annotationRef/>
      </w:r>
      <w:r>
        <w:rPr>
          <w:lang w:val="pt-PT"/>
        </w:rPr>
        <w:t>Aqui é que podemos meter o nosso gráfico bonitolas</w:t>
      </w:r>
    </w:p>
  </w:comment>
  <w:comment w:id="73" w:author="Unknown Author" w:date="2026-07-02T18:05:03Z" w:initials="">
    <w:p>
      <w:pPr>
        <w:overflowPunct w:val="false"/>
        <w:bidi w:val="0"/>
        <w:rPr/>
      </w:pPr>
      <w:r>
        <w:annotationRef/>
      </w:r>
      <w:r>
        <w:rPr>
          <w:lang w:val="pt-PT"/>
        </w:rPr>
        <w:t>Falo disto? Acho que não faço em PLA e PETG</w:t>
      </w:r>
    </w:p>
  </w:comment>
  <w:comment w:id="74" w:author="" w:initials="">
    <w:p>
      <w:pPr>
        <w:overflowPunct w:val="false"/>
        <w:rPr/>
      </w:pPr>
      <w:r>
        <w:annotationRef/>
      </w:r>
      <w:r>
        <w:rPr>
          <w:lang w:val="pt-PT"/>
        </w:rPr>
      </w:r>
    </w:p>
  </w:comment>
  <w:comment w:id="75" w:author="Unknown Author" w:date="2026-07-03T19:16:18Z" w:initials="">
    <w:p>
      <w:pPr>
        <w:overflowPunct w:val="true"/>
        <w:rPr/>
      </w:pPr>
      <w:r>
        <w:annotationRef/>
      </w:r>
      <w:r>
        <w:rPr>
          <w:lang w:val="pt-PT"/>
        </w:rPr>
        <w:t>Isto é a primeira vez que estás a falar do Openscad</w:t>
      </w:r>
    </w:p>
  </w:comment>
  <w:comment w:id="76" w:author="Unknown Author" w:date="2026-07-03T19:16:31Z" w:initials="">
    <w:p>
      <w:pPr>
        <w:overflowPunct w:val="true"/>
        <w:rPr/>
      </w:pPr>
      <w:r>
        <w:annotationRef/>
      </w:r>
      <w:r>
        <w:rPr>
          <w:lang w:val="pt-PT"/>
        </w:rPr>
        <w:t>É preciso dizer o que é STL e 3MF</w:t>
      </w:r>
    </w:p>
  </w:comment>
  <w:comment w:id="77" w:author="Unknown Author" w:date="2026-07-03T13:45:05Z" w:initials="">
    <w:p>
      <w:pPr>
        <w:overflowPunct w:val="false"/>
        <w:bidi w:val="0"/>
        <w:rPr/>
      </w:pPr>
      <w:r>
        <w:annotationRef/>
      </w:r>
      <w:r>
        <w:rPr>
          <w:lang w:val="pt-PT"/>
        </w:rPr>
        <w:t>Estás a entrar em modo repetição outra vez.</w:t>
      </w:r>
    </w:p>
  </w:comment>
  <w:comment w:id="78" w:author="" w:initials="">
    <w:p>
      <w:pPr>
        <w:overflowPunct w:val="false"/>
        <w:rPr/>
      </w:pPr>
      <w:r>
        <w:annotationRef/>
      </w:r>
      <w:r>
        <w:rPr>
          <w:lang w:val="pt-PT"/>
        </w:rPr>
      </w:r>
    </w:p>
  </w:comment>
  <w:comment w:id="79" w:author="Unknown Author" w:date="2026-07-03T15:26:03Z" w:initials="">
    <w:p>
      <w:pPr>
        <w:overflowPunct w:val="true"/>
        <w:rPr/>
      </w:pPr>
      <w:r>
        <w:annotationRef/>
      </w:r>
      <w:r>
        <w:rPr>
          <w:lang w:val="pt-PT"/>
        </w:rPr>
        <w:t>Deliberada parece que foi num tribunal.</w:t>
      </w:r>
    </w:p>
  </w:comment>
  <w:comment w:id="80" w:author="Unknown Author" w:date="2026-07-03T15:26:54Z" w:initials="">
    <w:p>
      <w:pPr>
        <w:overflowPunct w:val="true"/>
        <w:rPr/>
      </w:pPr>
      <w:r>
        <w:annotationRef/>
      </w:r>
      <w:r>
        <w:rPr>
          <w:lang w:val="pt-PT"/>
        </w:rPr>
        <w:t>DATASETS podemos meter em PT</w:t>
      </w:r>
    </w:p>
  </w:comment>
  <w:comment w:id="81" w:author="Unknown Author" w:date="2026-07-03T15:27:25Z" w:initials="">
    <w:p>
      <w:pPr>
        <w:overflowPunct w:val="true"/>
        <w:rPr/>
      </w:pPr>
      <w:r>
        <w:annotationRef/>
      </w:r>
      <w:r>
        <w:rPr>
          <w:lang w:val="pt-PT"/>
        </w:rPr>
        <w:t>Prega do punho</w:t>
      </w:r>
    </w:p>
  </w:comment>
  <w:comment w:id="82" w:author="Unknown Author" w:date="2026-07-03T19:22:26Z" w:initials="">
    <w:p>
      <w:pPr>
        <w:overflowPunct w:val="true"/>
        <w:rPr/>
      </w:pPr>
      <w:r>
        <w:annotationRef/>
      </w:r>
      <w:r>
        <w:rPr>
          <w:lang w:val="pt-PT"/>
        </w:rPr>
        <w:t>Temos que explicar isto.</w:t>
      </w:r>
    </w:p>
  </w:comment>
  <w:comment w:id="83" w:author="Unknown Author" w:date="2026-07-03T19:29:59Z" w:initials="">
    <w:p>
      <w:pPr>
        <w:overflowPunct w:val="true"/>
        <w:rPr/>
      </w:pPr>
      <w:r>
        <w:annotationRef/>
      </w:r>
      <w:r>
        <w:rPr>
          <w:lang w:val="pt-PT"/>
        </w:rPr>
        <w:t>Não sei se devo dizer openscad ou não. Pode ser só modelação tridimensional?</w:t>
      </w:r>
    </w:p>
  </w:comment>
  <w:comment w:id="84" w:author="Unknown Author" w:date="2026-07-05T12:16:36Z" w:initials="">
    <w:p>
      <w:pPr>
        <w:overflowPunct w:val="true"/>
        <w:rPr/>
      </w:pPr>
      <w:r>
        <w:annotationRef/>
      </w:r>
      <w:r>
        <w:rPr>
          <w:lang w:val="pt-PT"/>
        </w:rPr>
        <w:t>Negação</w:t>
      </w:r>
    </w:p>
  </w:comment>
  <w:comment w:id="85" w:author="Unknown Author" w:date="2026-07-04T13:26:12Z" w:initials="">
    <w:p>
      <w:pPr>
        <w:overflowPunct w:val="true"/>
        <w:rPr/>
      </w:pPr>
      <w:r>
        <w:annotationRef/>
      </w:r>
      <w:r>
        <w:rPr>
          <w:lang w:val="pt-PT"/>
        </w:rPr>
        <w:t>Começas aqui a falar do modelo gerado mas é a primeira vez que abordas isso. Tens que contextualizar.</w:t>
      </w:r>
    </w:p>
  </w:comment>
  <w:comment w:id="86" w:author="Unknown Author" w:date="2026-07-04T13:27:11Z" w:initials="">
    <w:p>
      <w:pPr>
        <w:overflowPunct w:val="true"/>
        <w:rPr/>
      </w:pPr>
      <w:r>
        <w:annotationRef/>
      </w:r>
      <w:r>
        <w:rPr>
          <w:lang w:val="pt-PT"/>
        </w:rPr>
        <w:t>Meter aqui umas imagens!</w:t>
      </w:r>
    </w:p>
  </w:comment>
  <w:comment w:id="87" w:author="Unknown Author" w:date="2026-07-04T13:28:25Z" w:initials="">
    <w:p>
      <w:pPr>
        <w:overflowPunct w:val="true"/>
        <w:rPr/>
      </w:pPr>
      <w:r>
        <w:annotationRef/>
      </w:r>
      <w:r>
        <w:rPr>
          <w:lang w:val="pt-PT"/>
        </w:rPr>
        <w:t>Sei que já referimos o DfAM antes mas não me recordo se já foi definido.</w:t>
      </w:r>
    </w:p>
  </w:comment>
  <w:comment w:id="88" w:author="Unknown Author" w:date="2026-07-05T12:16:52Z" w:initials="">
    <w:p>
      <w:pPr>
        <w:overflowPunct w:val="true"/>
        <w:rPr/>
      </w:pPr>
      <w:r>
        <w:annotationRef/>
      </w:r>
      <w:r>
        <w:rPr>
          <w:lang w:val="pt-PT"/>
        </w:rPr>
        <w:t>Negação</w:t>
      </w:r>
    </w:p>
  </w:comment>
  <w:comment w:id="89" w:author="Unknown Author" w:date="2026-07-04T15:20:50Z" w:initials="">
    <w:p>
      <w:pPr>
        <w:overflowPunct w:val="true"/>
        <w:rPr/>
      </w:pPr>
      <w:r>
        <w:annotationRef/>
      </w:r>
      <w:r>
        <w:rPr>
          <w:lang w:val="pt-PT"/>
        </w:rPr>
        <w:t>Vamos meter aqui uma imagem</w:t>
      </w:r>
    </w:p>
  </w:comment>
  <w:comment w:id="90" w:author="Unknown Author" w:date="2026-07-05T12:17:08Z" w:initials="">
    <w:p>
      <w:pPr>
        <w:overflowPunct w:val="true"/>
        <w:rPr/>
      </w:pPr>
      <w:r>
        <w:annotationRef/>
      </w:r>
      <w:r>
        <w:rPr>
          <w:lang w:val="pt-PT"/>
        </w:rPr>
        <w:t>Negação</w:t>
      </w:r>
    </w:p>
  </w:comment>
  <w:comment w:id="91" w:author="Unknown Author" w:date="2026-07-04T16:13:25Z" w:initials="">
    <w:p>
      <w:pPr>
        <w:overflowPunct w:val="true"/>
        <w:rPr/>
      </w:pPr>
      <w:r>
        <w:annotationRef/>
      </w:r>
      <w:r>
        <w:rPr>
          <w:lang w:val="pt-PT"/>
        </w:rPr>
        <w:t>Vamos reescrever isto</w:t>
      </w:r>
    </w:p>
  </w:comment>
  <w:comment w:id="92" w:author="Unknown Author" w:date="2026-07-04T18:13:58Z" w:initials="">
    <w:p>
      <w:pPr>
        <w:overflowPunct w:val="true"/>
        <w:rPr/>
      </w:pPr>
      <w:r>
        <w:annotationRef/>
      </w:r>
      <w:r>
        <w:rPr>
          <w:lang w:val="pt-PT"/>
        </w:rPr>
        <w:t>Já escrevemos isto duo no parágrafo anterior.</w:t>
      </w:r>
    </w:p>
  </w:comment>
  <w:comment w:id="93" w:author="Unknown Author" w:date="2026-07-05T12:17:21Z" w:initials="">
    <w:p>
      <w:pPr>
        <w:overflowPunct w:val="true"/>
        <w:rPr/>
      </w:pPr>
      <w:r>
        <w:annotationRef/>
      </w:r>
      <w:r>
        <w:rPr>
          <w:lang w:val="pt-PT"/>
        </w:rPr>
        <w:t>Negação</w:t>
      </w:r>
    </w:p>
  </w:comment>
  <w:comment w:id="94" w:author="Unknown Author" w:date="2026-07-04T18:35:39Z" w:initials="">
    <w:p>
      <w:pPr>
        <w:overflowPunct w:val="true"/>
        <w:rPr/>
      </w:pPr>
      <w:r>
        <w:annotationRef/>
      </w:r>
      <w:r>
        <w:rPr>
          <w:lang w:val="pt-PT"/>
        </w:rPr>
        <w:t>Não te esqueças de adicionar ao indice estas siglas.</w:t>
      </w:r>
    </w:p>
  </w:comment>
  <w:comment w:id="95" w:author="Unknown Author" w:date="2026-07-05T12:17:34Z" w:initials="">
    <w:p>
      <w:pPr>
        <w:overflowPunct w:val="true"/>
        <w:rPr/>
      </w:pPr>
      <w:r>
        <w:annotationRef/>
      </w:r>
      <w:r>
        <w:rPr>
          <w:lang w:val="pt-PT"/>
        </w:rPr>
        <w:t>negação</w:t>
      </w:r>
    </w:p>
  </w:comment>
  <w:comment w:id="96" w:author="Unknown Author" w:date="2026-07-04T18:49:44Z" w:initials="">
    <w:p>
      <w:pPr>
        <w:overflowPunct w:val="true"/>
        <w:bidi w:val="0"/>
        <w:spacing w:before="0" w:after="0"/>
        <w:jc w:val="left"/>
        <w:rPr/>
      </w:pPr>
      <w:r>
        <w:annotationRef/>
      </w:r>
      <w:r>
        <w:rPr>
          <w:rFonts w:eastAsia="Noto Serif CJK SC" w:cs="Calibri" w:ascii="Calibri" w:hAnsi="Calibri"/>
          <w:color w:val="auto"/>
          <w:kern w:val="0"/>
          <w:sz w:val="22"/>
          <w:szCs w:val="22"/>
          <w:lang w:val="pt-PT" w:eastAsia="zh-CN" w:bidi="en-US"/>
        </w:rP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overflowPunct w:val="true"/>
        <w:bidi w:val="0"/>
        <w:spacing w:before="0" w:after="0"/>
        <w:jc w:val="left"/>
        <w:rPr/>
      </w:pPr>
      <w:r>
        <w:rPr>
          <w:lang w:val="pt-PT"/>
        </w:rPr>
      </w:r>
    </w:p>
    <w:p>
      <w:pPr>
        <w:overflowPunct w:val="true"/>
        <w:bidi w:val="0"/>
        <w:spacing w:before="0" w:after="0"/>
        <w:jc w:val="left"/>
        <w:rPr/>
      </w:pPr>
      <w:r>
        <w:rPr>
          <w:rFonts w:eastAsia="Noto Serif CJK SC" w:cs="Calibri" w:ascii="Calibri" w:hAnsi="Calibri"/>
          <w:color w:val="auto"/>
          <w:kern w:val="0"/>
          <w:sz w:val="22"/>
          <w:szCs w:val="22"/>
          <w:lang w:val="pt-PT" w:eastAsia="zh-CN" w:bidi="en-US"/>
        </w:rPr>
        <w:t>Já escrevemos proxy antes.</w:t>
      </w:r>
    </w:p>
  </w:comment>
  <w:comment w:id="97" w:author="Unknown Author" w:date="2026-07-04T18:51:43Z" w:initials="">
    <w:p>
      <w:pPr>
        <w:overflowPunct w:val="true"/>
        <w:rPr/>
      </w:pPr>
      <w:r>
        <w:annotationRef/>
      </w:r>
      <w:r>
        <w:rPr>
          <w:lang w:val="pt-PT"/>
        </w:rPr>
        <w:t>Faz sentido integrar uma parte sobre a E-nable e os modelos deles.</w:t>
      </w:r>
    </w:p>
  </w:comment>
  <w:comment w:id="98" w:author="Unknown Author" w:date="2026-07-04T18:53:29Z" w:initials="">
    <w:p>
      <w:pPr>
        <w:overflowPunct w:val="true"/>
        <w:rPr/>
      </w:pPr>
      <w:r>
        <w:annotationRef/>
      </w:r>
      <w:r>
        <w:rPr>
          <w:lang w:val="pt-PT"/>
        </w:rPr>
        <w:t>Parametros de hardware</w:t>
      </w:r>
    </w:p>
  </w:comment>
  <w:comment w:id="99" w:author="Unknown Author" w:date="2026-07-04T19:12:30Z" w:initials="">
    <w:p>
      <w:pPr>
        <w:overflowPunct w:val="true"/>
        <w:rPr/>
      </w:pPr>
      <w:r>
        <w:annotationRef/>
      </w:r>
      <w:r>
        <w:rPr>
          <w:lang w:val="pt-PT"/>
        </w:rPr>
        <w:t>Adicionar ao indice</w:t>
      </w:r>
    </w:p>
  </w:comment>
  <w:comment w:id="100" w:author="Unknown Author" w:date="2026-07-04T21:37:44Z" w:initials="">
    <w:p>
      <w:pPr>
        <w:overflowPunct w:val="true"/>
        <w:rPr/>
      </w:pPr>
      <w:r>
        <w:annotationRef/>
      </w:r>
      <w:r>
        <w:rPr>
          <w:lang w:val="pt-PT"/>
        </w:rPr>
        <w:t>Isto está no indice? Vai lá ver</w:t>
      </w:r>
    </w:p>
  </w:comment>
  <w:comment w:id="101" w:author="Unknown Author" w:date="2026-07-05T12:22:53Z" w:initials="">
    <w:p>
      <w:pPr>
        <w:overflowPunct w:val="true"/>
        <w:rPr/>
      </w:pPr>
      <w:r>
        <w:annotationRef/>
      </w:r>
      <w:r>
        <w:rPr>
          <w:lang w:val="pt-PT"/>
        </w:rPr>
        <w:t>Não esquecer de meter no índice</w:t>
      </w:r>
    </w:p>
  </w:comment>
  <w:comment w:id="102" w:author="Unknown Author" w:date="2026-07-05T12:26:47Z" w:initials="">
    <w:p>
      <w:pPr>
        <w:overflowPunct w:val="true"/>
        <w:rPr/>
      </w:pPr>
      <w:r>
        <w:annotationRef/>
      </w:r>
      <w:r>
        <w:rPr>
          <w:lang w:val="pt-PT"/>
        </w:rPr>
        <w:t>Adicionar uma nota a explicar e adicionar no indice a sigla</w:t>
      </w:r>
    </w:p>
  </w:comment>
  <w:comment w:id="103" w:author="Unknown Author" w:date="2026-07-05T14:28:24Z" w:initials="">
    <w:p>
      <w:pPr>
        <w:overflowPunct w:val="false"/>
        <w:rPr/>
      </w:pPr>
      <w:r>
        <w:annotationRef/>
      </w:r>
      <w:r>
        <w:rPr>
          <w:lang w:val="pt-PT"/>
        </w:rPr>
        <w:t>Isto é uma repetição</w:t>
      </w:r>
    </w:p>
  </w:comment>
  <w:comment w:id="104" w:author="Unknown Author" w:date="2026-07-05T14:29:31Z" w:initials="">
    <w:p>
      <w:pPr>
        <w:overflowPunct w:val="false"/>
        <w:rPr/>
      </w:pPr>
      <w:r>
        <w:annotationRef/>
      </w:r>
      <w:r>
        <w:rPr>
          <w:lang w:val="pt-PT"/>
        </w:rPr>
        <w:t>Inserir notas de rodapé</w:t>
      </w:r>
    </w:p>
  </w:comment>
  <w:comment w:id="105" w:author="Unknown Author" w:date="2026-07-05T15:25:09Z" w:initials="">
    <w:p>
      <w:pPr>
        <w:overflowPunct w:val="false"/>
        <w:rPr/>
      </w:pPr>
      <w:r>
        <w:annotationRef/>
      </w:r>
      <w:r>
        <w:rPr>
          <w:lang w:val="pt-PT"/>
        </w:rPr>
        <w:t>Inserir um comentário</w:t>
      </w:r>
    </w:p>
  </w:comment>
  <w:comment w:id="106" w:author="Unknown Author" w:date="2026-07-05T16:14:55Z" w:initials="">
    <w:p>
      <w:pPr>
        <w:overflowPunct w:val="false"/>
        <w:rPr/>
      </w:pPr>
      <w:r>
        <w:annotationRef/>
      </w:r>
      <w:r>
        <w:rPr>
          <w:lang w:val="pt-PT"/>
        </w:rPr>
        <w:t>Se calhar introduzir uma tabela com os prompts</w:t>
      </w:r>
    </w:p>
  </w:comment>
  <w:comment w:id="107" w:author="Unknown Author" w:date="2026-07-05T17:43:41Z" w:initials="">
    <w:p>
      <w:pPr>
        <w:overflowPunct w:val="true"/>
        <w:rPr/>
      </w:pPr>
      <w:r>
        <w:annotationRef/>
      </w:r>
      <w:r>
        <w:rPr>
          <w:lang w:val="pt-PT"/>
        </w:rPr>
        <w:t>Introduzir aqui uma tabela com valores</w:t>
      </w:r>
    </w:p>
  </w:comment>
  <w:comment w:id="108" w:author="Unknown Author" w:date="2026-07-05T19:22:29Z" w:initials="">
    <w:p>
      <w:pPr>
        <w:overflowPunct w:val="true"/>
        <w:rPr/>
      </w:pPr>
      <w:r>
        <w:annotationRef/>
      </w:r>
      <w:r>
        <w:rPr>
          <w:lang w:val="pt-PT"/>
        </w:rPr>
        <w:t>indice</w:t>
      </w:r>
    </w:p>
  </w:comment>
  <w:comment w:id="109" w:author="Unknown Author" w:date="2026-07-06T16:52:22Z" w:initials="">
    <w:p>
      <w:pPr>
        <w:overflowPunct w:val="false"/>
        <w:rPr/>
      </w:pPr>
      <w:r>
        <w:annotationRef/>
      </w:r>
      <w:r>
        <w:rPr>
          <w:lang w:val="pt-PT"/>
        </w:rPr>
        <w:t>Vamos adicionar aqui uma tabela com os prompts utilizados e os resultados da mesma</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7"/>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yperlink" Target="https://www.semanticscholar.org/paper/305d55af5fda06b4d1b33e7d29c1f16d1b7ea488" TargetMode="External"/><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hyperlink" Target="https://doi.org/10.1109/BioRob60516.2024.10719909" TargetMode="External"/><Relationship Id="rId18" Type="http://schemas.openxmlformats.org/officeDocument/2006/relationships/image" Target="media/image13.png"/><Relationship Id="rId19" Type="http://schemas.openxmlformats.org/officeDocument/2006/relationships/hyperlink" Target="https://doi.org/10.1115/DETC2018-85645" TargetMode="External"/><Relationship Id="rId20" Type="http://schemas.openxmlformats.org/officeDocument/2006/relationships/image" Target="media/image14.png"/><Relationship Id="rId21" Type="http://schemas.openxmlformats.org/officeDocument/2006/relationships/hyperlink" Target="https://doi.org/10.1109/BioRob60516.2024.10719909" TargetMode="External"/><Relationship Id="rId22" Type="http://schemas.openxmlformats.org/officeDocument/2006/relationships/image" Target="media/image15.png"/><Relationship Id="rId23" Type="http://schemas.openxmlformats.org/officeDocument/2006/relationships/hyperlink" Target="https://doi.org/10.1088/1742-6596/2198/1/012040" TargetMode="External"/><Relationship Id="rId24" Type="http://schemas.openxmlformats.org/officeDocument/2006/relationships/image" Target="media/image16.png"/><Relationship Id="rId25" Type="http://schemas.openxmlformats.org/officeDocument/2006/relationships/hyperlink" Target="https://doi.org/10.1080/17483107.2025.2483953" TargetMode="External"/><Relationship Id="rId26" Type="http://schemas.openxmlformats.org/officeDocument/2006/relationships/image" Target="media/image17.png"/><Relationship Id="rId27" Type="http://schemas.openxmlformats.org/officeDocument/2006/relationships/hyperlink" Target="https://doi.org/10.1016/j.inffus.2019.12.012"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comments" Target="comments.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3342</TotalTime>
  <Application>LibreOffice/26.2.4.2$Linux_X86_64 LibreOffice_project/3346a99e6b841765b75a9b29714a5b95c6761ce3</Application>
  <AppVersion>15.0000</AppVersion>
  <Pages>105</Pages>
  <Words>39046</Words>
  <Characters>249772</Characters>
  <CharactersWithSpaces>287943</CharactersWithSpaces>
  <Paragraphs>957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2026-07-06T16:55:54Z</dcterms:modified>
  <cp:revision>51</cp:revision>
  <dc:subject/>
  <dc:title>projecto-completo</dc:title>
</cp:coreProperties>
</file>

<file path=docProps/custom.xml><?xml version="1.0" encoding="utf-8"?>
<Properties xmlns="http://schemas.openxmlformats.org/officeDocument/2006/custom-properties" xmlns:vt="http://schemas.openxmlformats.org/officeDocument/2006/docPropsVTypes"/>
</file>