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lang w:val="pt-PT"/>
        </w:rPr>
      </w:pPr>
      <w:r>
        <w:rPr>
          <w:lang w:val="pt-PT"/>
        </w:rPr>
        <w:t>Projecto completo</w:t>
      </w:r>
    </w:p>
    <w:p>
      <w:pPr>
        <w:pStyle w:val="Normal"/>
        <w:bidi w:val="0"/>
        <w:jc w:val="left"/>
        <w:rPr>
          <w:lang w:val="pt-PT"/>
        </w:rPr>
      </w:pPr>
      <w:r>
        <w:rPr>
          <w:lang w:val="pt-PT"/>
        </w:rPr>
        <w:t>Versão do documento:0.4.12</w:t>
      </w:r>
    </w:p>
    <w:p>
      <w:pPr>
        <w:pStyle w:val="Normal"/>
        <w:bidi w:val="0"/>
        <w:jc w:val="left"/>
        <w:rPr>
          <w:lang w:val="pt-PT"/>
        </w:rPr>
      </w:pPr>
      <w:r>
        <w:rPr>
          <w:lang w:val="pt-PT"/>
        </w:rPr>
      </w:r>
    </w:p>
    <w:p>
      <w:pPr>
        <w:pStyle w:val="Heading2"/>
        <w:rPr/>
      </w:pPr>
      <w:r>
        <w:rPr/>
        <w:t>INTEGRAÇÃO DO DESIGN E DA INTELIGÊNCIA ARTIFICIAL EM PROCESSOS PARAMÉTRICOS PARA O DESENVOLVIMENTO DE PRÓTESES DE MEMBROS SUPERIORES EM IMPRESSÃO 3D.</w:t>
      </w:r>
    </w:p>
    <w:p>
      <w:pPr>
        <w:pStyle w:val="Normal"/>
        <w:bidi w:val="0"/>
        <w:jc w:val="left"/>
        <w:rPr>
          <w:lang w:val="pt-PT"/>
        </w:rPr>
      </w:pPr>
      <w:r>
        <w:rPr>
          <w:lang w:val="pt-PT"/>
        </w:rPr>
      </w:r>
    </w:p>
    <w:p>
      <w:pPr>
        <w:pStyle w:val="Heading2"/>
        <w:rPr/>
      </w:pPr>
      <w:r>
        <w:rPr/>
        <w:t>Lista de acrónimos</w:t>
      </w:r>
    </w:p>
    <w:p>
      <w:pPr>
        <w:pStyle w:val="Normal"/>
        <w:rPr/>
      </w:pPr>
      <w:r>
        <w:rPr/>
      </w:r>
    </w:p>
    <w:tbl>
      <w:tblPr>
        <w:tblW w:w="5000" w:type="pct"/>
        <w:jc w:val="left"/>
        <w:tblInd w:w="108" w:type="dxa"/>
        <w:tblLayout w:type="fixed"/>
        <w:tblCellMar>
          <w:top w:w="0" w:type="dxa"/>
          <w:left w:w="108" w:type="dxa"/>
          <w:bottom w:w="0" w:type="dxa"/>
          <w:right w:w="108" w:type="dxa"/>
        </w:tblCellMar>
      </w:tblPr>
      <w:tblGrid>
        <w:gridCol w:w="1260"/>
        <w:gridCol w:w="7766"/>
      </w:tblGrid>
      <w:tr>
        <w:trPr>
          <w:tblHeader w:val="true"/>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Acrónimo</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Designação/explicação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2D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Bidimensional.</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3D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Tridimensional.</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3DP</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3D Printing</w:t>
            </w:r>
            <w:r>
              <w:rPr/>
              <w:t>; impressão 3D.</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3MF</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3D Manufacturing Format</w:t>
            </w:r>
            <w:r>
              <w:rPr/>
              <w:t>; formato de ficheiro para fabrico aditivo.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ANSUR</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Anthropometric Survey of U.S. Army Personnel</w:t>
            </w:r>
            <w:r>
              <w:rPr/>
              <w:t>; inquérito antropométrico do Exército dos Estados Unidos.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API</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Application Programming Interface</w:t>
            </w:r>
            <w:r>
              <w:rPr/>
              <w:t>; interface de programação de aplicações.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ASTM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American Society for Testing and Materials</w:t>
            </w:r>
            <w:r>
              <w:rPr/>
              <w:t>; organismo internacional de normalização.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CAD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Computer-Aided Design</w:t>
            </w:r>
            <w:r>
              <w:rPr/>
              <w:t>; desenho ou projeto assistido por computador.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CAM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Computer-Aided Manufacturing</w:t>
            </w:r>
            <w:r>
              <w:rPr/>
              <w:t>; fabrico assistido por computador.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CE</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Conformité Européenne</w:t>
            </w:r>
            <w:r>
              <w:rPr/>
              <w:t>; marcação europeia de conformidade.</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CSG</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Constructive Solid Geometry</w:t>
            </w:r>
            <w:r>
              <w:rPr/>
              <w:t>; geometria sólida construtiva.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CSV</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Comma-Separated Values</w:t>
            </w:r>
            <w:r>
              <w:rPr/>
              <w:t>; formato de valores separados por vírgulas.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CT</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Computed Tomography</w:t>
            </w:r>
            <w:r>
              <w:rPr/>
              <w:t>; tomografia computorizada.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DfAM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Design for Additive Manufacturing</w:t>
            </w:r>
            <w:r>
              <w:rPr/>
              <w:t>; design para fabricação aditiva.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DINED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Delft Institute of Ergonomics and Design</w:t>
            </w:r>
            <w:r>
              <w:rPr/>
              <w:t>; base de dados antropométrica da TU Delft.</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DOI</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Digital Object Identifier</w:t>
            </w:r>
            <w:r>
              <w:rPr/>
              <w:t>; identificador digital de objeto.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EMG</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Eletromiografia; registo da atividade elétrica muscular.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EU</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European Union</w:t>
            </w:r>
            <w:r>
              <w:rPr/>
              <w:t>; União Europeia.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Estados Unidos da América.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FA/FdA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Fabricação aditiva.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FDA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Food and Drug Administration</w:t>
            </w:r>
            <w:r>
              <w:rPr/>
              <w:t>; agência reguladora dos Estados Unidos para alimentos, medicamentos e dispositivos médicos.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FDM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Fused Deposition Modelling</w:t>
            </w:r>
            <w:r>
              <w:rPr/>
              <w:t>; modelação por deposição fundida.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FEA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Finite Element Analysis</w:t>
            </w:r>
            <w:r>
              <w:rPr/>
              <w:t>; análise por elementos finitos.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FEM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Finite Element Method</w:t>
            </w:r>
            <w:r>
              <w:rPr/>
              <w:t>; método dos elementos finitos.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FFF</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Fused Filament Fabrication</w:t>
            </w:r>
            <w:r>
              <w:rPr/>
              <w:t>; fabricação por filamento fundido.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FFD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Free-Form Deformation</w:t>
            </w:r>
            <w:r>
              <w:rPr/>
              <w:t>; deformação de forma livre.</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GB/T</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Norma nacional recomendada chinesa.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HB</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Hand Breadth</w:t>
            </w:r>
            <w:r>
              <w:rPr/>
              <w:t>; largura da mão.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HCD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Human-Centred Design</w:t>
            </w:r>
            <w:r>
              <w:rPr/>
              <w:t>; design centrado no humano.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HGD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Hand Grip Diameter</w:t>
            </w:r>
            <w:r>
              <w:rPr/>
              <w:t>; diâmetro de preensão da mão.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HL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Hand Length</w:t>
            </w:r>
            <w:r>
              <w:rPr/>
              <w:t>; comprimento da mão.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HTML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HyperText Markup Language</w:t>
            </w:r>
            <w:r>
              <w:rPr/>
              <w:t>; linguagem de marcação de hipertexto.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IA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Inteligência Artificial.</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ICF</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International Classification of Functioning, Disability and Health</w:t>
            </w:r>
            <w:r>
              <w:rPr/>
              <w:t>; Classificação Internacional de Funcionalidade, Incapacidade e Saúde.</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IEEE</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Institute of Electrical and Electronics Engineers</w:t>
            </w:r>
            <w:r>
              <w:rPr/>
              <w:t>; associação técnico-científica e entidade editorial/de normalização.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ISO</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International Organization for Standardization</w:t>
            </w:r>
            <w:r>
              <w:rPr/>
              <w:t>; Organização Internacional de Normalização.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JSON</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JavaScript Object Notation</w:t>
            </w:r>
            <w:r>
              <w:rPr/>
              <w:t>; formato leve de intercâmbio de dados.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JWT</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JSON Web Token</w:t>
            </w:r>
            <w:r>
              <w:rPr/>
              <w:t>; token web em formato JSON para autenticação e autorização.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LL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Lower Limb</w:t>
            </w:r>
            <w:r>
              <w:rPr/>
              <w:t>; membro inferior.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MCP</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Metacarpophalangeal</w:t>
            </w:r>
            <w:r>
              <w:rPr/>
              <w:t>; articulação metacarpofalângica.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MDR</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Medical Device Regulation</w:t>
            </w:r>
            <w:r>
              <w:rPr/>
              <w:t>; Regulamento Europeu dos Dispositivos Médicos.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MPT</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Matching Person and Technology</w:t>
            </w:r>
            <w:r>
              <w:rPr/>
              <w:t>; modelo de adequação entre pessoa e tecnologia.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MRI</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Magnetic Resonance Imaging</w:t>
            </w:r>
            <w:r>
              <w:rPr/>
              <w:t>; ressonância magnética.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PCA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Principal Component Analysis</w:t>
            </w:r>
            <w:r>
              <w:rPr/>
              <w:t>; análise de componentes principais.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PDF</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Portable Document Format</w:t>
            </w:r>
            <w:r>
              <w:rPr/>
              <w:t>; formato portátil de documento.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PIP</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Proximal Interphalangeal</w:t>
            </w:r>
            <w:r>
              <w:rPr/>
              <w:t>; articulação interfalângica proximal.</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PL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Palm Length</w:t>
            </w:r>
            <w:r>
              <w:rPr/>
              <w:t>; comprimento da palma.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PRISMA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Preferred Reporting Items for Systematic Reviews and Meta-Analyses</w:t>
            </w:r>
            <w:r>
              <w:rPr/>
              <w:t>; diretrizes para reporte de revisões sistemáticas e meta-análises.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RTD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Research Through Design</w:t>
            </w:r>
            <w:r>
              <w:rPr/>
              <w:t>; investigação através do design.</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SD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Standard Deviation</w:t>
            </w:r>
            <w:r>
              <w:rPr/>
              <w:t>; desvio-padrão.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SLA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Stereolithography</w:t>
            </w:r>
            <w:r>
              <w:rPr/>
              <w:t>; estereolitografia.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SLS</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Selective Laser Sintering</w:t>
            </w:r>
            <w:r>
              <w:rPr/>
              <w:t>; sinterização seletiva a laser.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SSM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Statistical Shape Modelling</w:t>
            </w:r>
            <w:r>
              <w:rPr/>
              <w:t>; modelação estatística da forma.</w:t>
            </w:r>
          </w:p>
        </w:tc>
      </w:tr>
      <w:tr>
        <w:trPr/>
        <w:tc>
          <w:tcPr>
            <w:tcW w:w="1260" w:type="dxa"/>
            <w:tcBorders>
              <w:left w:val="single" w:sz="4" w:space="0" w:color="808080"/>
              <w:bottom w:val="single" w:sz="4" w:space="0" w:color="808080"/>
              <w:right w:val="single" w:sz="4" w:space="0" w:color="808080"/>
            </w:tcBorders>
          </w:tcPr>
          <w:p>
            <w:pPr>
              <w:pStyle w:val="BodyText"/>
              <w:bidi w:val="0"/>
              <w:spacing w:before="0" w:after="140"/>
              <w:jc w:val="left"/>
              <w:rPr>
                <w:lang w:val="pt-PT"/>
              </w:rPr>
            </w:pPr>
            <w:r>
              <w:rPr>
                <w:lang w:val="pt-PT"/>
              </w:rPr>
              <w:t>SQLite</w:t>
            </w:r>
          </w:p>
        </w:tc>
        <w:tc>
          <w:tcPr>
            <w:tcW w:w="7766" w:type="dxa"/>
            <w:tcBorders>
              <w:left w:val="single" w:sz="4" w:space="0" w:color="808080"/>
              <w:bottom w:val="single" w:sz="4" w:space="0" w:color="808080"/>
              <w:right w:val="single" w:sz="4" w:space="0" w:color="808080"/>
            </w:tcBorders>
          </w:tcPr>
          <w:p>
            <w:pPr>
              <w:pStyle w:val="Normal"/>
              <w:rPr/>
            </w:pPr>
            <w:r>
              <w:rPr/>
              <w:t>M</w:t>
            </w:r>
            <w:r>
              <w:rPr/>
              <w:t>otor leve de base de dados relacional baseado em SQL, autónomo e incorporável na aplicação.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STL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Stereolithography</w:t>
            </w:r>
            <w:r>
              <w:rPr/>
              <w:t>; formato de ficheiro de malha tridimensional usado em impressão 3D.</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TC</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Technical Committee</w:t>
            </w:r>
            <w:r>
              <w:rPr/>
              <w:t>; comité técnico.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TRL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Technology Readiness Level</w:t>
            </w:r>
            <w:r>
              <w:rPr/>
              <w:t>; nível de prontidão tecnológica.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UCD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User-Centred Design</w:t>
            </w:r>
            <w:r>
              <w:rPr/>
              <w:t>; design centrado no utilizador.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UI</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User Interface</w:t>
            </w:r>
            <w:r>
              <w:rPr/>
              <w:t>; interface do utilizador.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UL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Upper Limb</w:t>
            </w:r>
            <w:r>
              <w:rPr/>
              <w:t>; membro superior.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UX</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User Experience</w:t>
            </w:r>
            <w:r>
              <w:rPr/>
              <w:t>; experiência do utilizador.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WASM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WebAssembly</w:t>
            </w:r>
            <w:r>
              <w:rPr/>
              <w:t>; tecnologia para execução de código compilado no navegador.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XAI</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Explainable Artificial Intelligence</w:t>
            </w:r>
            <w:r>
              <w:rPr/>
              <w:t>; inteligência artificial explicável.</w:t>
            </w:r>
          </w:p>
        </w:tc>
      </w:tr>
    </w:tbl>
    <w:p>
      <w:pPr>
        <w:pStyle w:val="Heading2"/>
        <w:bidi w:val="0"/>
        <w:jc w:val="left"/>
        <w:rPr>
          <w:lang w:val="pt-PT"/>
        </w:rPr>
      </w:pPr>
      <w:r>
        <w:rPr>
          <w:lang w:val="pt-PT"/>
        </w:rPr>
      </w:r>
    </w:p>
    <w:p>
      <w:pPr>
        <w:pStyle w:val="Heading2"/>
        <w:bidi w:val="0"/>
        <w:jc w:val="left"/>
        <w:rPr>
          <w:lang w:val="pt-PT"/>
        </w:rPr>
      </w:pPr>
      <w:r>
        <w:rPr>
          <w:lang w:val="pt-PT"/>
        </w:rPr>
        <w:t>Capítulo 1 — Introdução</w:t>
      </w:r>
    </w:p>
    <w:p>
      <w:pPr>
        <w:pStyle w:val="Heading3"/>
        <w:bidi w:val="0"/>
        <w:jc w:val="left"/>
        <w:rPr>
          <w:lang w:val="pt-PT"/>
        </w:rPr>
      </w:pPr>
      <w:r>
        <w:rPr>
          <w:lang w:val="pt-PT"/>
        </w:rPr>
      </w:r>
    </w:p>
    <w:p>
      <w:pPr>
        <w:pStyle w:val="Heading3"/>
        <w:bidi w:val="0"/>
        <w:jc w:val="left"/>
        <w:rPr>
          <w:lang w:val="pt-PT"/>
        </w:rPr>
      </w:pPr>
      <w:r>
        <w:rPr>
          <w:lang w:val="pt-PT"/>
        </w:rPr>
        <w:t>1.1 Enquadramento geral, contexto e motivação</w:t>
      </w:r>
    </w:p>
    <w:p>
      <w:pPr>
        <w:pStyle w:val="Normal"/>
        <w:bidi w:val="0"/>
        <w:jc w:val="left"/>
        <w:rPr>
          <w:lang w:val="pt-PT"/>
        </w:rPr>
      </w:pPr>
      <w:r>
        <w:rPr>
          <w:lang w:val="pt-PT"/>
        </w:rPr>
      </w:r>
    </w:p>
    <w:p>
      <w:pPr>
        <w:pStyle w:val="Normal"/>
        <w:bidi w:val="0"/>
        <w:jc w:val="left"/>
        <w:rPr>
          <w:lang w:val="pt-PT"/>
        </w:rPr>
      </w:pPr>
      <w:r>
        <w:rPr>
          <w:lang w:val="pt-PT"/>
        </w:rPr>
        <w:t>A perda de membros superiores provoca impactos funcionais (limitação nas tarefas quotidianas), sociais (alterações na interação e na inclusão) e simbólicos (mudanças na identidade e na percepção), o que requer soluções técnicas e projetuais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Normal"/>
        <w:bidi w:val="0"/>
        <w:jc w:val="left"/>
        <w:rPr>
          <w:lang w:val="pt-PT"/>
        </w:rPr>
      </w:pPr>
      <w:r>
        <w:rPr>
          <w:lang w:val="pt-PT"/>
        </w:rPr>
        <w:t xml:space="preserve">Nos últimos anos, a impressão 3D e as plataformas </w:t>
      </w:r>
      <w:r>
        <w:rPr>
          <w:i/>
          <w:lang w:val="pt-PT"/>
        </w:rPr>
        <w:t>open source</w:t>
      </w:r>
      <w:r>
        <w:rPr>
          <w:lang w:val="pt-PT"/>
        </w:rPr>
        <w:t xml:space="preserve"> ampliaram o acesso a dispositivos protésicos, especialmente em contextos economicamente desfavorecidos. No entanto, muitos desses modelos dependem de geometrias fixas, isto é, formas pré-definidas sem adaptação automática, ou de ajustes manuais pouco padronizados, o que resulta em alterações sem um protocolo uniforme e dificulta a expansã, a reprodutibilidade e a integração robusta de dados antropométricos, ou seja, medidas corporais específicas do utilizador.</w:t>
      </w:r>
    </w:p>
    <w:p>
      <w:pPr>
        <w:pStyle w:val="Normal"/>
        <w:bidi w:val="0"/>
        <w:jc w:val="left"/>
        <w:rPr>
          <w:lang w:val="pt-PT"/>
        </w:rPr>
      </w:pPr>
      <w:r>
        <w:rPr>
          <w:lang w:val="pt-PT"/>
        </w:rP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bidi w:val="0"/>
        <w:jc w:val="left"/>
        <w:rPr>
          <w:lang w:val="pt-PT"/>
        </w:rPr>
      </w:pPr>
      <w:r>
        <w:rPr/>
        <w:drawing>
          <wp:inline distT="0" distB="0" distL="0" distR="0">
            <wp:extent cx="5715000" cy="3924300"/>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1.1 — Exemplos de próteses e dispositivos associados à fabricação aditiva em contexto protésico.</w:t>
      </w:r>
    </w:p>
    <w:p>
      <w:pPr>
        <w:pStyle w:val="Normal"/>
        <w:bidi w:val="0"/>
        <w:jc w:val="left"/>
        <w:rPr>
          <w:lang w:val="pt-PT"/>
        </w:rPr>
      </w:pPr>
      <w:r>
        <w:rPr>
          <w:lang w:val="pt-PT"/>
        </w:rP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Heading3"/>
        <w:bidi w:val="0"/>
        <w:jc w:val="left"/>
        <w:rPr>
          <w:lang w:val="pt-PT"/>
        </w:rPr>
      </w:pPr>
      <w:r>
        <w:rPr>
          <w:lang w:val="pt-PT"/>
        </w:rPr>
        <w:t>1.2 Problema de investigação</w:t>
      </w:r>
    </w:p>
    <w:p>
      <w:pPr>
        <w:pStyle w:val="Normal"/>
        <w:bidi w:val="0"/>
        <w:jc w:val="left"/>
        <w:rPr>
          <w:lang w:val="pt-PT"/>
        </w:rPr>
      </w:pPr>
      <w:r>
        <w:rPr>
          <w:lang w:val="pt-PT"/>
        </w:rP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Normal"/>
        <w:bidi w:val="0"/>
        <w:jc w:val="left"/>
        <w:rPr>
          <w:lang w:val="pt-PT"/>
        </w:rPr>
      </w:pPr>
      <w:r>
        <w:rPr>
          <w:lang w:val="pt-PT"/>
        </w:rP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Heading3"/>
        <w:bidi w:val="0"/>
        <w:jc w:val="left"/>
        <w:rPr>
          <w:lang w:val="pt-PT"/>
        </w:rPr>
      </w:pPr>
      <w:r>
        <w:rPr>
          <w:lang w:val="pt-PT"/>
        </w:rPr>
      </w:r>
    </w:p>
    <w:p>
      <w:pPr>
        <w:pStyle w:val="Heading3"/>
        <w:bidi w:val="0"/>
        <w:jc w:val="left"/>
        <w:rPr>
          <w:lang w:val="pt-PT"/>
        </w:rPr>
      </w:pPr>
      <w:r>
        <w:rPr>
          <w:lang w:val="pt-PT"/>
        </w:rPr>
        <w:t>1.3 Objetivos da investigação</w:t>
      </w:r>
    </w:p>
    <w:p>
      <w:pPr>
        <w:pStyle w:val="Heading3"/>
        <w:bidi w:val="0"/>
        <w:jc w:val="left"/>
        <w:rPr>
          <w:lang w:val="pt-PT"/>
        </w:rPr>
      </w:pPr>
      <w:r>
        <w:rPr>
          <w:lang w:val="pt-PT"/>
        </w:rPr>
      </w:r>
    </w:p>
    <w:p>
      <w:pPr>
        <w:pStyle w:val="Heading3"/>
        <w:bidi w:val="0"/>
        <w:jc w:val="left"/>
        <w:rPr>
          <w:lang w:val="pt-PT"/>
        </w:rPr>
      </w:pPr>
      <w:r>
        <w:rPr>
          <w:lang w:val="pt-PT"/>
        </w:rPr>
        <w:t>1.3.1 Objetivo geral</w:t>
      </w:r>
    </w:p>
    <w:p>
      <w:pPr>
        <w:pStyle w:val="Normal"/>
        <w:bidi w:val="0"/>
        <w:jc w:val="left"/>
        <w:rPr>
          <w:lang w:val="pt-PT"/>
        </w:rPr>
      </w:pPr>
      <w:r>
        <w:rPr>
          <w:lang w:val="pt-PT"/>
        </w:rPr>
      </w:r>
    </w:p>
    <w:p>
      <w:pPr>
        <w:pStyle w:val="Normal"/>
        <w:bidi w:val="0"/>
        <w:jc w:val="left"/>
        <w:rPr>
          <w:lang w:val="pt-PT"/>
        </w:rPr>
      </w:pPr>
      <w:r>
        <w:rPr>
          <w:lang w:val="pt-PT"/>
        </w:rP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Heading3"/>
        <w:bidi w:val="0"/>
        <w:jc w:val="left"/>
        <w:rPr>
          <w:lang w:val="pt-PT"/>
        </w:rPr>
      </w:pPr>
      <w:r>
        <w:rPr>
          <w:lang w:val="pt-PT"/>
        </w:rPr>
      </w:r>
    </w:p>
    <w:p>
      <w:pPr>
        <w:pStyle w:val="Heading3"/>
        <w:bidi w:val="0"/>
        <w:jc w:val="left"/>
        <w:rPr>
          <w:lang w:val="pt-PT"/>
        </w:rPr>
      </w:pPr>
      <w:r>
        <w:rPr>
          <w:lang w:val="pt-PT"/>
        </w:rPr>
        <w:t>1.3.2 Objetivos específicos</w:t>
      </w:r>
    </w:p>
    <w:p>
      <w:pPr>
        <w:pStyle w:val="Normal"/>
        <w:bidi w:val="0"/>
        <w:jc w:val="left"/>
        <w:rPr>
          <w:lang w:val="pt-PT"/>
        </w:rPr>
      </w:pPr>
      <w:r>
        <w:rPr>
          <w:lang w:val="pt-PT"/>
        </w:rP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Validar-se-á a abordagem por meio de prototipagem e de experimentação por impressão 3D, avaliando aspectos funcionais, ergonómicos e formais, bem como a viabilidade de fabricação.</w:t>
      </w:r>
    </w:p>
    <w:p>
      <w:pPr>
        <w:pStyle w:val="Normal"/>
        <w:bidi w:val="0"/>
        <w:jc w:val="left"/>
        <w:rPr>
          <w:lang w:val="pt-PT"/>
        </w:rPr>
      </w:pPr>
      <w:r>
        <w:rPr>
          <w:lang w:val="pt-PT"/>
        </w:rPr>
        <w:t>A investigação busca responder: como o design de produto, métodos paramétricos e inteligência artificial podem melhorar a personalização, o conforto e a adequação funcional de próteses, mantendo a acessibilidade e o controle projetual? Quais metodologias e ferramentas validam a eficácia, a usabilidade, a durabilidade e a reprodutibilidade de próteses impressas em 3D? Como o Design Industrial concilia requisitos anatómicos, funcionais, ergonómicos, estéticos e simbólicos, promovendo a aceitação, a dignidade e a autonomia?</w:t>
      </w:r>
    </w:p>
    <w:p>
      <w:pPr>
        <w:pStyle w:val="Heading3"/>
        <w:bidi w:val="0"/>
        <w:jc w:val="left"/>
        <w:rPr>
          <w:lang w:val="pt-PT"/>
        </w:rPr>
      </w:pPr>
      <w:r>
        <w:rPr>
          <w:lang w:val="pt-PT"/>
        </w:rPr>
      </w:r>
    </w:p>
    <w:p>
      <w:pPr>
        <w:pStyle w:val="Heading3"/>
        <w:bidi w:val="0"/>
        <w:jc w:val="left"/>
        <w:rPr>
          <w:lang w:val="pt-PT"/>
        </w:rPr>
      </w:pPr>
      <w:r>
        <w:rPr>
          <w:lang w:val="pt-PT"/>
        </w:rPr>
        <w:t>1.4 Abordagem metodológica geral</w:t>
      </w:r>
    </w:p>
    <w:p>
      <w:pPr>
        <w:pStyle w:val="Normal"/>
        <w:bidi w:val="0"/>
        <w:jc w:val="left"/>
        <w:rPr>
          <w:lang w:val="pt-PT"/>
        </w:rPr>
      </w:pPr>
      <w:r>
        <w:rPr>
          <w:lang w:val="pt-PT"/>
        </w:rP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Normal"/>
        <w:bidi w:val="0"/>
        <w:jc w:val="left"/>
        <w:rPr>
          <w:lang w:val="pt-PT"/>
        </w:rPr>
      </w:pPr>
      <w:r>
        <w:rPr>
          <w:lang w:val="pt-PT"/>
        </w:rP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sem utilizar dados pessoais de utilizadores.</w:t>
      </w:r>
    </w:p>
    <w:p>
      <w:pPr>
        <w:pStyle w:val="Heading3"/>
        <w:bidi w:val="0"/>
        <w:jc w:val="left"/>
        <w:rPr>
          <w:lang w:val="pt-PT"/>
        </w:rPr>
      </w:pPr>
      <w:r>
        <w:rPr>
          <w:lang w:val="pt-PT"/>
        </w:rPr>
      </w:r>
    </w:p>
    <w:p>
      <w:pPr>
        <w:pStyle w:val="Heading3"/>
        <w:bidi w:val="0"/>
        <w:jc w:val="left"/>
        <w:rPr>
          <w:lang w:val="pt-PT"/>
        </w:rPr>
      </w:pPr>
      <w:r>
        <w:rPr>
          <w:lang w:val="pt-PT"/>
        </w:rPr>
        <w:t>1.5 Estrutura da dissertação</w:t>
      </w:r>
    </w:p>
    <w:p>
      <w:pPr>
        <w:pStyle w:val="Normal"/>
        <w:bidi w:val="0"/>
        <w:jc w:val="left"/>
        <w:rPr>
          <w:lang w:val="pt-PT"/>
        </w:rPr>
      </w:pPr>
      <w:r>
        <w:rPr>
          <w:lang w:val="pt-PT"/>
        </w:rP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Heading2"/>
        <w:bidi w:val="0"/>
        <w:jc w:val="left"/>
        <w:rPr>
          <w:lang w:val="pt-PT"/>
        </w:rPr>
      </w:pPr>
      <w:r>
        <w:rPr>
          <w:lang w:val="pt-PT"/>
        </w:rPr>
      </w:r>
    </w:p>
    <w:p>
      <w:pPr>
        <w:pStyle w:val="Heading2"/>
        <w:bidi w:val="0"/>
        <w:jc w:val="left"/>
        <w:rPr>
          <w:lang w:val="pt-PT"/>
        </w:rPr>
      </w:pPr>
      <w:r>
        <w:rPr>
          <w:lang w:val="pt-PT"/>
        </w:rPr>
        <w:t>Capítulo 2 — Enquadramento Teórico e Estado da Arte</w:t>
      </w:r>
    </w:p>
    <w:p>
      <w:pPr>
        <w:pStyle w:val="Heading3"/>
        <w:bidi w:val="0"/>
        <w:jc w:val="left"/>
        <w:rPr>
          <w:lang w:val="pt-PT"/>
        </w:rPr>
      </w:pPr>
      <w:r>
        <w:rPr>
          <w:lang w:val="pt-PT"/>
        </w:rPr>
      </w:r>
    </w:p>
    <w:p>
      <w:pPr>
        <w:pStyle w:val="Heading3"/>
        <w:bidi w:val="0"/>
        <w:jc w:val="left"/>
        <w:rPr>
          <w:lang w:val="pt-PT"/>
        </w:rPr>
      </w:pPr>
      <w:r>
        <w:rPr>
          <w:lang w:val="pt-PT"/>
        </w:rPr>
        <w:t>2.1 Prótese de membro superior e dispositivos médicos</w:t>
      </w:r>
    </w:p>
    <w:p>
      <w:pPr>
        <w:pStyle w:val="Normal"/>
        <w:bidi w:val="0"/>
        <w:jc w:val="left"/>
        <w:rPr>
          <w:lang w:val="pt-PT"/>
        </w:rPr>
      </w:pPr>
      <w:r>
        <w:rPr>
          <w:lang w:val="pt-PT"/>
        </w:rP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(#ref-fink-2023); Segura et al., 2024 (#ref-segura-2024)).</w:t>
      </w:r>
    </w:p>
    <w:p>
      <w:pPr>
        <w:pStyle w:val="Normal"/>
        <w:bidi w:val="0"/>
        <w:jc w:val="left"/>
        <w:rPr>
          <w:lang w:val="pt-PT"/>
        </w:rPr>
      </w:pPr>
      <w:r>
        <w:rPr>
          <w:lang w:val="pt-PT"/>
        </w:rP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BodyText"/>
        <w:rPr>
          <w:lang w:val="pt-PT"/>
        </w:rPr>
      </w:pPr>
      <w:r>
        <w:rPr/>
        <w:t>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Heading3"/>
        <w:bidi w:val="0"/>
        <w:jc w:val="left"/>
        <w:rPr>
          <w:lang w:val="pt-PT"/>
        </w:rPr>
      </w:pPr>
      <w:r>
        <w:rPr>
          <w:lang w:val="pt-PT"/>
        </w:rPr>
        <w:t>Tipologias de próteses de membro superior</w:t>
      </w:r>
    </w:p>
    <w:p>
      <w:pPr>
        <w:pStyle w:val="BodyText"/>
        <w:rPr/>
      </w:pPr>
      <w:r>
        <w:rPr>
          <w:lang w:val="pt-PT"/>
        </w:rPr>
        <w:t xml:space="preserve">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 </w:t>
      </w:r>
      <w:r>
        <w:rPr>
          <w:b w:val="false"/>
          <w:i w:val="false"/>
          <w:sz w:val="22"/>
        </w:rPr>
        <w:t xml:space="preserve"> </w:t>
      </w:r>
      <w:r>
        <w:rPr/>
        <w:t xml:space="preserve"> (Brack &amp; Amalu, 2021).</w:t>
      </w:r>
    </w:p>
    <w:p>
      <w:pPr>
        <w:pStyle w:val="BodyText"/>
        <w:rPr/>
      </w:pPr>
      <w:r>
        <w:rPr>
          <w:lang w:val="pt-PT"/>
        </w:rPr>
        <w:t>.</w:t>
      </w:r>
      <w:r>
        <w:rPr/>
        <w:commentReference w:id="0"/>
      </w:r>
    </w:p>
    <w:p>
      <w:pPr>
        <w:pStyle w:val="BodyText"/>
        <w:rPr/>
      </w:pPr>
      <w:r>
        <w:rPr/>
      </w:r>
    </w:p>
    <w:p>
      <w:pPr>
        <w:pStyle w:val="Normal"/>
        <w:bidi w:val="0"/>
        <w:jc w:val="left"/>
        <w:rPr>
          <w:lang w:val="pt-PT"/>
        </w:rPr>
      </w:pPr>
      <w:r>
        <w:rPr>
          <w:lang w:val="pt-PT"/>
        </w:rP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(#ref-fink-2023); Segura et al., 2024 (#ref-segura-2024)).</w:t>
      </w:r>
    </w:p>
    <w:p>
      <w:pPr>
        <w:pStyle w:val="Heading3"/>
        <w:bidi w:val="0"/>
        <w:jc w:val="left"/>
        <w:rPr>
          <w:lang w:val="pt-PT"/>
        </w:rPr>
      </w:pPr>
      <w:r>
        <w:rPr>
          <w:lang w:val="pt-PT"/>
        </w:rPr>
      </w:r>
    </w:p>
    <w:p>
      <w:pPr>
        <w:pStyle w:val="Heading3"/>
        <w:bidi w:val="0"/>
        <w:jc w:val="left"/>
        <w:rPr>
          <w:lang w:val="pt-PT"/>
        </w:rPr>
      </w:pPr>
      <w:r>
        <w:rPr>
          <w:lang w:val="pt-PT"/>
        </w:rPr>
        <w:t>Próteses mecânicas acionadas pelo corpo (</w:t>
      </w:r>
      <w:r>
        <w:rPr>
          <w:i/>
          <w:lang w:val="pt-PT"/>
        </w:rPr>
        <w:t>body-powered</w:t>
      </w:r>
      <w:r>
        <w:rPr>
          <w:lang w:val="pt-PT"/>
        </w:rPr>
        <w:t>)</w:t>
      </w:r>
    </w:p>
    <w:p>
      <w:pPr>
        <w:pStyle w:val="Normal"/>
        <w:bidi w:val="0"/>
        <w:jc w:val="left"/>
        <w:rPr>
          <w:lang w:val="pt-PT"/>
        </w:rPr>
      </w:pPr>
      <w:r>
        <w:rPr>
          <w:lang w:val="pt-PT"/>
        </w:rPr>
      </w:r>
    </w:p>
    <w:p>
      <w:pPr>
        <w:pStyle w:val="Normal"/>
        <w:bidi w:val="0"/>
        <w:jc w:val="left"/>
        <w:rPr>
          <w:lang w:val="pt-PT"/>
        </w:rPr>
      </w:pPr>
      <w:r>
        <w:rPr>
          <w:lang w:val="pt-PT"/>
        </w:rPr>
        <w:t>As próteses mecânicas utilizam um sistema de arnês e cabos que converte movimentos do ombro, do tronco ou da cintura escapular em ação no dispositivo terminal, tipicamente um gancho ou uma mão mecânica. São soluções tradicionalmente valorizadas pela robustez, pela previsibilidade mecânica, pelo menor custo e pela relativa facilidade de manutenção.</w:t>
      </w:r>
    </w:p>
    <w:p>
      <w:pPr>
        <w:pStyle w:val="Normal"/>
        <w:bidi w:val="0"/>
        <w:jc w:val="left"/>
        <w:rPr>
          <w:lang w:val="pt-PT"/>
        </w:rPr>
      </w:pPr>
      <w:r>
        <w:rPr>
          <w:lang w:val="pt-PT"/>
        </w:rPr>
        <w:t>Um atributo particularmente relevante é o feedback proprioceptivo</w:t>
      </w:r>
      <w:r>
        <w:rPr>
          <w:rStyle w:val="FootnoteReference"/>
          <w:lang w:val="pt-PT"/>
        </w:rPr>
        <w:footnoteReference w:id="2"/>
      </w:r>
      <w:r>
        <w:rPr>
          <w:lang w:val="pt-PT"/>
        </w:rPr>
        <w:t xml:space="preserve">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(#ref-engdahl-2024); Fink &amp; Diamond, 2023 (#ref-fink-2023)).</w:t>
      </w:r>
    </w:p>
    <w:p>
      <w:pPr>
        <w:pStyle w:val="Heading3"/>
        <w:bidi w:val="0"/>
        <w:jc w:val="left"/>
        <w:rPr>
          <w:lang w:val="pt-PT"/>
        </w:rPr>
      </w:pPr>
      <w:r>
        <w:rPr>
          <w:lang w:val="pt-PT"/>
        </w:rPr>
      </w:r>
    </w:p>
    <w:p>
      <w:pPr>
        <w:pStyle w:val="Heading3"/>
        <w:bidi w:val="0"/>
        <w:jc w:val="left"/>
        <w:rPr>
          <w:lang w:val="pt-PT"/>
        </w:rPr>
      </w:pPr>
      <w:r>
        <w:rPr>
          <w:lang w:val="pt-PT"/>
        </w:rPr>
        <w:t>Próteses mioelétricas</w:t>
      </w:r>
    </w:p>
    <w:p>
      <w:pPr>
        <w:pStyle w:val="Normal"/>
        <w:bidi w:val="0"/>
        <w:jc w:val="left"/>
        <w:rPr>
          <w:lang w:val="pt-PT"/>
        </w:rPr>
      </w:pPr>
      <w:r>
        <w:rPr>
          <w:lang w:val="pt-PT"/>
        </w:rPr>
      </w:r>
    </w:p>
    <w:p>
      <w:pPr>
        <w:pStyle w:val="Normal"/>
        <w:bidi w:val="0"/>
        <w:jc w:val="left"/>
        <w:rPr>
          <w:lang w:val="pt-PT"/>
        </w:rPr>
      </w:pPr>
      <w:r>
        <w:rPr>
          <w:lang w:val="pt-PT"/>
        </w:rP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(#ref-bates-2020); Engdahl et al., 2024 (#ref-engdahl-2024)).</w:t>
      </w:r>
    </w:p>
    <w:p>
      <w:pPr>
        <w:pStyle w:val="Heading3"/>
        <w:bidi w:val="0"/>
        <w:jc w:val="left"/>
        <w:rPr>
          <w:lang w:val="pt-PT"/>
        </w:rPr>
      </w:pPr>
      <w:r>
        <w:rPr>
          <w:lang w:val="pt-PT"/>
        </w:rPr>
      </w:r>
    </w:p>
    <w:p>
      <w:pPr>
        <w:pStyle w:val="Heading3"/>
        <w:bidi w:val="0"/>
        <w:jc w:val="left"/>
        <w:rPr>
          <w:lang w:val="pt-PT"/>
        </w:rPr>
      </w:pPr>
      <w:r>
        <w:rPr>
          <w:lang w:val="pt-PT"/>
        </w:rPr>
        <w:t>Sistemas híbridos</w:t>
      </w:r>
    </w:p>
    <w:p>
      <w:pPr>
        <w:pStyle w:val="Normal"/>
        <w:bidi w:val="0"/>
        <w:jc w:val="left"/>
        <w:rPr>
          <w:lang w:val="pt-PT"/>
        </w:rPr>
      </w:pPr>
      <w:r>
        <w:rPr>
          <w:lang w:val="pt-PT"/>
        </w:rPr>
      </w:r>
    </w:p>
    <w:p>
      <w:pPr>
        <w:pStyle w:val="Normal"/>
        <w:bidi w:val="0"/>
        <w:jc w:val="left"/>
        <w:rPr>
          <w:lang w:val="pt-PT"/>
        </w:rPr>
      </w:pPr>
      <w:r>
        <w:rPr>
          <w:lang w:val="pt-PT"/>
        </w:rP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(#ref-segura-2024); Walters et al., 2025 (#ref-walters-2025)).</w:t>
      </w:r>
    </w:p>
    <w:p>
      <w:pPr>
        <w:pStyle w:val="Normal"/>
        <w:bidi w:val="0"/>
        <w:jc w:val="left"/>
        <w:rPr>
          <w:lang w:val="pt-PT"/>
        </w:rPr>
      </w:pPr>
      <w:r>
        <w:rPr>
          <w:lang w:val="pt-PT"/>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5467350"/>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3"/>
                    <a:stretch>
                      <a:fillRect/>
                    </a:stretch>
                  </pic:blipFill>
                  <pic:spPr bwMode="auto">
                    <a:xfrm>
                      <a:off x="0" y="0"/>
                      <a:ext cx="5715000" cy="5467350"/>
                    </a:xfrm>
                    <a:prstGeom prst="rect">
                      <a:avLst/>
                    </a:prstGeom>
                    <a:noFill/>
                  </pic:spPr>
                </pic:pic>
              </a:graphicData>
            </a:graphic>
          </wp:inline>
        </w:drawing>
      </w:r>
    </w:p>
    <w:p>
      <w:pPr>
        <w:pStyle w:val="Normal"/>
        <w:bidi w:val="0"/>
        <w:jc w:val="left"/>
        <w:rPr>
          <w:lang w:val="pt-PT"/>
        </w:rPr>
      </w:pPr>
      <w:r>
        <w:rPr>
          <w:lang w:val="pt-PT"/>
        </w:rPr>
        <w:t>Figura 2.1 — Exemplos de próteses de membro superior impressas em 3D, ilustrando diversidade tipológica e construtiva.</w:t>
      </w:r>
    </w:p>
    <w:p>
      <w:pPr>
        <w:pStyle w:val="Normal"/>
        <w:bidi w:val="0"/>
        <w:jc w:val="left"/>
        <w:rPr>
          <w:lang w:val="pt-PT"/>
        </w:rPr>
      </w:pPr>
      <w:r>
        <w:rPr>
          <w:lang w:val="pt-PT"/>
        </w:rPr>
        <w:t>Fonte original: ten Kate, J., Smit, G., &amp; Breedveld, P. (2017). 3D-printed upper limb prostheses: A review. Disability and Rehabilitation: Assistive Technology, 12(3), 300-314. https://doi.org/10.1080/17483107.2016.1253117</w:t>
      </w:r>
    </w:p>
    <w:p>
      <w:pPr>
        <w:pStyle w:val="Heading3"/>
        <w:bidi w:val="0"/>
        <w:jc w:val="left"/>
        <w:rPr>
          <w:lang w:val="pt-PT"/>
        </w:rPr>
      </w:pPr>
      <w:r>
        <w:rPr>
          <w:lang w:val="pt-PT"/>
        </w:rPr>
      </w:r>
    </w:p>
    <w:p>
      <w:pPr>
        <w:pStyle w:val="Heading3"/>
        <w:bidi w:val="0"/>
        <w:jc w:val="left"/>
        <w:rPr>
          <w:lang w:val="pt-PT"/>
        </w:rPr>
      </w:pPr>
      <w:r>
        <w:rPr>
          <w:lang w:val="pt-PT"/>
        </w:rPr>
        <w:t>Considerações clínicas e funcionais</w:t>
      </w:r>
    </w:p>
    <w:p>
      <w:pPr>
        <w:pStyle w:val="Normal"/>
        <w:bidi w:val="0"/>
        <w:jc w:val="left"/>
        <w:rPr>
          <w:lang w:val="pt-PT"/>
        </w:rPr>
      </w:pPr>
      <w:r>
        <w:rPr>
          <w:lang w:val="pt-PT"/>
        </w:rPr>
      </w:r>
    </w:p>
    <w:p>
      <w:pPr>
        <w:pStyle w:val="Normal"/>
        <w:bidi w:val="0"/>
        <w:jc w:val="left"/>
        <w:rPr>
          <w:lang w:val="pt-PT"/>
        </w:rPr>
      </w:pPr>
      <w:r>
        <w:rPr>
          <w:lang w:val="pt-PT"/>
        </w:rP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(#ref-fink-2023); Soyer et al., 2016 (#ref-soyer-2016)).</w:t>
      </w:r>
    </w:p>
    <w:p>
      <w:pPr>
        <w:pStyle w:val="Normal"/>
        <w:bidi w:val="0"/>
        <w:jc w:val="left"/>
        <w:rPr>
          <w:lang w:val="pt-PT"/>
        </w:rPr>
      </w:pPr>
      <w:r>
        <w:rPr>
          <w:lang w:val="pt-PT"/>
        </w:rPr>
        <w:t xml:space="preserve">Entre os fatores físicos incluem-se o nível de amputação, o comprimento e a condição do </w:t>
      </w:r>
      <w:r>
        <w:rPr>
          <w:lang w:val="pt-PT"/>
        </w:rPr>
        <w:t>membro</w:t>
      </w:r>
      <w:r>
        <w:rPr>
          <w:lang w:val="pt-PT"/>
        </w:rPr>
        <w:t xml:space="preserve"> residual, a integridade cutânea, a amplitude articular e a força muscular. Amputações de nível mais proximal implicam desafios acrescidos em termos de controlo e do peso do sistema protésico.</w:t>
      </w:r>
    </w:p>
    <w:p>
      <w:pPr>
        <w:pStyle w:val="Normal"/>
        <w:bidi w:val="0"/>
        <w:jc w:val="left"/>
        <w:rPr>
          <w:lang w:val="pt-PT"/>
        </w:rPr>
      </w:pPr>
      <w:r>
        <w:rPr>
          <w:lang w:val="pt-PT"/>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lang w:val="pt-PT"/>
        </w:rPr>
      </w:pPr>
      <w:r>
        <w:rPr>
          <w:lang w:val="pt-PT"/>
        </w:rP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Normal"/>
        <w:bidi w:val="0"/>
        <w:jc w:val="left"/>
        <w:rPr>
          <w:lang w:val="pt-PT"/>
        </w:rPr>
      </w:pPr>
      <w:r>
        <w:rPr>
          <w:lang w:val="pt-PT"/>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(#ref-bates-2020); Soyer et al., 2016 (#ref-soyer-2016)).</w:t>
      </w:r>
    </w:p>
    <w:p>
      <w:pPr>
        <w:pStyle w:val="Heading3"/>
        <w:bidi w:val="0"/>
        <w:jc w:val="left"/>
        <w:rPr>
          <w:lang w:val="pt-PT"/>
        </w:rPr>
      </w:pPr>
      <w:r>
        <w:rPr>
          <w:lang w:val="pt-PT"/>
        </w:rPr>
      </w:r>
    </w:p>
    <w:p>
      <w:pPr>
        <w:pStyle w:val="Heading3"/>
        <w:bidi w:val="0"/>
        <w:jc w:val="left"/>
        <w:rPr>
          <w:lang w:val="pt-PT"/>
        </w:rPr>
      </w:pPr>
      <w:r>
        <w:rPr>
          <w:lang w:val="pt-PT"/>
        </w:rPr>
        <w:t>Medição de resultados e abandono protésico</w:t>
      </w:r>
    </w:p>
    <w:p>
      <w:pPr>
        <w:pStyle w:val="Normal"/>
        <w:bidi w:val="0"/>
        <w:jc w:val="left"/>
        <w:rPr>
          <w:lang w:val="pt-PT"/>
        </w:rPr>
      </w:pPr>
      <w:r>
        <w:rPr>
          <w:lang w:val="pt-PT"/>
        </w:rPr>
      </w:r>
    </w:p>
    <w:p>
      <w:pPr>
        <w:pStyle w:val="Normal"/>
        <w:bidi w:val="0"/>
        <w:jc w:val="left"/>
        <w:rPr>
          <w:lang w:val="pt-PT"/>
        </w:rPr>
      </w:pPr>
      <w:r>
        <w:rPr>
          <w:lang w:val="pt-PT"/>
        </w:rP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(#ref-segura-2024); Soyer et al., 2016 (#ref-soyer-2016)).</w:t>
      </w:r>
    </w:p>
    <w:p>
      <w:pPr>
        <w:pStyle w:val="Normal"/>
        <w:bidi w:val="0"/>
        <w:jc w:val="left"/>
        <w:rPr>
          <w:lang w:val="pt-PT"/>
        </w:rPr>
      </w:pPr>
      <w:r>
        <w:rPr>
          <w:lang w:val="pt-PT"/>
        </w:rP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(#ref-fink-2023); Smail et al., 2020 (#ref-smail-2020)).</w:t>
      </w:r>
    </w:p>
    <w:p>
      <w:pPr>
        <w:pStyle w:val="Normal"/>
        <w:bidi w:val="0"/>
        <w:jc w:val="left"/>
        <w:rPr>
          <w:lang w:val="pt-PT"/>
        </w:rPr>
      </w:pPr>
      <w:r>
        <w:rPr>
          <w:lang w:val="pt-PT"/>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lang w:val="pt-PT"/>
        </w:rPr>
      </w:pPr>
      <w:r>
        <w:rPr/>
        <w:drawing>
          <wp:inline distT="0" distB="0" distL="0" distR="0">
            <wp:extent cx="5715000" cy="4086225"/>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4"/>
                    <a:stretch>
                      <a:fillRect/>
                    </a:stretch>
                  </pic:blipFill>
                  <pic:spPr bwMode="auto">
                    <a:xfrm>
                      <a:off x="0" y="0"/>
                      <a:ext cx="5715000" cy="4086225"/>
                    </a:xfrm>
                    <a:prstGeom prst="rect">
                      <a:avLst/>
                    </a:prstGeom>
                    <a:noFill/>
                  </pic:spPr>
                </pic:pic>
              </a:graphicData>
            </a:graphic>
          </wp:inline>
        </w:drawing>
      </w:r>
    </w:p>
    <w:p>
      <w:pPr>
        <w:pStyle w:val="Normal"/>
        <w:bidi w:val="0"/>
        <w:jc w:val="left"/>
        <w:rPr>
          <w:lang w:val="pt-PT"/>
        </w:rPr>
      </w:pPr>
      <w:r>
        <w:rPr>
          <w:lang w:val="pt-PT"/>
        </w:rPr>
        <w:t>Figura 2.2 — Utilização, rejeição primária e rejeição secundária de próteses do membro superior adquiridas.</w:t>
      </w:r>
    </w:p>
    <w:p>
      <w:pPr>
        <w:pStyle w:val="Normal"/>
        <w:bidi w:val="0"/>
        <w:jc w:val="left"/>
        <w:rPr/>
      </w:pPr>
      <w:r>
        <w:rPr>
          <w:lang w:val="pt-PT"/>
        </w:rPr>
        <w:t xml:space="preserve">Fonte original: Biddiss, E., Beaton, D., &amp; Chau, T. (2007). Consumer design priorities for upper limb prosthetics. Disability and Rehabilitation: Assistive Technology, 2(6), 346-357. </w:t>
      </w:r>
      <w:hyperlink r:id="rId5">
        <w:r>
          <w:rPr>
            <w:rStyle w:val="Hyperlink"/>
            <w:lang w:val="pt-PT"/>
          </w:rPr>
          <w:t>https://doi.org/10.1080/17483100701714733</w:t>
        </w:r>
      </w:hyperlink>
    </w:p>
    <w:p>
      <w:pPr>
        <w:pStyle w:val="Normal"/>
        <w:bidi w:val="0"/>
        <w:jc w:val="left"/>
        <w:rPr>
          <w:lang w:val="pt-PT"/>
        </w:rPr>
      </w:pPr>
      <w:r>
        <w:rPr>
          <w:lang w:val="pt-PT"/>
        </w:rPr>
      </w:r>
    </w:p>
    <w:p>
      <w:pPr>
        <w:pStyle w:val="Heading3"/>
        <w:bidi w:val="0"/>
        <w:jc w:val="left"/>
        <w:rPr>
          <w:lang w:val="pt-PT"/>
        </w:rPr>
      </w:pPr>
      <w:r>
        <w:rPr>
          <w:lang w:val="pt-PT"/>
        </w:rPr>
        <w:t>Enquadramento regulatório enquanto dispositivo médico</w:t>
      </w:r>
    </w:p>
    <w:p>
      <w:pPr>
        <w:pStyle w:val="Normal"/>
        <w:bidi w:val="0"/>
        <w:jc w:val="left"/>
        <w:rPr>
          <w:lang w:val="pt-PT"/>
        </w:rPr>
      </w:pPr>
      <w:r>
        <w:rPr>
          <w:lang w:val="pt-PT"/>
        </w:rPr>
      </w:r>
    </w:p>
    <w:p>
      <w:pPr>
        <w:pStyle w:val="Normal"/>
        <w:bidi w:val="0"/>
        <w:jc w:val="left"/>
        <w:rPr>
          <w:lang w:val="pt-PT"/>
        </w:rPr>
      </w:pPr>
      <w:r>
        <w:rPr>
          <w:lang w:val="pt-PT"/>
        </w:rP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lang w:val="pt-PT"/>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 (#ref-parlamento-europeu-2017)).</w:t>
      </w:r>
    </w:p>
    <w:p>
      <w:pPr>
        <w:pStyle w:val="Normal"/>
        <w:bidi w:val="0"/>
        <w:jc w:val="left"/>
        <w:rPr>
          <w:lang w:val="pt-PT"/>
        </w:rPr>
      </w:pPr>
      <w:r>
        <w:rPr>
          <w:lang w:val="pt-PT"/>
        </w:rP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 (#ref-resnik-2010)).</w:t>
      </w:r>
    </w:p>
    <w:p>
      <w:pPr>
        <w:pStyle w:val="Normal"/>
        <w:bidi w:val="0"/>
        <w:jc w:val="left"/>
        <w:rPr>
          <w:lang w:val="pt-PT"/>
        </w:rPr>
      </w:pPr>
      <w:r>
        <w:rPr>
          <w:lang w:val="pt-PT"/>
        </w:rP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(#ref-parlamento-europeu-2017); Resnik et al., 2010 (#ref-resnik-2010)).</w:t>
      </w:r>
    </w:p>
    <w:p>
      <w:pPr>
        <w:pStyle w:val="Normal"/>
        <w:bidi w:val="0"/>
        <w:jc w:val="left"/>
        <w:rPr>
          <w:lang w:val="pt-PT"/>
        </w:rPr>
      </w:pPr>
      <w:r>
        <w:rPr>
          <w:lang w:val="pt-PT"/>
        </w:rPr>
      </w:r>
    </w:p>
    <w:p>
      <w:pPr>
        <w:pStyle w:val="Heading3"/>
        <w:bidi w:val="0"/>
        <w:jc w:val="left"/>
        <w:rPr>
          <w:lang w:val="pt-PT"/>
        </w:rPr>
      </w:pPr>
      <w:r>
        <w:rPr>
          <w:lang w:val="pt-PT"/>
        </w:rPr>
        <w:t>2.2 Design Industrial, Design Inclusivo e Design Centrado no Utilizador</w:t>
      </w:r>
    </w:p>
    <w:p>
      <w:pPr>
        <w:pStyle w:val="Normal"/>
        <w:bidi w:val="0"/>
        <w:jc w:val="left"/>
        <w:rPr>
          <w:lang w:val="pt-PT"/>
        </w:rPr>
      </w:pPr>
      <w:r>
        <w:rPr>
          <w:lang w:val="pt-PT"/>
        </w:rPr>
      </w:r>
    </w:p>
    <w:p>
      <w:pPr>
        <w:pStyle w:val="Normal"/>
        <w:bidi w:val="0"/>
        <w:jc w:val="left"/>
        <w:rPr>
          <w:lang w:val="pt-PT"/>
        </w:rPr>
      </w:pPr>
      <w:r>
        <w:rPr>
          <w:lang w:val="pt-PT"/>
        </w:rPr>
        <w:t>O design industrial, no contexto da saúde e das tecnologias de apoio, é reconhecido progressivamente como uma disciplina mediadora entre as necessidades humanas, os contextos de utilização e os sistemas técnicos regulados.</w:t>
      </w:r>
    </w:p>
    <w:p>
      <w:pPr>
        <w:pStyle w:val="Normal"/>
        <w:bidi w:val="0"/>
        <w:jc w:val="left"/>
        <w:rPr>
          <w:lang w:val="pt-PT"/>
        </w:rPr>
      </w:pPr>
      <w:r>
        <w:rPr/>
        <w:t>A literatura revista evidencia que o design desempenha um papel estruturante na promoção da inclusão, da autonomia e da participação social, ao articular a configuração formal dos produtos com a modelação da relação entre indivíduos, ambientes, artefactos e sistemas.</w:t>
      </w:r>
    </w:p>
    <w:p>
      <w:pPr>
        <w:pStyle w:val="Normal"/>
        <w:bidi w:val="0"/>
        <w:jc w:val="left"/>
        <w:rPr>
          <w:lang w:val="pt-PT"/>
        </w:rPr>
      </w:pPr>
      <w:r>
        <w:rPr>
          <w:lang w:val="pt-PT"/>
        </w:rPr>
        <w:t xml:space="preserve"> </w:t>
      </w:r>
      <w:r>
        <w:rPr>
          <w:lang w:val="pt-PT"/>
        </w:rPr>
        <w:t>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(#ref-clarkson-2010); Shah &amp; Robinson, 2006 (#ref-shah-2006)).</w:t>
      </w:r>
    </w:p>
    <w:p>
      <w:pPr>
        <w:pStyle w:val="Normal"/>
        <w:bidi w:val="0"/>
        <w:jc w:val="left"/>
        <w:rPr>
          <w:lang w:val="pt-PT"/>
        </w:rPr>
      </w:pPr>
      <w:r>
        <w:rPr>
          <w:lang w:val="pt-PT"/>
        </w:rPr>
        <w:t>Paralelamente, o design inclusivo é apresentado como um imperativo contemporâneo que visa minimizar a exclusão evitável decorrente de decisões projetuais que não consideram a diversidade populacional e a variabilidade de capacidades ao longo do tempo. Esta perspetiva alinha-se com a responsabilidade dos sistemas de saúde de responder a utilizadores heterogéneos, com diferentes condições físicas, cognitivas e contextuais (Clarkson &amp; Coleman, 2010 (#ref-clarkson-2010)).</w:t>
      </w:r>
    </w:p>
    <w:p>
      <w:pPr>
        <w:pStyle w:val="Heading3"/>
        <w:bidi w:val="0"/>
        <w:jc w:val="left"/>
        <w:rPr>
          <w:lang w:val="pt-PT"/>
        </w:rPr>
      </w:pPr>
      <w:r>
        <w:rPr>
          <w:lang w:val="pt-PT"/>
        </w:rPr>
      </w:r>
    </w:p>
    <w:p>
      <w:pPr>
        <w:pStyle w:val="Heading3"/>
        <w:bidi w:val="0"/>
        <w:jc w:val="left"/>
        <w:rPr>
          <w:lang w:val="pt-PT"/>
        </w:rPr>
      </w:pPr>
      <w:r>
        <w:rPr>
          <w:lang w:val="pt-PT"/>
        </w:rPr>
        <w:t>Design industrial em dispositivos médicos</w:t>
      </w:r>
    </w:p>
    <w:p>
      <w:pPr>
        <w:pStyle w:val="Normal"/>
        <w:bidi w:val="0"/>
        <w:jc w:val="left"/>
        <w:rPr>
          <w:lang w:val="pt-PT"/>
        </w:rPr>
      </w:pPr>
      <w:r>
        <w:rPr>
          <w:lang w:val="pt-PT"/>
        </w:rPr>
      </w:r>
    </w:p>
    <w:p>
      <w:pPr>
        <w:pStyle w:val="Normal"/>
        <w:bidi w:val="0"/>
        <w:jc w:val="left"/>
        <w:rPr>
          <w:lang w:val="pt-PT"/>
        </w:rPr>
      </w:pPr>
      <w:r>
        <w:rPr>
          <w:lang w:val="pt-PT"/>
        </w:rP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(#ref-fisher-2020); Wilke et al., 2020 (#ref-wilke-2020)).</w:t>
      </w:r>
    </w:p>
    <w:p>
      <w:pPr>
        <w:pStyle w:val="Normal"/>
        <w:bidi w:val="0"/>
        <w:jc w:val="left"/>
        <w:rPr>
          <w:lang w:val="pt-PT"/>
        </w:rPr>
      </w:pPr>
      <w:r>
        <w:rPr>
          <w:lang w:val="pt-PT"/>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(#ref-fisher-2020); Shah &amp; Robinson, 2006 (#ref-shah-2006)).</w:t>
      </w:r>
    </w:p>
    <w:p>
      <w:pPr>
        <w:pStyle w:val="Normal"/>
        <w:bidi w:val="0"/>
        <w:jc w:val="left"/>
        <w:rPr>
          <w:lang w:val="pt-PT"/>
        </w:rPr>
      </w:pPr>
      <w:r>
        <w:rPr>
          <w:lang w:val="pt-PT"/>
        </w:rP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Normal"/>
        <w:bidi w:val="0"/>
        <w:jc w:val="left"/>
        <w:rPr>
          <w:lang w:val="pt-PT"/>
        </w:rPr>
      </w:pPr>
      <w:r>
        <w:rPr>
          <w:lang w:val="pt-PT"/>
        </w:rPr>
      </w:r>
    </w:p>
    <w:p>
      <w:pPr>
        <w:pStyle w:val="Normal"/>
        <w:bidi w:val="0"/>
        <w:jc w:val="left"/>
        <w:rPr>
          <w:lang w:val="pt-PT"/>
        </w:rPr>
      </w:pPr>
      <w:r>
        <w:rPr>
          <w:lang w:val="pt-PT"/>
        </w:rPr>
        <w:t>Tabela 2.1 — Papéis dos profissionais de saúde no desenvolvimento de dispositivos médicos</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Resultados clínicos, ensaios e usabilidade</w:t>
            </w:r>
          </w:p>
        </w:tc>
      </w:tr>
    </w:tbl>
    <w:p>
      <w:pPr>
        <w:pStyle w:val="Normal"/>
        <w:bidi w:val="0"/>
        <w:jc w:val="left"/>
        <w:rPr/>
      </w:pPr>
      <w:r>
        <w:rPr>
          <w:lang w:val="pt-PT"/>
        </w:rPr>
        <w:t xml:space="preserve">Fonte adaptada. Referência original: Kaygan, H., &amp; Kaygan, P. (2025). Clients and carers: Healthcare professionals’ roles in medical device development processes in SMEs. The Design Journal, 28(2), 213-231. </w:t>
      </w:r>
      <w:hyperlink r:id="rId6">
        <w:r>
          <w:rPr>
            <w:rStyle w:val="Hyperlink"/>
            <w:lang w:val="pt-PT"/>
          </w:rPr>
          <w:t>https://doi.org/10.1080/14606925.2024.2420152</w:t>
        </w:r>
      </w:hyperlink>
    </w:p>
    <w:p>
      <w:pPr>
        <w:pStyle w:val="Normal"/>
        <w:bidi w:val="0"/>
        <w:jc w:val="left"/>
        <w:rPr>
          <w:lang w:val="pt-PT"/>
        </w:rPr>
      </w:pPr>
      <w:r>
        <w:rPr>
          <w:lang w:val="pt-PT"/>
        </w:rPr>
      </w:r>
    </w:p>
    <w:p>
      <w:pPr>
        <w:pStyle w:val="Heading3"/>
        <w:bidi w:val="0"/>
        <w:jc w:val="left"/>
        <w:rPr>
          <w:lang w:val="pt-PT"/>
        </w:rPr>
      </w:pPr>
      <w:r>
        <w:rPr>
          <w:lang w:val="pt-PT"/>
        </w:rPr>
        <w:t>Design Inclusivo e Design Universal</w:t>
      </w:r>
    </w:p>
    <w:p>
      <w:pPr>
        <w:pStyle w:val="Heading3"/>
        <w:bidi w:val="0"/>
        <w:jc w:val="left"/>
        <w:rPr>
          <w:lang w:val="pt-PT"/>
        </w:rPr>
      </w:pPr>
      <w:r>
        <w:rPr>
          <w:lang w:val="pt-PT"/>
        </w:rPr>
      </w:r>
    </w:p>
    <w:p>
      <w:pPr>
        <w:pStyle w:val="Normal"/>
        <w:bidi w:val="0"/>
        <w:jc w:val="left"/>
        <w:rPr>
          <w:lang w:val="pt-PT"/>
        </w:rPr>
      </w:pPr>
      <w:r>
        <w:rPr>
          <w:lang w:val="pt-PT"/>
        </w:rPr>
        <w:t>O design inclusivo representa uma mudança conceptual significativa ao deslocar o foco da deficiência enquanto atributo individual para a compreensão da deficiência como resultado de desajustes entre capacidades humanas e ambientes projetados (Clarkson &amp; Coleman, 2010 (#ref-clarkson-2010)).</w:t>
      </w:r>
    </w:p>
    <w:p>
      <w:pPr>
        <w:pStyle w:val="Normal"/>
        <w:bidi w:val="0"/>
        <w:jc w:val="left"/>
        <w:rPr>
          <w:lang w:val="pt-PT"/>
        </w:rPr>
      </w:pPr>
      <w:r>
        <w:rPr>
          <w:lang w:val="pt-PT"/>
        </w:rPr>
        <w:t>Esta perspetiva aproxima-se dos modelos sociais e relacionais da deficiência, enfatizando que a exclusão pode ser produzida por decisões de projeto que não contemplam a diversidade de utilizadores (Clarkson &amp; Coleman, 2010 (#ref-clarkson-2010)).</w:t>
      </w:r>
    </w:p>
    <w:p>
      <w:pPr>
        <w:pStyle w:val="Normal"/>
        <w:bidi w:val="0"/>
        <w:jc w:val="left"/>
        <w:rPr>
          <w:lang w:val="pt-PT"/>
        </w:rPr>
      </w:pPr>
      <w:r>
        <w:rPr>
          <w:lang w:val="pt-PT"/>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 (#ref-clarkson-2010)).</w:t>
      </w:r>
    </w:p>
    <w:p>
      <w:pPr>
        <w:pStyle w:val="Normal"/>
        <w:bidi w:val="0"/>
        <w:jc w:val="left"/>
        <w:rPr>
          <w:lang w:val="pt-PT"/>
        </w:rPr>
      </w:pPr>
      <w:r>
        <w:rPr>
          <w:lang w:val="pt-PT"/>
        </w:rP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 (#ref-story-2006)).</w:t>
      </w:r>
    </w:p>
    <w:p>
      <w:pPr>
        <w:pStyle w:val="Normal"/>
        <w:bidi w:val="0"/>
        <w:jc w:val="left"/>
        <w:rPr>
          <w:lang w:val="pt-PT"/>
        </w:rPr>
      </w:pPr>
      <w:r>
        <w:rPr>
          <w:lang w:val="pt-PT"/>
        </w:rP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(#ref-story-2006); White &amp; Mosca, 2022 (#ref-white-2022)).</w:t>
      </w:r>
    </w:p>
    <w:p>
      <w:pPr>
        <w:pStyle w:val="Heading3"/>
        <w:bidi w:val="0"/>
        <w:jc w:val="left"/>
        <w:rPr>
          <w:lang w:val="pt-PT"/>
        </w:rPr>
      </w:pPr>
      <w:r>
        <w:rPr>
          <w:lang w:val="pt-PT"/>
        </w:rPr>
      </w:r>
    </w:p>
    <w:p>
      <w:pPr>
        <w:pStyle w:val="Heading3"/>
        <w:bidi w:val="0"/>
        <w:jc w:val="left"/>
        <w:rPr>
          <w:lang w:val="pt-PT"/>
        </w:rPr>
      </w:pPr>
      <w:r>
        <w:rPr>
          <w:lang w:val="pt-PT"/>
        </w:rPr>
        <w:t>Design Centrado no Utilizador e Design Centrado no Humano</w:t>
      </w:r>
    </w:p>
    <w:p>
      <w:pPr>
        <w:pStyle w:val="Normal"/>
        <w:bidi w:val="0"/>
        <w:jc w:val="left"/>
        <w:rPr>
          <w:lang w:val="pt-PT"/>
        </w:rPr>
      </w:pPr>
      <w:r>
        <w:rPr>
          <w:lang w:val="pt-PT"/>
        </w:rPr>
      </w:r>
    </w:p>
    <w:p>
      <w:pPr>
        <w:pStyle w:val="Normal"/>
        <w:bidi w:val="0"/>
        <w:jc w:val="left"/>
        <w:rPr>
          <w:lang w:val="pt-PT"/>
        </w:rPr>
      </w:pPr>
      <w:r>
        <w:rPr>
          <w:lang w:val="pt-PT"/>
        </w:rP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(#ref-fisher-2020); Shah &amp; Robinson, 2006 (#ref-shah-2006)).</w:t>
      </w:r>
    </w:p>
    <w:p>
      <w:pPr>
        <w:pStyle w:val="Normal"/>
        <w:bidi w:val="0"/>
        <w:jc w:val="left"/>
        <w:rPr>
          <w:lang w:val="pt-PT"/>
        </w:rPr>
      </w:pPr>
      <w:r>
        <w:rPr>
          <w:lang w:val="pt-PT"/>
        </w:rP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d</w:t>
      </w:r>
      <w:r>
        <w:rPr/>
        <w:t>efine requisitos específicos para a aplicação da engenharia de usabilidade a dispositivos médicos, reforçando a integração formal de avaliações formativas e sumativas no processo regulado de desenvolvimento.</w:t>
      </w:r>
      <w:r>
        <w:rPr>
          <w:lang w:val="pt-PT"/>
        </w:rPr>
        <w:t xml:space="preserve"> (Fisher &amp; Johansen, 2020 (#ref-fisher-2020); Millet et al., 2018 (#ref-millet-2018)).</w:t>
      </w:r>
      <w:r>
        <w:rPr/>
        <w:commentReference w:id="1"/>
      </w:r>
    </w:p>
    <w:p>
      <w:pPr>
        <w:pStyle w:val="Normal"/>
        <w:bidi w:val="0"/>
        <w:jc w:val="left"/>
        <w:rPr>
          <w:lang w:val="pt-PT"/>
        </w:rPr>
      </w:pPr>
      <w:r>
        <w:rPr>
          <w:lang w:val="pt-PT"/>
        </w:rP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 (#ref-millet-2018)).</w:t>
      </w:r>
    </w:p>
    <w:p>
      <w:pPr>
        <w:pStyle w:val="Heading3"/>
        <w:bidi w:val="0"/>
        <w:jc w:val="left"/>
        <w:rPr>
          <w:lang w:val="pt-PT"/>
        </w:rPr>
      </w:pPr>
      <w:r>
        <w:rPr>
          <w:lang w:val="pt-PT"/>
        </w:rPr>
      </w:r>
    </w:p>
    <w:p>
      <w:pPr>
        <w:pStyle w:val="Heading3"/>
        <w:bidi w:val="0"/>
        <w:jc w:val="left"/>
        <w:rPr>
          <w:lang w:val="pt-PT"/>
        </w:rPr>
      </w:pPr>
      <w:r>
        <w:rPr>
          <w:lang w:val="pt-PT"/>
        </w:rPr>
        <w:t>Design Participativo e Co-design</w:t>
      </w:r>
    </w:p>
    <w:p>
      <w:pPr>
        <w:pStyle w:val="Heading3"/>
        <w:bidi w:val="0"/>
        <w:jc w:val="left"/>
        <w:rPr>
          <w:lang w:val="pt-PT"/>
        </w:rPr>
      </w:pPr>
      <w:r>
        <w:rPr>
          <w:lang w:val="pt-PT"/>
        </w:rPr>
      </w:r>
    </w:p>
    <w:p>
      <w:pPr>
        <w:pStyle w:val="Normal"/>
        <w:bidi w:val="0"/>
        <w:jc w:val="left"/>
        <w:rPr>
          <w:lang w:val="pt-PT"/>
        </w:rPr>
      </w:pPr>
      <w:r>
        <w:rPr>
          <w:lang w:val="pt-PT"/>
        </w:rP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 (#ref-chapman-2025)).</w:t>
      </w:r>
    </w:p>
    <w:p>
      <w:pPr>
        <w:pStyle w:val="Normal"/>
        <w:bidi w:val="0"/>
        <w:jc w:val="left"/>
        <w:rPr>
          <w:lang w:val="pt-PT"/>
        </w:rPr>
      </w:pPr>
      <w:r>
        <w:rPr>
          <w:lang w:val="pt-PT"/>
        </w:rP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(#ref-chapman-2025)). Persistem tensões entre ideais participativos e contextos regulatórios altamente estruturados, nos quais a autoridade decisional permanece frequentemente concentrada em profissionais clínicos e em equipas técnicas (Chapman et al., 2025 (#ref-chapman-2025); Wilke et al., 2020 (#ref-wilke-2020)).</w:t>
      </w:r>
    </w:p>
    <w:p>
      <w:pPr>
        <w:pStyle w:val="Normal"/>
        <w:bidi w:val="0"/>
        <w:jc w:val="left"/>
        <w:rPr>
          <w:lang w:val="pt-PT"/>
        </w:rPr>
      </w:pPr>
      <w:r>
        <w:rPr>
          <w:lang w:val="pt-PT"/>
        </w:rPr>
      </w:r>
    </w:p>
    <w:p>
      <w:pPr>
        <w:pStyle w:val="Heading3"/>
        <w:bidi w:val="0"/>
        <w:jc w:val="left"/>
        <w:rPr>
          <w:lang w:val="pt-PT"/>
        </w:rPr>
      </w:pPr>
      <w:r>
        <w:rPr>
          <w:lang w:val="pt-PT"/>
        </w:rPr>
        <w:t>Metodologias, instrumentos e avaliação</w:t>
      </w:r>
    </w:p>
    <w:p>
      <w:pPr>
        <w:pStyle w:val="Normal"/>
        <w:bidi w:val="0"/>
        <w:jc w:val="left"/>
        <w:rPr>
          <w:lang w:val="pt-PT"/>
        </w:rPr>
      </w:pPr>
      <w:r>
        <w:rPr>
          <w:lang w:val="pt-PT"/>
        </w:rPr>
      </w:r>
    </w:p>
    <w:p>
      <w:pPr>
        <w:pStyle w:val="Normal"/>
        <w:bidi w:val="0"/>
        <w:jc w:val="left"/>
        <w:rPr>
          <w:lang w:val="pt-PT"/>
        </w:rPr>
      </w:pPr>
      <w:r>
        <w:rPr>
          <w:lang w:val="pt-PT"/>
        </w:rP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(#ref-fisher-2020); Shah &amp; Robinson, 2006 (#ref-shah-2006)).</w:t>
      </w:r>
    </w:p>
    <w:p>
      <w:pPr>
        <w:pStyle w:val="Normal"/>
        <w:bidi w:val="0"/>
        <w:jc w:val="left"/>
        <w:rPr>
          <w:lang w:val="pt-PT"/>
        </w:rPr>
      </w:pPr>
      <w:r>
        <w:rPr>
          <w:lang w:val="pt-PT"/>
        </w:rP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 (#ref-white-2022)).</w:t>
      </w:r>
    </w:p>
    <w:p>
      <w:pPr>
        <w:pStyle w:val="Normal"/>
        <w:bidi w:val="0"/>
        <w:jc w:val="left"/>
        <w:rPr>
          <w:lang w:val="pt-PT"/>
        </w:rPr>
      </w:pPr>
      <w:r>
        <w:rPr>
          <w:lang w:val="pt-PT"/>
        </w:rPr>
        <w:t>Em contextos de tecnologias de apoio, modelos como o Matching Person and Technology (MPT)</w:t>
      </w:r>
      <w:r>
        <w:rPr>
          <w:rStyle w:val="FootnoteReference"/>
          <w:lang w:val="pt-PT"/>
        </w:rPr>
        <w:footnoteReference w:id="3"/>
      </w:r>
      <w:r>
        <w:rPr>
          <w:lang w:val="pt-PT"/>
        </w:rPr>
        <w:t xml:space="preserve">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 (#ref-white-2022)).</w:t>
      </w:r>
    </w:p>
    <w:p>
      <w:pPr>
        <w:pStyle w:val="Normal"/>
        <w:bidi w:val="0"/>
        <w:jc w:val="left"/>
        <w:rPr>
          <w:lang w:val="pt-PT"/>
        </w:rPr>
      </w:pPr>
      <w:r>
        <w:rPr>
          <w:lang w:val="pt-PT"/>
        </w:rPr>
        <w:t>A avaliação da evidência tem sido igualmente reforçada através do uso de protocolos sistemáticos, como o PRISMA</w:t>
      </w:r>
      <w:r>
        <w:rPr>
          <w:rStyle w:val="FootnoteReference"/>
          <w:lang w:val="pt-PT"/>
        </w:rPr>
        <w:footnoteReference w:id="4"/>
      </w:r>
      <w:r>
        <w:rPr>
          <w:lang w:val="pt-PT"/>
        </w:rPr>
        <w:t>, que orienta a identificação, seleção e apresentação transparente dos estudos analisados, bem como de instrumentos de avaliação crítica. Esta evolução reflete uma preocupação crescente em fundamentar decisões de design numa base empírica robusta. (Chapman et al., 2025 (#ref-chapman-2025)).</w:t>
      </w:r>
    </w:p>
    <w:p>
      <w:pPr>
        <w:pStyle w:val="Heading3"/>
        <w:bidi w:val="0"/>
        <w:jc w:val="left"/>
        <w:rPr>
          <w:lang w:val="pt-PT"/>
        </w:rPr>
      </w:pPr>
      <w:r>
        <w:rPr>
          <w:lang w:val="pt-PT"/>
        </w:rPr>
      </w:r>
    </w:p>
    <w:p>
      <w:pPr>
        <w:pStyle w:val="Heading3"/>
        <w:bidi w:val="0"/>
        <w:jc w:val="left"/>
        <w:rPr>
          <w:lang w:val="pt-PT"/>
        </w:rPr>
      </w:pPr>
      <w:r>
        <w:rPr>
          <w:lang w:val="pt-PT"/>
        </w:rPr>
        <w:t>Desafios e lacunas</w:t>
      </w:r>
    </w:p>
    <w:p>
      <w:pPr>
        <w:pStyle w:val="Normal"/>
        <w:bidi w:val="0"/>
        <w:jc w:val="left"/>
        <w:rPr>
          <w:lang w:val="pt-PT"/>
        </w:rPr>
      </w:pPr>
      <w:r>
        <w:rPr>
          <w:lang w:val="pt-PT"/>
        </w:rPr>
      </w:r>
    </w:p>
    <w:p>
      <w:pPr>
        <w:pStyle w:val="Normal"/>
        <w:bidi w:val="0"/>
        <w:jc w:val="left"/>
        <w:rPr>
          <w:lang w:val="pt-PT"/>
        </w:rPr>
      </w:pPr>
      <w:r>
        <w:rPr>
          <w:lang w:val="pt-PT"/>
        </w:rPr>
        <w:t xml:space="preserve">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expansão; – e a necessidade de integrar dimensões interseccionais (como género e fatores socioculturais) na investigação e no desenvolvimento (Privitera, 2017; </w:t>
      </w:r>
      <w:r>
        <w:rPr>
          <w:b w:val="false"/>
          <w:i w:val="false"/>
          <w:sz w:val="22"/>
        </w:rPr>
        <w:t xml:space="preserve"> Oldfrey</w:t>
      </w:r>
      <w:r>
        <w:rPr>
          <w:b w:val="false"/>
          <w:i w:val="false"/>
          <w:sz w:val="22"/>
          <w:lang w:val="pt-PT"/>
        </w:rPr>
        <w:t xml:space="preserve"> et al 2024; </w:t>
      </w:r>
      <w:r>
        <w:rPr>
          <w:b w:val="false"/>
          <w:i w:val="false"/>
          <w:sz w:val="22"/>
        </w:rPr>
        <w:t xml:space="preserve">  Mc Guinness et al</w:t>
      </w:r>
      <w:r>
        <w:rPr>
          <w:b w:val="false"/>
          <w:i w:val="false"/>
          <w:sz w:val="22"/>
          <w:lang w:val="pt-PT"/>
        </w:rPr>
        <w:t>, 2025</w:t>
      </w:r>
      <w:r>
        <w:rPr>
          <w:lang w:val="pt-PT"/>
        </w:rPr>
        <w:t>).</w:t>
      </w:r>
      <w:r>
        <w:rPr/>
        <w:commentReference w:id="2"/>
      </w:r>
    </w:p>
    <w:p>
      <w:pPr>
        <w:pStyle w:val="Normal"/>
        <w:bidi w:val="0"/>
        <w:jc w:val="left"/>
        <w:rPr>
          <w:lang w:val="pt-PT"/>
        </w:rPr>
      </w:pPr>
      <w:r>
        <w:rPr>
          <w:lang w:val="pt-PT"/>
        </w:rP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Normal"/>
        <w:bidi w:val="0"/>
        <w:jc w:val="left"/>
        <w:rPr>
          <w:lang w:val="pt-PT"/>
        </w:rPr>
      </w:pPr>
      <w:r>
        <w:rPr>
          <w:lang w:val="pt-PT"/>
        </w:rPr>
      </w:r>
    </w:p>
    <w:p>
      <w:pPr>
        <w:pStyle w:val="Heading3"/>
        <w:bidi w:val="0"/>
        <w:jc w:val="left"/>
        <w:rPr>
          <w:lang w:val="pt-PT"/>
        </w:rPr>
      </w:pPr>
      <w:r>
        <w:rPr>
          <w:lang w:val="pt-PT"/>
        </w:rPr>
        <w:t>2.3 Fabricação Aditiva e parametrização no design de produto</w:t>
      </w:r>
    </w:p>
    <w:p>
      <w:pPr>
        <w:pStyle w:val="Heading3"/>
        <w:bidi w:val="0"/>
        <w:jc w:val="left"/>
        <w:rPr>
          <w:lang w:val="pt-PT"/>
        </w:rPr>
      </w:pPr>
      <w:r>
        <w:rPr>
          <w:lang w:val="pt-PT"/>
        </w:rPr>
      </w:r>
    </w:p>
    <w:p>
      <w:pPr>
        <w:pStyle w:val="Normal"/>
        <w:bidi w:val="0"/>
        <w:jc w:val="left"/>
        <w:rPr>
          <w:lang w:val="pt-PT"/>
        </w:rPr>
      </w:pPr>
      <w:r>
        <w:rPr>
          <w:lang w:val="pt-PT"/>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(#ref-lei-2016); Ozdemir et al., 2022 (#ref-ozdemir-2022); Stralen, 2018 (#ref-stralen-2018)).</w:t>
      </w:r>
    </w:p>
    <w:p>
      <w:pPr>
        <w:pStyle w:val="Normal"/>
        <w:bidi w:val="0"/>
        <w:jc w:val="left"/>
        <w:rPr>
          <w:lang w:val="pt-PT"/>
        </w:rPr>
      </w:pPr>
      <w:r>
        <w:rPr>
          <w:lang w:val="pt-PT"/>
        </w:rP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924300"/>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7"/>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2.3 — Fluxo digital entre aquisição, CAD/CAM e fabricação aditiva em próteses e ortóteses.</w:t>
      </w:r>
    </w:p>
    <w:p>
      <w:pPr>
        <w:pStyle w:val="Normal"/>
        <w:bidi w:val="0"/>
        <w:jc w:val="left"/>
        <w:rPr>
          <w:lang w:val="pt-PT"/>
        </w:rPr>
      </w:pPr>
      <w:r>
        <w:rPr>
          <w:lang w:val="pt-PT"/>
        </w:rPr>
        <w:t xml:space="preserve">Fonte original: Chainando, N., Faephu, C., Suwaphong, N., Bureerat, S., Limphirat, W., Thammajaruk, P., &amp; Syafrudin, M. (2025). Applying 3D scanning and printing techniques to produce upper limb prostheses: Bibliometric analysis and scoping review. Prosthesis, 7(2), 26. </w:t>
      </w:r>
      <w:hyperlink r:id="rId8">
        <w:r>
          <w:rPr>
            <w:rStyle w:val="Hyperlink"/>
            <w:lang w:val="pt-PT"/>
          </w:rPr>
          <w:t>https://www.mdpi.com/2673-1592/7/2/26/pdf?version=1740996517</w:t>
        </w:r>
      </w:hyperlink>
    </w:p>
    <w:p>
      <w:pPr>
        <w:pStyle w:val="Normal"/>
        <w:bidi w:val="0"/>
        <w:jc w:val="left"/>
        <w:rPr>
          <w:lang w:val="pt-PT"/>
        </w:rPr>
      </w:pPr>
      <w:r>
        <w:rPr>
          <w:lang w:val="pt-PT"/>
        </w:rPr>
      </w:r>
    </w:p>
    <w:p>
      <w:pPr>
        <w:pStyle w:val="Normal"/>
        <w:bidi w:val="0"/>
        <w:jc w:val="left"/>
        <w:rPr>
          <w:lang w:val="pt-PT"/>
        </w:rPr>
      </w:pPr>
      <w:r>
        <w:rPr>
          <w:lang w:val="pt-PT"/>
        </w:rPr>
        <w:t>Neste enquadramento, a personalização deixa de ser entendida como exceção e passa a constituir uma estratégia estruturada, operacionalizada por meio de “seed designs”</w:t>
      </w:r>
      <w:r>
        <w:rPr>
          <w:rStyle w:val="FootnoteReference"/>
          <w:lang w:val="pt-PT"/>
        </w:rPr>
        <w:footnoteReference w:id="5"/>
      </w:r>
      <w:r>
        <w:rPr>
          <w:lang w:val="pt-PT"/>
        </w:rPr>
        <w:t xml:space="preserve">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(#ref-ozdemir-2022); Stralen, 2018 (#ref-stralen-2018)).</w:t>
      </w:r>
    </w:p>
    <w:p>
      <w:pPr>
        <w:pStyle w:val="Normal"/>
        <w:bidi w:val="0"/>
        <w:jc w:val="left"/>
        <w:rPr>
          <w:lang w:val="pt-PT"/>
        </w:rPr>
      </w:pPr>
      <w:r>
        <w:rPr>
          <w:lang w:val="pt-PT"/>
        </w:rPr>
      </w:r>
    </w:p>
    <w:p>
      <w:pPr>
        <w:pStyle w:val="Heading3"/>
        <w:bidi w:val="0"/>
        <w:jc w:val="left"/>
        <w:rPr>
          <w:lang w:val="pt-PT"/>
        </w:rPr>
      </w:pPr>
      <w:r>
        <w:rPr>
          <w:lang w:val="pt-PT"/>
        </w:rPr>
        <w:t>Modelação Paramétrica e Espaços de Variação</w:t>
      </w:r>
    </w:p>
    <w:p>
      <w:pPr>
        <w:pStyle w:val="Normal"/>
        <w:bidi w:val="0"/>
        <w:jc w:val="left"/>
        <w:rPr>
          <w:lang w:val="pt-PT"/>
        </w:rPr>
      </w:pPr>
      <w:r>
        <w:rPr>
          <w:lang w:val="pt-PT"/>
        </w:rPr>
      </w:r>
    </w:p>
    <w:p>
      <w:pPr>
        <w:pStyle w:val="Normal"/>
        <w:bidi w:val="0"/>
        <w:jc w:val="left"/>
        <w:rPr>
          <w:lang w:val="pt-PT"/>
        </w:rPr>
      </w:pPr>
      <w:r>
        <w:rPr>
          <w:lang w:val="pt-PT"/>
        </w:rP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(#ref-lei-2016); Ozdemir et al., 2022 (#ref-ozdemir-2022)).</w:t>
      </w:r>
    </w:p>
    <w:p>
      <w:pPr>
        <w:pStyle w:val="Normal"/>
        <w:bidi w:val="0"/>
        <w:jc w:val="left"/>
        <w:rPr>
          <w:lang w:val="pt-PT"/>
        </w:rPr>
      </w:pPr>
      <w:r>
        <w:rPr>
          <w:lang w:val="pt-PT"/>
        </w:rPr>
        <w:t>No contexto da adaptação ao utilizador, a literatura destaca que a parametrização torna-se particularmente eficaz quando associada a dados mensuráveis, como a antropometria ou as digitalizações tridimensionais.</w:t>
      </w:r>
    </w:p>
    <w:p>
      <w:pPr>
        <w:pStyle w:val="Normal"/>
        <w:bidi w:val="0"/>
        <w:jc w:val="left"/>
        <w:rPr>
          <w:lang w:val="pt-PT"/>
        </w:rPr>
      </w:pPr>
      <w:r>
        <w:rPr>
          <w:lang w:val="pt-PT"/>
        </w:rPr>
        <w:t>Em vez de recorrer a um escalonamento uniforme, que pode introduzir desvios significativos, a definição de parâmetros independentes, como comprimento e largura, permite ajustes mais precisos e maior controlo dimensional dentro de margens reduzidas. Em aplicações protésicas, esta abordagem revelou maior proximidade às cinemáticas naturais e melhor adequação morfológica face a modelos ajustados apenas por escala global. (Lim et al., 2018 (#ref-lim-2018)).</w:t>
      </w:r>
    </w:p>
    <w:p>
      <w:pPr>
        <w:pStyle w:val="Normal"/>
        <w:bidi w:val="0"/>
        <w:jc w:val="left"/>
        <w:rPr>
          <w:lang w:val="pt-PT"/>
        </w:rPr>
      </w:pPr>
      <w:r>
        <w:rPr>
          <w:lang w:val="pt-PT"/>
        </w:rPr>
      </w:r>
    </w:p>
    <w:p>
      <w:pPr>
        <w:pStyle w:val="Heading3"/>
        <w:bidi w:val="0"/>
        <w:jc w:val="left"/>
        <w:rPr>
          <w:lang w:val="pt-PT"/>
        </w:rPr>
      </w:pPr>
      <w:r>
        <w:rPr>
          <w:lang w:val="pt-PT"/>
        </w:rPr>
        <w:t>Integração com Fabricação Aditiva e Design for Additive Manufacturing</w:t>
      </w:r>
    </w:p>
    <w:p>
      <w:pPr>
        <w:pStyle w:val="Normal"/>
        <w:bidi w:val="0"/>
        <w:jc w:val="left"/>
        <w:rPr>
          <w:lang w:val="pt-PT"/>
        </w:rPr>
      </w:pPr>
      <w:r>
        <w:rPr>
          <w:lang w:val="pt-PT"/>
        </w:rPr>
      </w:r>
    </w:p>
    <w:p>
      <w:pPr>
        <w:pStyle w:val="Normal"/>
        <w:bidi w:val="0"/>
        <w:jc w:val="left"/>
        <w:rPr>
          <w:lang w:val="pt-PT"/>
        </w:rPr>
      </w:pPr>
      <w:r>
        <w:rPr>
          <w:lang w:val="pt-PT"/>
        </w:rP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(#ref-chtioui-2023); Wiberg et al., 2019 (#ref-wiberg-2019)).</w:t>
      </w:r>
    </w:p>
    <w:p>
      <w:pPr>
        <w:pStyle w:val="Normal"/>
        <w:bidi w:val="0"/>
        <w:jc w:val="left"/>
        <w:rPr>
          <w:lang w:val="pt-PT"/>
        </w:rPr>
      </w:pPr>
      <w:r>
        <w:rPr>
          <w:lang w:val="pt-PT"/>
        </w:rPr>
        <w:t>Estudos aplicados demonstram que, ao determinar experimentalmente constrangimentos do processo e incorporá-los ao modelo paramétrico, é possível gerar milhares de variantes únicas com elevada taxa de sucesso funcional, minimizando as reimpressões (Wiberg et al., 2019 (#ref-wiberg-2019)). [^9]</w:t>
      </w:r>
    </w:p>
    <w:p>
      <w:pPr>
        <w:pStyle w:val="Normal"/>
        <w:bidi w:val="0"/>
        <w:jc w:val="left"/>
        <w:rPr>
          <w:lang w:val="pt-PT"/>
        </w:rPr>
      </w:pPr>
      <w:r>
        <w:rPr>
          <w:lang w:val="pt-PT"/>
        </w:rPr>
        <w:t>Esta evidência reforça a necessidade de uma ligação sistemática entre as fases de design e manufatura, contrariando abordagens que tratam a fabricação como etapa posterior e corretiva (Chtioui et al., 2023 (#ref-chtioui-2023); Wiberg et al., 2019 (#ref-wiberg-2019)).</w:t>
      </w:r>
    </w:p>
    <w:p>
      <w:pPr>
        <w:pStyle w:val="Normal"/>
        <w:bidi w:val="0"/>
        <w:jc w:val="left"/>
        <w:rPr>
          <w:lang w:val="pt-PT"/>
        </w:rPr>
      </w:pPr>
      <w:r>
        <w:rPr>
          <w:lang w:val="pt-PT"/>
        </w:rPr>
        <w:t>As tecnologias de fabricação aditiva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(#ref-chtioui-2023); Wiberg et al., 2019 (#ref-wiberg-2019)).[^10]</w:t>
      </w:r>
    </w:p>
    <w:p>
      <w:pPr>
        <w:pStyle w:val="Normal"/>
        <w:bidi w:val="0"/>
        <w:jc w:val="left"/>
        <w:rPr>
          <w:lang w:val="pt-PT"/>
        </w:rPr>
      </w:pPr>
      <w:r>
        <w:rPr>
          <w:lang w:val="pt-PT"/>
        </w:rPr>
      </w:r>
    </w:p>
    <w:p>
      <w:pPr>
        <w:pStyle w:val="Heading3"/>
        <w:bidi w:val="0"/>
        <w:jc w:val="left"/>
        <w:rPr>
          <w:lang w:val="pt-PT"/>
        </w:rPr>
      </w:pPr>
      <w:r>
        <w:rPr>
          <w:lang w:val="pt-PT"/>
        </w:rPr>
        <w:t>Configuradores e Cocriação Digital</w:t>
      </w:r>
    </w:p>
    <w:p>
      <w:pPr>
        <w:pStyle w:val="Normal"/>
        <w:bidi w:val="0"/>
        <w:jc w:val="left"/>
        <w:rPr>
          <w:lang w:val="pt-PT"/>
        </w:rPr>
      </w:pPr>
      <w:r>
        <w:rPr>
          <w:lang w:val="pt-PT"/>
        </w:rPr>
      </w:r>
    </w:p>
    <w:p>
      <w:pPr>
        <w:pStyle w:val="Normal"/>
        <w:bidi w:val="0"/>
        <w:jc w:val="left"/>
        <w:rPr>
          <w:lang w:val="pt-PT"/>
        </w:rPr>
      </w:pPr>
      <w:r>
        <w:rPr>
          <w:lang w:val="pt-PT"/>
        </w:rP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(#ref-ozdemir-2022); Stralen, 2018 (#ref-stralen-2018)).</w:t>
      </w:r>
    </w:p>
    <w:p>
      <w:pPr>
        <w:pStyle w:val="Normal"/>
        <w:bidi w:val="0"/>
        <w:jc w:val="left"/>
        <w:rPr>
          <w:lang w:val="pt-PT"/>
        </w:rPr>
      </w:pPr>
      <w:r>
        <w:rPr>
          <w:lang w:val="pt-PT"/>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01942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9"/>
                    <a:stretch>
                      <a:fillRect/>
                    </a:stretch>
                  </pic:blipFill>
                  <pic:spPr bwMode="auto">
                    <a:xfrm>
                      <a:off x="0" y="0"/>
                      <a:ext cx="5715000" cy="3019425"/>
                    </a:xfrm>
                    <a:prstGeom prst="rect">
                      <a:avLst/>
                    </a:prstGeom>
                    <a:noFill/>
                  </pic:spPr>
                </pic:pic>
              </a:graphicData>
            </a:graphic>
          </wp:inline>
        </w:drawing>
      </w:r>
    </w:p>
    <w:p>
      <w:pPr>
        <w:pStyle w:val="Normal"/>
        <w:bidi w:val="0"/>
        <w:jc w:val="left"/>
        <w:rPr>
          <w:lang w:val="pt-PT"/>
        </w:rPr>
      </w:pPr>
      <w:r>
        <w:rPr>
          <w:lang w:val="pt-PT"/>
        </w:rPr>
        <w:t>Figura 2.4 — Exemplo de configurador digital para personalização de uma prótese impressa em 3D.</w:t>
      </w:r>
    </w:p>
    <w:p>
      <w:pPr>
        <w:pStyle w:val="Normal"/>
        <w:bidi w:val="0"/>
        <w:jc w:val="left"/>
        <w:rPr>
          <w:lang w:val="pt-PT"/>
        </w:rPr>
      </w:pPr>
      <w:r>
        <w:rPr>
          <w:lang w:val="pt-PT"/>
        </w:rP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Este modelo “</w:t>
      </w:r>
      <w:r>
        <w:rPr>
          <w:i/>
          <w:iCs/>
          <w:lang w:val="pt-PT"/>
        </w:rPr>
        <w:t>file-to-factory</w:t>
      </w:r>
      <w:r>
        <w:rPr>
          <w:lang w:val="pt-PT"/>
        </w:rPr>
        <w:t>”</w:t>
      </w:r>
      <w:r>
        <w:rPr>
          <w:rStyle w:val="FootnoteReference"/>
          <w:lang w:val="pt-PT"/>
        </w:rPr>
        <w:footnoteReference w:id="6"/>
      </w:r>
      <w:r>
        <w:rPr>
          <w:lang w:val="pt-PT"/>
        </w:rPr>
        <w:t xml:space="preserve"> viabiliza fluxos digitais em que o ficheiro parametrizado é convertido diretamente em instruções de fabrico, seja localmente (impressão 3D descentralizada) ou através de uma encomenda online[^11]. </w:t>
      </w:r>
      <w:r>
        <w:rPr/>
        <w:t>A literatura associa esta lógica à democratização do design e à expansão de estratégias de customização em massa (</w:t>
      </w:r>
      <w:r>
        <w:rPr>
          <w:rStyle w:val="Emphasis"/>
        </w:rPr>
        <w:t>mass customization</w:t>
      </w:r>
      <w:r>
        <w:rPr/>
        <w:t>) e personalização em massa (</w:t>
      </w:r>
      <w:r>
        <w:rPr>
          <w:rStyle w:val="Emphasis"/>
        </w:rPr>
        <w:t>mass personalization</w:t>
      </w:r>
      <w:r>
        <w:rPr/>
        <w:t>), reduzindo custos marginais ao dispensar moldes e dispositivos específicos de fabrico.[^12]</w:t>
      </w:r>
      <w:r>
        <w:rPr>
          <w:lang w:val="pt-PT"/>
        </w:rPr>
        <w:t xml:space="preserve"> (Lei et al., 2016 (#ref-lei-2016); Stralen, 2018 (#ref-stralen-2018)).</w:t>
      </w:r>
    </w:p>
    <w:p>
      <w:pPr>
        <w:pStyle w:val="Normal"/>
        <w:bidi w:val="0"/>
        <w:jc w:val="left"/>
        <w:rPr>
          <w:lang w:val="pt-PT"/>
        </w:rPr>
      </w:pPr>
      <w:r>
        <w:rPr>
          <w:lang w:val="pt-PT"/>
        </w:rPr>
      </w:r>
    </w:p>
    <w:p>
      <w:pPr>
        <w:pStyle w:val="Normal"/>
        <w:bidi w:val="0"/>
        <w:jc w:val="left"/>
        <w:rPr>
          <w:lang w:val="pt-PT"/>
        </w:rPr>
      </w:pPr>
      <w:r>
        <w:rPr>
          <w:lang w:val="pt-PT"/>
        </w:rPr>
        <w:t>Contudo, enfatiza-se que configuradores eficazes devem limitar o número de parâmetros expostos e fornecer orientação clara sobre os limites válidos, evitando complexidade excessiva ou escolhas superficiais (Ozdemir et al., 2022 (#ref-ozdemir-2022)).</w:t>
      </w:r>
    </w:p>
    <w:p>
      <w:pPr>
        <w:pStyle w:val="Heading3"/>
        <w:bidi w:val="0"/>
        <w:jc w:val="left"/>
        <w:rPr>
          <w:lang w:val="pt-PT"/>
        </w:rPr>
      </w:pPr>
      <w:r>
        <w:rPr>
          <w:lang w:val="pt-PT"/>
        </w:rPr>
      </w:r>
    </w:p>
    <w:p>
      <w:pPr>
        <w:pStyle w:val="Heading3"/>
        <w:bidi w:val="0"/>
        <w:jc w:val="left"/>
        <w:rPr>
          <w:lang w:val="pt-PT"/>
        </w:rPr>
      </w:pPr>
      <w:r>
        <w:rPr>
          <w:lang w:val="pt-PT"/>
        </w:rPr>
        <w:t>Otimização, Geração e Avaliação de Desempenho</w:t>
      </w:r>
    </w:p>
    <w:p>
      <w:pPr>
        <w:pStyle w:val="Normal"/>
        <w:bidi w:val="0"/>
        <w:jc w:val="left"/>
        <w:rPr>
          <w:lang w:val="pt-PT"/>
        </w:rPr>
      </w:pPr>
      <w:r>
        <w:rPr>
          <w:lang w:val="pt-PT"/>
        </w:rPr>
      </w:r>
    </w:p>
    <w:p>
      <w:pPr>
        <w:pStyle w:val="Normal"/>
        <w:bidi w:val="0"/>
        <w:jc w:val="left"/>
        <w:rPr>
          <w:lang w:val="pt-PT"/>
        </w:rPr>
      </w:pPr>
      <w:r>
        <w:rPr>
          <w:lang w:val="pt-PT"/>
        </w:rP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w:t>
      </w:r>
      <w:r>
        <w:rPr>
          <w:rStyle w:val="FootnoteReference"/>
          <w:lang w:val="pt-PT"/>
        </w:rPr>
        <w:footnoteReference w:id="7"/>
      </w:r>
      <w:r>
        <w:rPr>
          <w:lang w:val="pt-PT"/>
        </w:rPr>
        <w:t xml:space="preserve"> para selecionar soluções alinhadas com objetivos específicos (Lei et al., 2016 (#ref-lei-2016); Yao et al., 2016 (#ref-yao-2016)).</w:t>
      </w:r>
    </w:p>
    <w:p>
      <w:pPr>
        <w:pStyle w:val="Normal"/>
        <w:bidi w:val="0"/>
        <w:jc w:val="left"/>
        <w:rPr>
          <w:lang w:val="pt-PT"/>
        </w:rPr>
      </w:pPr>
      <w:r>
        <w:rPr>
          <w:lang w:val="pt-PT"/>
        </w:rPr>
        <w:t>Em contextos médicos e de tecnologias de apoio, estudos demonstram a integração de modelos paramétricos com análises de elementos finitos (FEM) para validar o desempenho estrutural, bem como a utilização de algoritmos generativos capazes de adaptar padrões e estruturas superficiais a geometrias individualizadas. (Lei et al., 2016 (#ref-lei-2016); Lim et al., 2018 (#ref-lim-2018)).</w:t>
      </w:r>
    </w:p>
    <w:p>
      <w:pPr>
        <w:pStyle w:val="Normal"/>
        <w:bidi w:val="0"/>
        <w:jc w:val="left"/>
        <w:rPr>
          <w:lang w:val="pt-PT"/>
        </w:rPr>
      </w:pPr>
      <w:r>
        <w:rPr>
          <w:lang w:val="pt-PT"/>
        </w:rPr>
        <w:t>Este cruzamento entre parametrização, simulação e FA evidencia um ecossistema digital integrado que sustenta personalização técnica com base quantitativa (Lei et al., 2016 (#ref-lei-2016); Yao et al., 2016 (#ref-yao-2016)).</w:t>
      </w:r>
    </w:p>
    <w:p>
      <w:pPr>
        <w:pStyle w:val="Heading3"/>
        <w:bidi w:val="0"/>
        <w:jc w:val="left"/>
        <w:rPr>
          <w:lang w:val="pt-PT"/>
        </w:rPr>
      </w:pPr>
      <w:r>
        <w:rPr>
          <w:lang w:val="pt-PT"/>
        </w:rPr>
      </w:r>
    </w:p>
    <w:p>
      <w:pPr>
        <w:pStyle w:val="Heading3"/>
        <w:bidi w:val="0"/>
        <w:jc w:val="left"/>
        <w:rPr>
          <w:lang w:val="pt-PT"/>
        </w:rPr>
      </w:pPr>
      <w:r>
        <w:rPr>
          <w:lang w:val="pt-PT"/>
        </w:rPr>
        <w:t>Implicações para o Design Industrial</w:t>
      </w:r>
    </w:p>
    <w:p>
      <w:pPr>
        <w:pStyle w:val="Normal"/>
        <w:bidi w:val="0"/>
        <w:jc w:val="left"/>
        <w:rPr>
          <w:lang w:val="pt-PT"/>
        </w:rPr>
      </w:pPr>
      <w:r>
        <w:rPr>
          <w:lang w:val="pt-PT"/>
        </w:rPr>
      </w:r>
    </w:p>
    <w:p>
      <w:pPr>
        <w:pStyle w:val="Normal"/>
        <w:bidi w:val="0"/>
        <w:jc w:val="left"/>
        <w:rPr>
          <w:lang w:val="pt-PT"/>
        </w:rPr>
      </w:pPr>
      <w:r>
        <w:rPr>
          <w:lang w:val="pt-PT"/>
        </w:rP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(#ref-lei-2016); Wiberg et al., 2019 (#ref-wiberg-2019)).</w:t>
      </w:r>
    </w:p>
    <w:p>
      <w:pPr>
        <w:pStyle w:val="Normal"/>
        <w:bidi w:val="0"/>
        <w:jc w:val="left"/>
        <w:rPr>
          <w:lang w:val="pt-PT"/>
        </w:rPr>
      </w:pPr>
      <w:r>
        <w:rPr>
          <w:lang w:val="pt-PT"/>
        </w:rPr>
        <w:t>Assim, a qualidade da definição paramétrica desempenha um papel estratégico para a viabilidade de sistemas adaptáveis (Ozdemir et al., 2022 (#ref-ozdemir-2022)).</w:t>
      </w:r>
    </w:p>
    <w:p>
      <w:pPr>
        <w:pStyle w:val="Normal"/>
        <w:bidi w:val="0"/>
        <w:jc w:val="left"/>
        <w:rPr>
          <w:lang w:val="pt-PT"/>
        </w:rPr>
      </w:pPr>
      <w:r>
        <w:rPr>
          <w:lang w:val="pt-PT"/>
        </w:rP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(#ref-lei-2016); Yao et al., 2016 (#ref-yao-2016)).</w:t>
      </w:r>
    </w:p>
    <w:p>
      <w:pPr>
        <w:pStyle w:val="Normal"/>
        <w:bidi w:val="0"/>
        <w:jc w:val="left"/>
        <w:rPr>
          <w:lang w:val="pt-PT"/>
        </w:rPr>
      </w:pPr>
      <w:r>
        <w:rPr>
          <w:lang w:val="pt-PT"/>
        </w:rPr>
        <w:t>No plano educativo e profissional, recomenda-se a integração de DfAM nos currículos de design industrial, promovendo competências que articulem a conceção, a simulação e a fabricação digital em fluxo contínuo (Kandikjan et al., 2022 (#ref-kandikjan-2022)).</w:t>
      </w:r>
    </w:p>
    <w:p>
      <w:pPr>
        <w:pStyle w:val="Heading3"/>
        <w:bidi w:val="0"/>
        <w:jc w:val="left"/>
        <w:rPr>
          <w:lang w:val="pt-PT"/>
        </w:rPr>
      </w:pPr>
      <w:r>
        <w:rPr>
          <w:lang w:val="pt-PT"/>
        </w:rPr>
        <w:t>2.4 Próteses open source de membro superior passíveis de impressão 3D</w:t>
      </w:r>
    </w:p>
    <w:p>
      <w:pPr>
        <w:pStyle w:val="Normal"/>
        <w:bidi w:val="0"/>
        <w:jc w:val="left"/>
        <w:rPr>
          <w:lang w:val="pt-PT"/>
        </w:rPr>
      </w:pPr>
      <w:r>
        <w:rPr>
          <w:lang w:val="pt-PT"/>
        </w:rPr>
        <w:t>As próteses open source de membro superior passíveis de impressão 3D constituem um caso particularmente relevante para esta investigação, porque tornam visível a articulação entre fabricação aditiva, partilha digital de ficheiros, produção distribuída e adaptação local. Ao contrário dos dispositivos comerciais desenvolvidos em cadeias industriais fechadas, estes modelos circulam frequentemente como ficheiros editáveis ou imprimíveis, acompanhados por instruções de montagem, listas de componentes e documentação comunitária. A sua importância não reside apenas no baixo custo de fabrico, mas também na demonstração de que uma comunidade distribuída pode produzir, adaptar e disseminar soluções protésicas funcionais fora dos canais tradicionais da indústria médica (Manero et al., 2019 (#ref-manero-2019); Wendo et al., 2022 (#ref-wendo-2022)).</w:t>
      </w:r>
    </w:p>
    <w:p>
      <w:pPr>
        <w:pStyle w:val="Normal"/>
        <w:bidi w:val="0"/>
        <w:jc w:val="left"/>
        <w:rPr>
          <w:lang w:val="pt-PT"/>
        </w:rPr>
      </w:pPr>
      <w:r>
        <w:rPr>
          <w:lang w:val="pt-PT"/>
        </w:rPr>
        <w:t>O projeto e-NABLE é o exemplo mais influente deste movimento. A comunidade consolidou-se em torno da criação e partilha de dispositivos de assistência para diferenças de membro superior, em especial mãos mecânicas acionadas pelo corpo e braços impressos em 3D para crianças. O seu catálogo reúne modelos de mão, braço, dedos, polegares e dispositivos terminais, organizados de acordo com a anatomia disponível e o tipo de acionamento. Nos modelos de mão acionados pelo punho, a flexão dos dedos depende normalmente da flexão ativa do punho e de uma palma parcialmente preservada; quando essa condição anatómica não existe, a solução tende a deslocar-se para braços ou mecanismos acionados pelo cotovelo (Wendo et al., 2022 (#ref-wendo-2022)).</w:t>
      </w:r>
    </w:p>
    <w:p>
      <w:pPr>
        <w:pStyle w:val="Normal"/>
        <w:bidi w:val="0"/>
        <w:jc w:val="left"/>
        <w:rPr>
          <w:lang w:val="pt-PT"/>
        </w:rPr>
      </w:pPr>
      <w:r>
        <w:rPr>
          <w:lang w:val="pt-PT"/>
        </w:rPr>
        <w:t>Este enquadramento é importante porque vários modelos usados ou analisados nesta investigação pertencem diretamente a esta linhagem. O Cyborg Beast, o Raptor Reloaded, a Flexy Hand, o Flexy Beast, o Paraglider Hand/Flexible Flyer, a Phoenix Hand e a Unlimbited Phoenix Hand não devem ser entendidos como objetos isolados, mas como variações de um ecossistema e-NABLE em que cada modelo traduz compromissos diferentes entre simplicidade de impressão, facilidade de montagem, robustez, custo, aparência e adequação anatómica. O Cyborg Beast, por exemplo, foi descrito como uma mão protésica infantil de baixo custo, acionada pelo punho e ajustável por procedimentos remotos de medição e escala (Zuniga et al., 2015 (#ref-zuniga-2015)). Já modelos posteriores, como a Phoenix/Unlimbited Phoenix e derivados como o Paraglider, procuram simplificar a montagem, melhorar a manutenção e estabilizar geometrias recorrentes. Para o presente projeto, isto tem uma consequência direta: a integração de modelos e-NABLE numa plataforma paramétrica não é apenas uma operação técnica de importação de ficheiros, mas uma tentativa de explicitar e controlar regras geométricas que, nos modelos originais, aparecem muitas vezes como escalas globais, limites empíricos ou decisões embebidas no próprio ficheiro.</w:t>
      </w:r>
    </w:p>
    <w:p>
      <w:pPr>
        <w:pStyle w:val="Normal"/>
        <w:bidi w:val="0"/>
        <w:jc w:val="left"/>
        <w:rPr>
          <w:lang w:val="pt-PT"/>
        </w:rPr>
      </w:pPr>
      <w:r>
        <w:rPr>
          <w:lang w:val="pt-PT"/>
        </w:rPr>
        <w:t>O Victoria Hand Project representa uma alternativa complementar ao modelo comunitário e maker do e-NABLE. Em vez de depender sobretudo de voluntários dispersos, organiza-se como uma estrutura de prestação de cuidados baseada em parcerias locais, formação técnica, fabrico descentralizado e acompanhamento por profissionais ou clínicas parceiras. A sua relevância está em mostrar que a impressão 3D pode ser integrada num modelo de serviço mais estruturado, no qual a criação digital de componentes, a seleção modular, a adaptação de encaixes e a circulação de feedback entre parceiros locais e equipa central funcionam como infraestrutura de aprendizagem contínua (Dechev et al., 2023 (#ref-dechev-2023)). Assim, enquanto o e-NABLE evidencia o potencial da comunidade aberta e da documentação partilhada, o Victoria Hand Project evidencia a importância da mediação clínica, da formação e da qualidade controlada em contextos de baixo acesso a cuidados protésicos.</w:t>
      </w:r>
    </w:p>
    <w:p>
      <w:pPr>
        <w:pStyle w:val="Normal"/>
        <w:bidi w:val="0"/>
        <w:jc w:val="left"/>
        <w:rPr>
          <w:lang w:val="pt-PT"/>
        </w:rPr>
      </w:pPr>
      <w:r>
        <w:rPr>
          <w:lang w:val="pt-PT"/>
        </w:rPr>
        <w:t>A evidência disponível, contudo, obriga a uma leitura cautelosa. As revisões sistemáticas sobre próteses de membro superior impressas em 3D indicam que os resultados são promissores, mas continuam limitados por amostras pequenas, ausência de ensaios controlados, períodos curtos de acompanhamento e heterogeneidade nos instrumentos de avaliação. A literatura existente não demonstra superioridade robusta face a próteses convencionais nem permite concluir sobre efeitos de longo prazo em conforto, durabilidade ou qualidade de vida (Diment et al., 2018 (#ref-diment-2018)). Uma revisão mais recente sobre resultados clínicos de próteses impressas em 3D reforça a mesma cautela: há sinais de melhoria em destreza, satisfação e adequação, mas a qualidade da evidência permanece limitada e pouco comparável entre estudos (Atallah et al., 2025 (#ref-atallah-2025)).</w:t>
      </w:r>
    </w:p>
    <w:p>
      <w:pPr>
        <w:pStyle w:val="Normal"/>
        <w:bidi w:val="0"/>
        <w:jc w:val="left"/>
        <w:rPr>
          <w:lang w:val="pt-PT"/>
        </w:rPr>
      </w:pPr>
      <w:r>
        <w:rPr>
          <w:lang w:val="pt-PT"/>
        </w:rPr>
        <w:t>As limitações técnicas também são relevantes para o design. Estudos mecânicos sobre mãos open source mostram que a acessibilidade e o baixo custo coexistem com restrições claras de desempenho, repertório de preensões, resistência, durabilidade e segurança funcional. No caso do Raptor Reloaded, por exemplo, uma mão corporalmente acionada pode ser útil para tarefas simples, mas permanece distante da diversidade de movimentos e preensões de uma mão humana (Cabibihan et al., 2021 (#ref-cabibihan-2021)). Esta constatação não diminui o valor social destes modelos, mas impede que sejam apresentados como substitutos clínicos universais. Pelo contrário, reforça a necessidade de os tratar como plataformas de desenvolvimento, aprendizagem e personalização progressiva.</w:t>
      </w:r>
    </w:p>
    <w:p>
      <w:pPr>
        <w:pStyle w:val="Normal"/>
        <w:bidi w:val="0"/>
        <w:jc w:val="left"/>
        <w:rPr>
          <w:lang w:val="pt-PT"/>
        </w:rPr>
      </w:pPr>
      <w:r>
        <w:rPr>
          <w:lang w:val="pt-PT"/>
        </w:rPr>
        <w:t>Para esta investigação, o interesse das próteses open source impressas em 3D está precisamente nessa tensão. Por um lado, modelos como o Flexy Beast, o Paraglider Hand e a Unlimbited Phoenix Hand oferecem bases acessíveis, reproduzíveis e compatíveis com fabrico distribuído. Por outro lado, a sua personalização continua frequentemente dependente de escalonamento, adaptação manual e conhecimento tácito da comunidade. A proposta de um sistema paramétrico assistido por inteligência artificial situa-se nesse intervalo: procura transformar modelos abertos em objetos configuráveis com regras explícitas, limites dimensionais visíveis, apoio à escolha do modelo adequado e ligação mais clara entre dados antropométricos, geometria gerada e critérios de fabrico. Deste modo, o ecossistema e-NABLE e o Victoria Hand Project não são apenas antecedentes históricos, mas referências críticas para compreender o que a plataforma deve preservar, corrigir e tornar mais verificável.</w:t>
      </w:r>
    </w:p>
    <w:p>
      <w:pPr>
        <w:pStyle w:val="Heading3"/>
        <w:bidi w:val="0"/>
        <w:jc w:val="left"/>
        <w:rPr>
          <w:lang w:val="pt-PT"/>
        </w:rPr>
      </w:pPr>
      <w:r>
        <w:rPr>
          <w:lang w:val="pt-PT"/>
        </w:rPr>
      </w:r>
    </w:p>
    <w:p>
      <w:pPr>
        <w:pStyle w:val="Heading3"/>
        <w:bidi w:val="0"/>
        <w:jc w:val="left"/>
        <w:rPr>
          <w:lang w:val="pt-PT"/>
        </w:rPr>
      </w:pPr>
      <w:r>
        <w:rPr>
          <w:lang w:val="pt-PT"/>
        </w:rPr>
        <w:t>2.5 Antropometria aplicada ao design protésico</w:t>
      </w:r>
    </w:p>
    <w:p>
      <w:pPr>
        <w:pStyle w:val="Normal"/>
        <w:bidi w:val="0"/>
        <w:jc w:val="left"/>
        <w:rPr>
          <w:lang w:val="pt-PT"/>
        </w:rPr>
      </w:pPr>
      <w:r>
        <w:rPr>
          <w:lang w:val="pt-PT"/>
        </w:rPr>
      </w:r>
    </w:p>
    <w:p>
      <w:pPr>
        <w:pStyle w:val="Normal"/>
        <w:bidi w:val="0"/>
        <w:jc w:val="left"/>
        <w:rPr>
          <w:lang w:val="pt-PT"/>
        </w:rPr>
      </w:pPr>
      <w:r>
        <w:rPr>
          <w:lang w:val="pt-PT"/>
        </w:rP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 (#ref-chainando-2025)).</w:t>
      </w:r>
    </w:p>
    <w:p>
      <w:pPr>
        <w:pStyle w:val="Heading3"/>
        <w:bidi w:val="0"/>
        <w:jc w:val="left"/>
        <w:rPr>
          <w:lang w:val="pt-PT"/>
        </w:rPr>
      </w:pPr>
      <w:r>
        <w:rPr>
          <w:lang w:val="pt-PT"/>
        </w:rPr>
      </w:r>
    </w:p>
    <w:p>
      <w:pPr>
        <w:pStyle w:val="Heading3"/>
        <w:bidi w:val="0"/>
        <w:jc w:val="left"/>
        <w:rPr>
          <w:lang w:val="pt-PT"/>
        </w:rPr>
      </w:pPr>
      <w:r>
        <w:rPr>
          <w:lang w:val="pt-PT"/>
        </w:rPr>
        <w:t>Da dimensão linear à “forma” como dado de projeto</w:t>
      </w:r>
    </w:p>
    <w:p>
      <w:pPr>
        <w:pStyle w:val="Normal"/>
        <w:bidi w:val="0"/>
        <w:jc w:val="left"/>
        <w:rPr>
          <w:lang w:val="pt-PT"/>
        </w:rPr>
      </w:pPr>
      <w:r>
        <w:rPr>
          <w:lang w:val="pt-PT"/>
        </w:rPr>
      </w:r>
    </w:p>
    <w:p>
      <w:pPr>
        <w:pStyle w:val="Normal"/>
        <w:bidi w:val="0"/>
        <w:jc w:val="left"/>
        <w:rPr>
          <w:lang w:val="pt-PT"/>
        </w:rPr>
      </w:pPr>
      <w:r>
        <w:rPr>
          <w:lang w:val="pt-PT"/>
        </w:rP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(#ref-albin-2023); Young et al., 2023 (#ref-young-2023)).</w:t>
      </w:r>
    </w:p>
    <w:p>
      <w:pPr>
        <w:pStyle w:val="Normal"/>
        <w:bidi w:val="0"/>
        <w:jc w:val="left"/>
        <w:rPr>
          <w:lang w:val="pt-PT"/>
        </w:rPr>
      </w:pPr>
      <w:r>
        <w:rPr>
          <w:lang w:val="pt-PT"/>
        </w:rPr>
        <w:t>Assim, observa-se uma valorização crescente de métodos capazes de capturar geometria tridimensional de alta resolução e de traduzir essa informação em modelos CAD passíveis de retificação, parametrização e fabrico (Squibb et al., 2024 (#ref-squibb-2024)).</w:t>
      </w:r>
    </w:p>
    <w:p>
      <w:pPr>
        <w:pStyle w:val="Normal"/>
        <w:bidi w:val="0"/>
        <w:jc w:val="left"/>
        <w:rPr>
          <w:lang w:val="pt-PT"/>
        </w:rPr>
      </w:pPr>
      <w:r>
        <w:rPr>
          <w:lang w:val="pt-PT"/>
        </w:rP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bidi w:val="0"/>
        <w:jc w:val="left"/>
        <w:rPr>
          <w:lang w:val="pt-PT"/>
        </w:rPr>
      </w:pPr>
      <w:r>
        <w:rPr/>
        <w:drawing>
          <wp:inline distT="0" distB="0" distL="0" distR="0">
            <wp:extent cx="5715000" cy="4219575"/>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10"/>
                    <a:stretch>
                      <a:fillRect/>
                    </a:stretch>
                  </pic:blipFill>
                  <pic:spPr bwMode="auto">
                    <a:xfrm>
                      <a:off x="0" y="0"/>
                      <a:ext cx="5715000" cy="4219575"/>
                    </a:xfrm>
                    <a:prstGeom prst="rect">
                      <a:avLst/>
                    </a:prstGeom>
                    <a:noFill/>
                  </pic:spPr>
                </pic:pic>
              </a:graphicData>
            </a:graphic>
          </wp:inline>
        </w:drawing>
      </w:r>
    </w:p>
    <w:p>
      <w:pPr>
        <w:pStyle w:val="Normal"/>
        <w:bidi w:val="0"/>
        <w:jc w:val="left"/>
        <w:rPr>
          <w:lang w:val="pt-PT"/>
        </w:rPr>
      </w:pPr>
      <w:r>
        <w:rPr>
          <w:lang w:val="pt-PT"/>
        </w:rPr>
        <w:t>Figura 2.5 — Marcos anatómicos e medidas de referência da mão para fins de personalização.</w:t>
      </w:r>
    </w:p>
    <w:p>
      <w:pPr>
        <w:pStyle w:val="Normal"/>
        <w:bidi w:val="0"/>
        <w:jc w:val="left"/>
        <w:rPr>
          <w:lang w:val="pt-PT"/>
        </w:rPr>
      </w:pPr>
      <w:r>
        <w:rPr>
          <w:lang w:val="pt-PT"/>
        </w:rPr>
        <w:t>Fonte original: Yu, A., Yick, K. L., Ng, S. P., &amp; Yip, J. (2013). 2D and 3D anatomical analyses of hand dimensions for custom-made gloves. Applied Ergonomics, 44, 381-392.</w:t>
      </w:r>
    </w:p>
    <w:p>
      <w:pPr>
        <w:pStyle w:val="Heading3"/>
        <w:bidi w:val="0"/>
        <w:jc w:val="left"/>
        <w:rPr>
          <w:lang w:val="pt-PT"/>
        </w:rPr>
      </w:pPr>
      <w:r>
        <w:rPr>
          <w:lang w:val="pt-PT"/>
        </w:rPr>
      </w:r>
    </w:p>
    <w:p>
      <w:pPr>
        <w:pStyle w:val="Heading3"/>
        <w:bidi w:val="0"/>
        <w:jc w:val="left"/>
        <w:rPr>
          <w:lang w:val="pt-PT"/>
        </w:rPr>
      </w:pPr>
      <w:r>
        <w:rPr>
          <w:lang w:val="pt-PT"/>
        </w:rPr>
        <w:t>Métodos de recolha antropométrica em próteses e tecnologias de apoio</w:t>
      </w:r>
    </w:p>
    <w:p>
      <w:pPr>
        <w:pStyle w:val="Normal"/>
        <w:bidi w:val="0"/>
        <w:jc w:val="left"/>
        <w:rPr>
          <w:lang w:val="pt-PT"/>
        </w:rPr>
      </w:pPr>
      <w:r>
        <w:rPr>
          <w:lang w:val="pt-PT"/>
        </w:rPr>
      </w:r>
    </w:p>
    <w:p>
      <w:pPr>
        <w:pStyle w:val="Normal"/>
        <w:bidi w:val="0"/>
        <w:jc w:val="left"/>
        <w:rPr>
          <w:lang w:val="pt-PT"/>
        </w:rPr>
      </w:pPr>
      <w:r>
        <w:rPr>
          <w:lang w:val="pt-PT"/>
        </w:rPr>
        <w:t>A literatura organiza os métodos de recolha em famílias, cada uma com potencialidades e limitações específicas para o design protésico:</w:t>
      </w:r>
    </w:p>
    <w:p>
      <w:pPr>
        <w:pStyle w:val="BodyText"/>
        <w:rPr>
          <w:lang w:val="pt-PT"/>
        </w:rPr>
      </w:pPr>
      <w:r>
        <w:rPr>
          <w:lang w:val="pt-PT"/>
        </w:rPr>
        <w:t>A antropometria manual inclui medições em posturas normalizadas, com instrumentos clínicos e de ergonomia. Mantém relevância em contextos de acessibilidade clínica e de monitorização simples, por exemplo através da medição de circunferências para acompanhar variações do membro residual. Contudo, estas medidas podem representar de forma limitada as alterações reais de volume, uma vez que dependem da geometria do segmento e da distribuição dos tecidos, o que reduz a precisão necessária para decisões de ajuste fino. (Ibrahim et al., 2024 (#ref-ibrahim-2024)).</w:t>
      </w:r>
    </w:p>
    <w:p>
      <w:pPr>
        <w:pStyle w:val="BodyText"/>
        <w:rPr/>
      </w:pPr>
      <w:r>
        <w:rPr>
          <w:lang w:val="pt-PT"/>
        </w:rPr>
        <w:t xml:space="preserve">2. </w:t>
      </w:r>
      <w:r>
        <w:rPr/>
        <w:t>A digitalização 3D, através de scanning óptico, permite captar a superfície corporal sob a forma de nuvens de pontos ou malhas, posteriormente limpas e convertidas em modelos utilizáveis em CAD e fabrico, frequentemente no formato STL. Esta tecnologia facilita fluxos de personalização e pode ser combinada com processos de automatização, como a correspondência de características anatómicas, para reduzir o trabalho manual. A consistência dos resultados pode, contudo, variar conforme a complexidade da forma, sobretudo em geometrias irregulares, como segmentos residuais complexos.</w:t>
      </w:r>
      <w:r>
        <w:rPr>
          <w:lang w:val="pt-PT"/>
        </w:rPr>
        <w:t xml:space="preserve"> (Squibb et al., 2024 (#ref-squibb-2024)).</w:t>
      </w:r>
    </w:p>
    <w:p>
      <w:pPr>
        <w:pStyle w:val="BodyText"/>
        <w:rPr/>
      </w:pPr>
      <w:r>
        <w:rPr>
          <w:lang w:val="pt-PT"/>
        </w:rP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(Silva et al., 2024 (#ref-silva-2024)).</w:t>
      </w:r>
    </w:p>
    <w:p>
      <w:pPr>
        <w:pStyle w:val="BodyText"/>
        <w:rPr/>
      </w:pPr>
      <w:r>
        <w:rPr>
          <w:lang w:val="pt-PT"/>
        </w:rPr>
        <w:t xml:space="preserve">4. </w:t>
      </w:r>
      <w:r>
        <w:rPr/>
        <w:t>As imagens médicas, como tomografia computorizada (CT) ou</w:t>
      </w:r>
      <w:r>
        <w:rPr>
          <w:b w:val="false"/>
          <w:bCs w:val="false"/>
          <w:u w:val="none"/>
        </w:rPr>
        <w:t xml:space="preserve"> </w:t>
      </w:r>
      <w:r>
        <w:rPr>
          <w:rStyle w:val="Strong"/>
          <w:b w:val="false"/>
          <w:bCs w:val="false"/>
          <w:u w:val="none"/>
        </w:rPr>
        <w:t>ressonância magnética</w:t>
      </w:r>
      <w:r>
        <w:rPr>
          <w:b w:val="false"/>
          <w:bCs w:val="false"/>
          <w:u w:val="none"/>
        </w:rPr>
        <w:t xml:space="preserve"> </w:t>
      </w:r>
      <w:r>
        <w:rPr/>
        <w:t xml:space="preserve">(MRI: </w:t>
      </w:r>
      <w:r>
        <w:rPr>
          <w:rStyle w:val="Emphasis"/>
        </w:rPr>
        <w:t>Magnetic Resonance Imaging</w:t>
      </w:r>
      <w:r>
        <w:rPr/>
        <w:t>), permitem obter geometria externa e, em alguns casos, informação interna, por exemplo sobre estruturas ósseas. Esta informação pode sustentar modelos mais ricos e abordagens como a modelação estatística de forma</w:t>
      </w:r>
      <w:r>
        <w:rPr>
          <w:rStyle w:val="FootnoteReference"/>
        </w:rPr>
        <w:footnoteReference w:id="8"/>
      </w:r>
      <w:r>
        <w:rPr/>
        <w:t>. Contudo, estas técnicas implicam maior custo e menor acessibilidade e, no caso do CT, exigem ainda considerar a exposição à radiação e a dependência de contexto hospitalar.</w:t>
      </w:r>
    </w:p>
    <w:p>
      <w:pPr>
        <w:pStyle w:val="BodyText"/>
        <w:rPr/>
      </w:pPr>
      <w:r>
        <w:rPr>
          <w:lang w:val="pt-PT"/>
        </w:rPr>
        <w:t xml:space="preserve">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w:t>
      </w:r>
      <w:r>
        <w:rPr/>
        <w:t>zonas de aquecimento localizado (</w:t>
      </w:r>
      <w:r>
        <w:rPr>
          <w:i/>
          <w:iCs/>
        </w:rPr>
        <w:t>Thermal hot spots</w:t>
      </w:r>
      <w:r>
        <w:rPr/>
        <w:t>)</w:t>
      </w:r>
      <w:r>
        <w:rPr>
          <w:lang w:val="pt-PT"/>
        </w:rPr>
        <w:t xml:space="preserve"> e flutuações de volume do membro residual. Estes métodos ajudam a ligar decisões de forma/retificação a desfechos de conforto e segurança, embora, em muitos casos, sejam descritos como ainda experimentais e com barreiras à adoção clínica (Ibrahim et al., 2024 (#ref-ibrahim-2024); Young et al., 2023 (#ref-young-2023)).</w:t>
      </w:r>
    </w:p>
    <w:p>
      <w:pPr>
        <w:pStyle w:val="Heading3"/>
        <w:bidi w:val="0"/>
        <w:jc w:val="left"/>
        <w:rPr>
          <w:lang w:val="pt-PT"/>
        </w:rPr>
      </w:pPr>
      <w:r>
        <w:rPr>
          <w:lang w:val="pt-PT"/>
        </w:rPr>
      </w:r>
    </w:p>
    <w:p>
      <w:pPr>
        <w:pStyle w:val="Heading3"/>
        <w:bidi w:val="0"/>
        <w:jc w:val="left"/>
        <w:rPr>
          <w:lang w:val="pt-PT"/>
        </w:rPr>
      </w:pPr>
      <w:r>
        <w:rPr>
          <w:lang w:val="pt-PT"/>
        </w:rPr>
        <w:t>Interpretação e aplicação de dados antropométricos no projeto</w:t>
      </w:r>
    </w:p>
    <w:p>
      <w:pPr>
        <w:pStyle w:val="Normal"/>
        <w:bidi w:val="0"/>
        <w:jc w:val="left"/>
        <w:rPr>
          <w:lang w:val="pt-PT"/>
        </w:rPr>
      </w:pPr>
      <w:r>
        <w:rPr>
          <w:lang w:val="pt-PT"/>
        </w:rPr>
      </w:r>
    </w:p>
    <w:p>
      <w:pPr>
        <w:pStyle w:val="Normal"/>
        <w:bidi w:val="0"/>
        <w:jc w:val="left"/>
        <w:rPr>
          <w:lang w:val="pt-PT"/>
        </w:rPr>
      </w:pPr>
      <w:r>
        <w:rPr>
          <w:lang w:val="pt-PT"/>
        </w:rPr>
        <w:t>A passagem de dados antropométricos para critérios de projeto ocorre por diferentes vias analíticas:</w:t>
      </w:r>
    </w:p>
    <w:p>
      <w:pPr>
        <w:pStyle w:val="Normal"/>
        <w:bidi w:val="0"/>
        <w:jc w:val="left"/>
        <w:rPr>
          <w:lang w:val="pt-PT"/>
        </w:rPr>
      </w:pPr>
      <w:r>
        <w:rPr>
          <w:lang w:val="pt-PT"/>
        </w:rPr>
        <w:t xml:space="preserve">– </w:t>
      </w:r>
      <w:r>
        <w:rPr>
          <w:lang w:val="pt-PT"/>
        </w:rP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w:t>
      </w:r>
    </w:p>
    <w:p>
      <w:pPr>
        <w:pStyle w:val="Normal"/>
        <w:bidi w:val="0"/>
        <w:jc w:val="left"/>
        <w:rPr>
          <w:lang w:val="pt-PT"/>
        </w:rPr>
      </w:pPr>
      <w:r>
        <w:rPr>
          <w:lang w:val="pt-PT"/>
        </w:rPr>
        <w:t xml:space="preserve"> – </w:t>
      </w:r>
      <w:r>
        <w:rPr>
          <w:lang w:val="pt-PT"/>
        </w:rPr>
        <w:t xml:space="preserve">Métodos multivariados e aprendizagem estatística: usados quando se trabalha com dados de alta dimensionalidade (malhas, secções, nuvens de pontos), permitindo extrair padrões de retificação ou modos de variação. </w:t>
      </w:r>
    </w:p>
    <w:p>
      <w:pPr>
        <w:pStyle w:val="Normal"/>
        <w:bidi w:val="0"/>
        <w:jc w:val="left"/>
        <w:rPr>
          <w:lang w:val="pt-PT"/>
        </w:rPr>
      </w:pPr>
      <w:r>
        <w:rPr>
          <w:lang w:val="pt-PT"/>
        </w:rPr>
        <w:t xml:space="preserve">– </w:t>
      </w:r>
      <w:r>
        <w:rPr>
          <w:lang w:val="pt-PT"/>
        </w:rPr>
        <w:t>Modelos preditivos e modelação estatística de forma (SSM): aplicados para reconstruir a geometria a partir de medições reduzidas e inferir relações entre a superfície e a anatomia interna, com a</w:t>
      </w:r>
      <w:r>
        <w:rPr>
          <w:rStyle w:val="Strong"/>
          <w:b w:val="false"/>
          <w:bCs w:val="false"/>
        </w:rPr>
        <w:t>nálise de componentes principais (</w:t>
      </w:r>
      <w:r>
        <w:rPr>
          <w:lang w:val="pt-PT"/>
        </w:rPr>
        <w:t>PCA)</w:t>
      </w:r>
      <w:r>
        <w:rPr>
          <w:rStyle w:val="FootnoteReference"/>
          <w:lang w:val="pt-PT"/>
        </w:rPr>
        <w:footnoteReference w:id="9"/>
      </w:r>
      <w:r>
        <w:rPr>
          <w:lang w:val="pt-PT"/>
        </w:rPr>
        <w:t xml:space="preserve"> e regressões como ferramentas frequentes, embora limitados por tamanhos amostrais reduzidos em vários estudos (Sunderland et al., 2024 (#ref-sunderland-2024)).</w:t>
      </w:r>
    </w:p>
    <w:p>
      <w:pPr>
        <w:pStyle w:val="Normal"/>
        <w:bidi w:val="0"/>
        <w:jc w:val="left"/>
        <w:rPr>
          <w:lang w:val="pt-PT"/>
        </w:rPr>
      </w:pPr>
      <w:r>
        <w:rPr>
          <w:lang w:val="pt-PT"/>
        </w:rPr>
        <w:t xml:space="preserve">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w:t>
      </w:r>
      <w:r>
        <w:rPr>
          <w:lang w:val="pt-PT"/>
        </w:rPr>
        <w:t>membro</w:t>
      </w:r>
      <w:r>
        <w:rPr>
          <w:lang w:val="pt-PT"/>
        </w:rPr>
        <w:t xml:space="preserve"> como etapa decisiva para a qualidade do encaixe (Kannenberg et al., 2024 (#ref-kannenberg-2024); Young et al., 2023 (#ref-young-2023)).</w:t>
      </w:r>
    </w:p>
    <w:p>
      <w:pPr>
        <w:pStyle w:val="Heading3"/>
        <w:bidi w:val="0"/>
        <w:jc w:val="left"/>
        <w:rPr>
          <w:lang w:val="pt-PT"/>
        </w:rPr>
      </w:pPr>
      <w:r>
        <w:rPr>
          <w:lang w:val="pt-PT"/>
        </w:rPr>
      </w:r>
    </w:p>
    <w:p>
      <w:pPr>
        <w:pStyle w:val="Heading3"/>
        <w:bidi w:val="0"/>
        <w:jc w:val="left"/>
        <w:rPr>
          <w:lang w:val="pt-PT"/>
        </w:rPr>
      </w:pPr>
      <w:r>
        <w:rPr>
          <w:lang w:val="pt-PT"/>
        </w:rPr>
        <w:t>Evidência por tipo de dispositivo</w:t>
      </w:r>
    </w:p>
    <w:p>
      <w:pPr>
        <w:pStyle w:val="Normal"/>
        <w:bidi w:val="0"/>
        <w:jc w:val="left"/>
        <w:rPr>
          <w:lang w:val="pt-PT"/>
        </w:rPr>
      </w:pPr>
      <w:r>
        <w:rPr>
          <w:lang w:val="pt-PT"/>
        </w:rPr>
      </w:r>
    </w:p>
    <w:p>
      <w:pPr>
        <w:pStyle w:val="Normal"/>
        <w:bidi w:val="0"/>
        <w:jc w:val="left"/>
        <w:rPr>
          <w:lang w:val="pt-PT"/>
        </w:rPr>
      </w:pPr>
      <w:r>
        <w:rPr>
          <w:lang w:val="pt-PT"/>
        </w:rPr>
        <w:t>Embora os princípios sejam transversais, a literatura evidencia diferenças por tipo de dispositivo:</w:t>
      </w:r>
    </w:p>
    <w:p>
      <w:pPr>
        <w:pStyle w:val="Normal"/>
        <w:bidi w:val="0"/>
        <w:jc w:val="left"/>
        <w:rPr>
          <w:lang w:val="pt-PT"/>
        </w:rPr>
      </w:pPr>
      <w:r>
        <w:rPr>
          <w:lang w:val="pt-PT"/>
        </w:rPr>
        <w:t xml:space="preserve">– </w:t>
      </w:r>
      <w:r>
        <w:rPr/>
        <w:t xml:space="preserve">Encaixes protésicos e ortóteses: forte ênfase na digitalização 3D, na análise quantitativa de malhas e na validação através de métricas de interface e/ou de simulação por elementos finitos (FEA). Em fluxos digitais de fabrico, verificam-se diferenças geométricas relevantes entre soluções manuais e digitais, reforçando que a digitalização implica uma transformação do próprio processo de ajuste e pode alterar o resultado final </w:t>
      </w:r>
      <w:r>
        <w:rPr>
          <w:lang w:val="pt-PT"/>
        </w:rPr>
        <w:t xml:space="preserve">(Kannenberg et al., 2024 (#ref-kannenberg-2024); Silva et al., 2024 (#ref-silva-2024)). </w:t>
      </w:r>
    </w:p>
    <w:p>
      <w:pPr>
        <w:pStyle w:val="Normal"/>
        <w:bidi w:val="0"/>
        <w:jc w:val="left"/>
        <w:rPr>
          <w:lang w:val="pt-PT"/>
        </w:rPr>
      </w:pPr>
      <w:r>
        <w:rPr>
          <w:lang w:val="pt-PT"/>
        </w:rPr>
        <w:t xml:space="preserve">– </w:t>
      </w:r>
      <w:r>
        <w:rPr/>
        <w:t xml:space="preserve">Próteses de membro superior: coexistência de tomografia computorizada (CT), scanners comerciais e fotogrametria como métodos de captura; estudos comparativos indicam que medições obtidas por digitalização 3D podem ser fiáveis e consistentes face a métodos tradicionais quando bem implementadas. Destacam-se também fluxos automatizados que adaptam modelos CAD inteligentes a dados de digitalização, reduzindo o intervalo entre a captura anatómica e a obtenção de um modelo pronto para fabrico </w:t>
      </w:r>
      <w:r>
        <w:rPr>
          <w:lang w:val="pt-PT"/>
        </w:rPr>
        <w:t xml:space="preserve">(Chainando et al., 2025 (#ref-chainando-2025); Çıklaçandır et al., 2022 (#ref-cklacandr-2022)). </w:t>
      </w:r>
    </w:p>
    <w:p>
      <w:pPr>
        <w:pStyle w:val="Normal"/>
        <w:bidi w:val="0"/>
        <w:jc w:val="left"/>
        <w:rPr>
          <w:lang w:val="pt-PT"/>
        </w:rPr>
      </w:pPr>
      <w:r>
        <w:rPr>
          <w:lang w:val="pt-PT"/>
        </w:rPr>
        <w:t xml:space="preserve">– </w:t>
      </w:r>
      <w:r>
        <w:rPr>
          <w:lang w:val="pt-PT"/>
        </w:rPr>
        <w:t>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Heading3"/>
        <w:bidi w:val="0"/>
        <w:jc w:val="left"/>
        <w:rPr>
          <w:lang w:val="pt-PT"/>
        </w:rPr>
      </w:pPr>
      <w:r>
        <w:rPr>
          <w:lang w:val="pt-PT"/>
        </w:rPr>
      </w:r>
    </w:p>
    <w:p>
      <w:pPr>
        <w:pStyle w:val="Heading3"/>
        <w:bidi w:val="0"/>
        <w:jc w:val="left"/>
        <w:rPr>
          <w:lang w:val="pt-PT"/>
        </w:rPr>
      </w:pPr>
      <w:r>
        <w:rPr>
          <w:lang w:val="pt-PT"/>
        </w:rPr>
        <w:t>Limitações, lacunas e recomendações</w:t>
      </w:r>
    </w:p>
    <w:p>
      <w:pPr>
        <w:pStyle w:val="Normal"/>
        <w:bidi w:val="0"/>
        <w:jc w:val="left"/>
        <w:rPr>
          <w:lang w:val="pt-PT"/>
        </w:rPr>
      </w:pPr>
      <w:r>
        <w:rPr>
          <w:lang w:val="pt-PT"/>
        </w:rPr>
      </w:r>
    </w:p>
    <w:p>
      <w:pPr>
        <w:pStyle w:val="Normal"/>
        <w:bidi w:val="0"/>
        <w:jc w:val="left"/>
        <w:rPr>
          <w:lang w:val="pt-PT"/>
        </w:rPr>
      </w:pPr>
      <w:r>
        <w:rPr>
          <w:lang w:val="pt-PT"/>
        </w:rP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Normal"/>
        <w:bidi w:val="0"/>
        <w:jc w:val="left"/>
        <w:rPr>
          <w:lang w:val="pt-PT"/>
        </w:rPr>
      </w:pPr>
      <w:r>
        <w:rPr>
          <w:lang w:val="pt-PT"/>
        </w:rP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 (#ref-bradtmiller-2022)).</w:t>
      </w:r>
    </w:p>
    <w:p>
      <w:pPr>
        <w:pStyle w:val="Normal"/>
        <w:bidi w:val="0"/>
        <w:jc w:val="left"/>
        <w:rPr>
          <w:lang w:val="pt-PT"/>
        </w:rPr>
      </w:pPr>
      <w:r>
        <w:rPr>
          <w:lang w:val="pt-PT"/>
        </w:rPr>
        <w:t>Como orientação prática, emergem recomendações claras: selecionar o método de medição em função da questão de design — captura de forma, monitorização de volume ou validação de interface —, garantir a consistência da medição através de posturas padronizadas e da marcação coerente dos pontos de referência anatómicos, e utilizar bases de dados antropométricas alinhadas com a população-alvo quando se pretende definir critérios de acomodação e ajuste (ASTM International, 2024 (#ref-astm-international-2024); Ibrahim et al., 2024 (#ref-ibrahim-2024)).</w:t>
      </w:r>
    </w:p>
    <w:p>
      <w:pPr>
        <w:pStyle w:val="Normal"/>
        <w:bidi w:val="0"/>
        <w:jc w:val="left"/>
        <w:rPr>
          <w:lang w:val="pt-PT"/>
        </w:rPr>
      </w:pPr>
      <w:r>
        <w:rPr>
          <w:lang w:val="pt-PT"/>
        </w:rPr>
        <w:t>Acresce a recomendação de distinguir o ajuste estático (em posturas padronizadas) do ajuste dinâmico (durante a amplitude de movimento funcional), reconhecendo que ajuste e conforto são conceitos relacionados, mas não equivalentes (ASTM International, 2024 (#ref-astm-international-2024)).</w:t>
      </w:r>
    </w:p>
    <w:p>
      <w:pPr>
        <w:pStyle w:val="Heading3"/>
        <w:bidi w:val="0"/>
        <w:jc w:val="left"/>
        <w:rPr>
          <w:lang w:val="pt-PT"/>
        </w:rPr>
      </w:pPr>
      <w:r>
        <w:rPr>
          <w:lang w:val="pt-PT"/>
        </w:rPr>
      </w:r>
    </w:p>
    <w:p>
      <w:pPr>
        <w:pStyle w:val="Heading3"/>
        <w:bidi w:val="0"/>
        <w:jc w:val="left"/>
        <w:rPr>
          <w:lang w:val="pt-PT"/>
        </w:rPr>
      </w:pPr>
      <w:r>
        <w:rPr>
          <w:lang w:val="pt-PT"/>
        </w:rPr>
        <w:t>Estruturação de dados</w:t>
      </w:r>
    </w:p>
    <w:p>
      <w:pPr>
        <w:pStyle w:val="Normal"/>
        <w:bidi w:val="0"/>
        <w:jc w:val="left"/>
        <w:rPr>
          <w:lang w:val="pt-PT"/>
        </w:rPr>
      </w:pPr>
      <w:r>
        <w:rPr>
          <w:lang w:val="pt-PT"/>
        </w:rPr>
      </w:r>
    </w:p>
    <w:p>
      <w:pPr>
        <w:pStyle w:val="Normal"/>
        <w:bidi w:val="0"/>
        <w:jc w:val="left"/>
        <w:rPr>
          <w:lang w:val="pt-PT"/>
        </w:rPr>
      </w:pPr>
      <w:r>
        <w:rPr>
          <w:lang w:val="pt-PT"/>
        </w:rP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(#ref-bradtmiller-2022); Sunderland et al., 2024 (#ref-sunderland-2024)).</w:t>
      </w:r>
    </w:p>
    <w:p>
      <w:pPr>
        <w:pStyle w:val="Normal"/>
        <w:bidi w:val="0"/>
        <w:jc w:val="left"/>
        <w:rPr>
          <w:lang w:val="pt-PT"/>
        </w:rPr>
      </w:pPr>
      <w:r>
        <w:rPr>
          <w:lang w:val="pt-PT"/>
        </w:rP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2.6 Inteligência Artificial no processo de design</w:t>
      </w:r>
    </w:p>
    <w:p>
      <w:pPr>
        <w:pStyle w:val="Normal"/>
        <w:bidi w:val="0"/>
        <w:jc w:val="left"/>
        <w:rPr>
          <w:lang w:val="pt-PT"/>
        </w:rPr>
      </w:pPr>
      <w:r>
        <w:rPr>
          <w:lang w:val="pt-PT"/>
        </w:rPr>
      </w:r>
    </w:p>
    <w:p>
      <w:pPr>
        <w:pStyle w:val="Normal"/>
        <w:bidi w:val="0"/>
        <w:jc w:val="left"/>
        <w:rPr>
          <w:lang w:val="pt-PT"/>
        </w:rPr>
      </w:pPr>
      <w:r>
        <w:rPr>
          <w:lang w:val="pt-PT"/>
        </w:rP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(#ref-choudhury-2025); Saeidnia &amp; Ausloos, 2024 (#ref-saeidnia-2024); Yüksel et al., 2023 (#ref-yuksel-2023)).</w:t>
      </w:r>
    </w:p>
    <w:p>
      <w:pPr>
        <w:pStyle w:val="Normal"/>
        <w:bidi w:val="0"/>
        <w:jc w:val="left"/>
        <w:rPr>
          <w:lang w:val="pt-PT"/>
        </w:rPr>
      </w:pPr>
      <w:r>
        <w:rPr>
          <w:lang w:val="pt-PT"/>
        </w:rP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bidi w:val="0"/>
        <w:jc w:val="left"/>
        <w:rPr>
          <w:lang w:val="pt-PT"/>
        </w:rPr>
      </w:pPr>
      <w:r>
        <w:rPr/>
        <w:drawing>
          <wp:inline distT="0" distB="0" distL="0" distR="0">
            <wp:extent cx="5715000" cy="2638425"/>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11"/>
                    <a:stretch>
                      <a:fillRect/>
                    </a:stretch>
                  </pic:blipFill>
                  <pic:spPr bwMode="auto">
                    <a:xfrm>
                      <a:off x="0" y="0"/>
                      <a:ext cx="5715000" cy="2638425"/>
                    </a:xfrm>
                    <a:prstGeom prst="rect">
                      <a:avLst/>
                    </a:prstGeom>
                    <a:noFill/>
                  </pic:spPr>
                </pic:pic>
              </a:graphicData>
            </a:graphic>
          </wp:inline>
        </w:drawing>
      </w:r>
    </w:p>
    <w:p>
      <w:pPr>
        <w:pStyle w:val="Normal"/>
        <w:bidi w:val="0"/>
        <w:jc w:val="left"/>
        <w:rPr>
          <w:lang w:val="pt-PT"/>
        </w:rPr>
      </w:pPr>
      <w:r>
        <w:rPr>
          <w:lang w:val="pt-PT"/>
        </w:rPr>
        <w:t>Figura 2.6 — Enquadramento de um fluxo de CAD assistido por IA para desenvolvimento de produto.</w:t>
      </w:r>
    </w:p>
    <w:p>
      <w:pPr>
        <w:pStyle w:val="Normal"/>
        <w:bidi w:val="0"/>
        <w:jc w:val="left"/>
        <w:rPr>
          <w:lang w:val="pt-PT"/>
        </w:rPr>
      </w:pPr>
      <w:r>
        <w:rPr>
          <w:lang w:val="pt-PT"/>
        </w:rPr>
        <w:t>Adaptado de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r>
    </w:p>
    <w:p>
      <w:pPr>
        <w:pStyle w:val="Heading3"/>
        <w:bidi w:val="0"/>
        <w:jc w:val="left"/>
        <w:rPr>
          <w:lang w:val="pt-PT"/>
        </w:rPr>
      </w:pPr>
      <w:r>
        <w:rPr>
          <w:lang w:val="pt-PT"/>
        </w:rPr>
        <w:t>O que é a Inteligência Artificial</w:t>
      </w:r>
    </w:p>
    <w:p>
      <w:pPr>
        <w:pStyle w:val="Normal"/>
        <w:bidi w:val="0"/>
        <w:jc w:val="left"/>
        <w:rPr>
          <w:lang w:val="pt-PT"/>
        </w:rPr>
      </w:pPr>
      <w:r>
        <w:rPr>
          <w:lang w:val="pt-PT"/>
        </w:rPr>
      </w:r>
    </w:p>
    <w:p>
      <w:pPr>
        <w:pStyle w:val="Normal"/>
        <w:bidi w:val="0"/>
        <w:jc w:val="left"/>
        <w:rPr>
          <w:lang w:val="pt-PT"/>
        </w:rPr>
      </w:pPr>
      <w:r>
        <w:rPr>
          <w:lang w:val="pt-PT"/>
        </w:rPr>
        <w:t>De forma ampla, a IA pode ser entendida como um conjunto de métodos computacionais orientados para executar tarefas que requerem aprendizagem, reconhecimento de padrões, inferência ou geração de respostas com base em dados. Neste contexto, inferência designa o processo pelo qual um sistema aplica padrões aprendidos durante o treino a novos dados de entrada, produzindo uma classificação, previsão, recomendação ou resposta plausível. Esta definição é útil porque evita tratar a IA como uma entidade única ou como sinónimo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(#ref-choudhury-2025); Yüksel et al., 2023 (#ref-yuksel-2023)).</w:t>
      </w:r>
    </w:p>
    <w:p>
      <w:pPr>
        <w:pStyle w:val="Normal"/>
        <w:bidi w:val="0"/>
        <w:jc w:val="left"/>
        <w:rPr>
          <w:lang w:val="pt-PT"/>
        </w:rPr>
      </w:pPr>
      <w:r>
        <w:rPr>
          <w:lang w:val="pt-PT"/>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w:t>
      </w:r>
      <w:r>
        <w:rPr>
          <w:rStyle w:val="FootnoteReference"/>
          <w:lang w:val="pt-PT"/>
        </w:rPr>
        <w:footnoteReference w:id="10"/>
      </w:r>
      <w:r>
        <w:rPr>
          <w:lang w:val="pt-PT"/>
        </w:rPr>
        <w:t xml:space="preserve">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(#ref-khanolkar-2023); Krahe et al., 2020 (#ref-krahe-2020); Li et al., 2021 (#ref-li-2021)).</w:t>
      </w:r>
    </w:p>
    <w:p>
      <w:pPr>
        <w:pStyle w:val="Heading3"/>
        <w:bidi w:val="0"/>
        <w:jc w:val="left"/>
        <w:rPr>
          <w:lang w:val="pt-PT"/>
        </w:rPr>
      </w:pPr>
      <w:r>
        <w:rPr>
          <w:lang w:val="pt-PT"/>
        </w:rPr>
      </w:r>
    </w:p>
    <w:p>
      <w:pPr>
        <w:pStyle w:val="Heading3"/>
        <w:bidi w:val="0"/>
        <w:jc w:val="left"/>
        <w:rPr>
          <w:lang w:val="pt-PT"/>
        </w:rPr>
      </w:pPr>
      <w:r>
        <w:rPr>
          <w:lang w:val="pt-PT"/>
        </w:rPr>
        <w:t>Como funciona: dados, treino, inferência e geração</w:t>
      </w:r>
    </w:p>
    <w:p>
      <w:pPr>
        <w:pStyle w:val="Normal"/>
        <w:bidi w:val="0"/>
        <w:jc w:val="left"/>
        <w:rPr>
          <w:lang w:val="pt-PT"/>
        </w:rPr>
      </w:pPr>
      <w:r>
        <w:rPr>
          <w:lang w:val="pt-PT"/>
        </w:rPr>
      </w:r>
    </w:p>
    <w:p>
      <w:pPr>
        <w:pStyle w:val="Normal"/>
        <w:bidi w:val="0"/>
        <w:jc w:val="left"/>
        <w:rPr>
          <w:lang w:val="pt-PT"/>
        </w:rPr>
      </w:pPr>
      <w:r>
        <w:rPr>
          <w:lang w:val="pt-PT"/>
        </w:rP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(#ref-ao-2025); Menaka et al., 2025 (#ref-menaka-2025); Panchal et al., 2019 (#ref-panchal-2019)).</w:t>
      </w:r>
    </w:p>
    <w:p>
      <w:pPr>
        <w:pStyle w:val="Normal"/>
        <w:bidi w:val="0"/>
        <w:jc w:val="left"/>
        <w:rPr>
          <w:lang w:val="pt-PT"/>
        </w:rPr>
      </w:pPr>
      <w:r>
        <w:rPr>
          <w:lang w:val="pt-PT"/>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 A força reside na capacidade de lidar com grande complexidade, variabilidade e volume de informação. A fragilidade reside no facto do sistema depender dos dados com que foi treinado, podendo reproduzir enviesamentos, simplificações e erros já presentes nesses dados (Panchal et al., 2019 (#ref-panchal-2019); Yüksel et al., 2023 (#ref-yuksel-2023)).</w:t>
      </w:r>
    </w:p>
    <w:p>
      <w:pPr>
        <w:pStyle w:val="Normal"/>
        <w:bidi w:val="0"/>
        <w:jc w:val="left"/>
        <w:rPr>
          <w:lang w:val="pt-PT"/>
        </w:rPr>
      </w:pPr>
      <w:r>
        <w:rPr>
          <w:lang w:val="pt-PT"/>
        </w:rPr>
        <w:t>Nos modelos generativos, este processo torna-se particularmente visível. O sistema aprende distribuições de forma, linguagem, composição ou estilo e, a partir daí, produz novas saídas em resposta a condições ou prompts</w:t>
      </w:r>
      <w:r>
        <w:rPr>
          <w:rStyle w:val="FootnoteReference"/>
          <w:lang w:val="pt-PT"/>
        </w:rPr>
        <w:footnoteReference w:id="11"/>
      </w:r>
      <w:r>
        <w:rPr>
          <w:lang w:val="pt-PT"/>
        </w:rPr>
        <w:t>.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(#ref-burnap-2019); Choudhury et al., 2025 (#ref-choudhury-2025); Li et al., 2021 (#ref-li-2021)).</w:t>
      </w:r>
    </w:p>
    <w:p>
      <w:pPr>
        <w:pStyle w:val="Heading3"/>
        <w:bidi w:val="0"/>
        <w:jc w:val="left"/>
        <w:rPr>
          <w:lang w:val="pt-PT"/>
        </w:rPr>
      </w:pPr>
      <w:r>
        <w:rPr>
          <w:lang w:val="pt-PT"/>
        </w:rPr>
      </w:r>
    </w:p>
    <w:p>
      <w:pPr>
        <w:pStyle w:val="Heading3"/>
        <w:bidi w:val="0"/>
        <w:jc w:val="left"/>
        <w:rPr>
          <w:lang w:val="pt-PT"/>
        </w:rPr>
      </w:pPr>
      <w:r>
        <w:rPr>
          <w:lang w:val="pt-PT"/>
        </w:rPr>
        <w:t>Formas de IA mais relevantes para o design</w:t>
      </w:r>
    </w:p>
    <w:p>
      <w:pPr>
        <w:pStyle w:val="Normal"/>
        <w:bidi w:val="0"/>
        <w:jc w:val="left"/>
        <w:rPr>
          <w:lang w:val="pt-PT"/>
        </w:rPr>
      </w:pPr>
      <w:r>
        <w:rPr>
          <w:lang w:val="pt-PT"/>
        </w:rPr>
      </w:r>
    </w:p>
    <w:p>
      <w:pPr>
        <w:pStyle w:val="Normal"/>
        <w:bidi w:val="0"/>
        <w:jc w:val="left"/>
        <w:rPr>
          <w:lang w:val="pt-PT"/>
        </w:rPr>
      </w:pPr>
      <w:r>
        <w:rPr>
          <w:lang w:val="pt-PT"/>
        </w:rP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(#ref-ao-2025); Khanolkar et al., 2023 (#ref-khanolkar-2023); Wang &amp; Hu, 2024 (#ref-wang-2024)).</w:t>
      </w:r>
    </w:p>
    <w:p>
      <w:pPr>
        <w:pStyle w:val="Normal"/>
        <w:bidi w:val="0"/>
        <w:jc w:val="left"/>
        <w:rPr>
          <w:lang w:val="pt-PT"/>
        </w:rPr>
      </w:pPr>
      <w:r>
        <w:rPr>
          <w:lang w:val="pt-PT"/>
        </w:rP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(#ref-ao-2025); Menaka et al., 2025 (#ref-menaka-2025); Wang &amp; Hu, 2024 (#ref-wang-2024)).</w:t>
      </w:r>
    </w:p>
    <w:p>
      <w:pPr>
        <w:pStyle w:val="Heading3"/>
        <w:bidi w:val="0"/>
        <w:jc w:val="left"/>
        <w:rPr>
          <w:lang w:val="pt-PT"/>
        </w:rPr>
      </w:pPr>
      <w:r>
        <w:rPr>
          <w:lang w:val="pt-PT"/>
        </w:rPr>
      </w:r>
    </w:p>
    <w:p>
      <w:pPr>
        <w:pStyle w:val="Heading3"/>
        <w:bidi w:val="0"/>
        <w:jc w:val="left"/>
        <w:rPr>
          <w:lang w:val="pt-PT"/>
        </w:rPr>
      </w:pPr>
      <w:r>
        <w:rPr>
          <w:lang w:val="pt-PT"/>
        </w:rPr>
        <w:t>IA ao longo do processo de design</w:t>
      </w:r>
    </w:p>
    <w:p>
      <w:pPr>
        <w:pStyle w:val="Normal"/>
        <w:bidi w:val="0"/>
        <w:jc w:val="left"/>
        <w:rPr>
          <w:lang w:val="pt-PT"/>
        </w:rPr>
      </w:pPr>
      <w:r>
        <w:rPr>
          <w:lang w:val="pt-PT"/>
        </w:rPr>
      </w:r>
    </w:p>
    <w:p>
      <w:pPr>
        <w:pStyle w:val="Normal"/>
        <w:bidi w:val="0"/>
        <w:jc w:val="left"/>
        <w:rPr>
          <w:lang w:val="pt-PT"/>
        </w:rPr>
      </w:pPr>
      <w:r>
        <w:rPr>
          <w:lang w:val="pt-PT"/>
        </w:rP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(#ref-khanolkar-2023); Saeidnia &amp; Ausloos, 2024 (#ref-saeidnia-2024); Verganti et al., 2020 (#ref-verganti-2020)).</w:t>
      </w:r>
    </w:p>
    <w:p>
      <w:pPr>
        <w:pStyle w:val="Normal"/>
        <w:bidi w:val="0"/>
        <w:jc w:val="left"/>
        <w:rPr>
          <w:lang w:val="pt-PT"/>
        </w:rPr>
      </w:pPr>
      <w:r>
        <w:rPr>
          <w:lang w:val="pt-PT"/>
        </w:rPr>
        <w:t>A eficácia da IA varia consoante a etapa do processo de design. A literatura sugere que o seu valor tende a ser maior em tarefas de exploração divergente, análise extensiva e automatização parcial, enquanto as etapas de convergência, enquadramento contextual, decisão ética e validação final exigem avaliação humana qualificada. A IA pode ampliar o campo de exploração e acelerar a comparação entre alternativas, mas a decisão sobre o que faz sentido desenvolver, para quem, em que contexto e com que consequências permanece uma responsabilidade humana. (Ao et al., 2025 (#ref-ao-2025); Choudhury et al., 2025 (#ref-choudhury-2025); Virós-i-Martin &amp; Selva, 2021 (#ref-viros-i-martin-2021)).</w:t>
      </w:r>
    </w:p>
    <w:p>
      <w:pPr>
        <w:pStyle w:val="Heading3"/>
        <w:bidi w:val="0"/>
        <w:jc w:val="left"/>
        <w:rPr>
          <w:lang w:val="pt-PT"/>
        </w:rPr>
      </w:pPr>
      <w:r>
        <w:rPr>
          <w:lang w:val="pt-PT"/>
        </w:rPr>
      </w:r>
    </w:p>
    <w:p>
      <w:pPr>
        <w:pStyle w:val="Heading3"/>
        <w:bidi w:val="0"/>
        <w:jc w:val="left"/>
        <w:rPr>
          <w:lang w:val="pt-PT"/>
        </w:rPr>
      </w:pPr>
      <w:r>
        <w:rPr>
          <w:lang w:val="pt-PT"/>
        </w:rPr>
        <w:t>Papel do designer, riscos e necessidade de supervisão humana</w:t>
      </w:r>
    </w:p>
    <w:p>
      <w:pPr>
        <w:pStyle w:val="Normal"/>
        <w:bidi w:val="0"/>
        <w:jc w:val="left"/>
        <w:rPr>
          <w:lang w:val="pt-PT"/>
        </w:rPr>
      </w:pPr>
      <w:r>
        <w:rPr>
          <w:lang w:val="pt-PT"/>
        </w:rPr>
      </w:r>
    </w:p>
    <w:p>
      <w:pPr>
        <w:pStyle w:val="Normal"/>
        <w:bidi w:val="0"/>
        <w:jc w:val="left"/>
        <w:rPr>
          <w:lang w:val="pt-PT"/>
        </w:rPr>
      </w:pPr>
      <w:r>
        <w:rPr>
          <w:lang w:val="pt-PT"/>
        </w:rPr>
        <w:t>A integração da IA no processo de design exige uma redefinição do papel do designer, sobretudo quando a geração de alternativas, a análise de dados ou a sugestão de soluções passam a ser parcialmente mediadas por sistemas computacionais. Neste contexto, a questão central desloca-se da autoria formal para a capacidade de orientar, interpretar e avaliar criticamente os resultados produzidos. A literatura consultada descreve, assim, uma evolução do designer enquanto gerador exclusivo de forma para um papel mais híbrido, no qual assume funções de orientação, curadoria, interpretação e decisão estratégica. O papel humano torna-se particularmente exigente em tarefas como a formulação do problema, a definição de critérios, a leitura contextual, a seleção entre alternativas e a justificação das decisões. Esta transformação é especialmente relevante em domínios sensíveis, nos quais a adequação ao utilizador, a responsabilidade técnica e a aceitabilidade ética exigem supervisão humana qualificada (Figoli et al., 2022 (#ref-figoli-2022); Kadenhe et al., 2025 (#ref-kadenhe-2025); Virós-i-Martin &amp; Selva, 2021 (#ref-viros-i-martin-2021)).</w:t>
      </w:r>
    </w:p>
    <w:p>
      <w:pPr>
        <w:pStyle w:val="Normal"/>
        <w:bidi w:val="0"/>
        <w:jc w:val="left"/>
        <w:rPr>
          <w:lang w:val="pt-PT"/>
        </w:rPr>
      </w:pPr>
      <w:r>
        <w:rPr>
          <w:lang w:val="pt-PT"/>
        </w:rP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(#ref-burnap-2019); Panchal et al., 2019 (#ref-panchal-2019); Yüksel et al., 2023 (#ref-yuksel-2023)).</w:t>
      </w:r>
    </w:p>
    <w:p>
      <w:pPr>
        <w:pStyle w:val="Normal"/>
        <w:bidi w:val="0"/>
        <w:jc w:val="left"/>
        <w:rPr>
          <w:lang w:val="pt-PT"/>
        </w:rPr>
      </w:pPr>
      <w:r>
        <w:rPr>
          <w:lang w:val="pt-PT"/>
        </w:rP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(#ref-ao-2025); Kadenhe et al., 2025 (#ref-kadenhe-2025); Verganti et al., 2020 (#ref-verganti-2020)).</w:t>
      </w:r>
    </w:p>
    <w:p>
      <w:pPr>
        <w:pStyle w:val="Normal"/>
        <w:bidi w:val="0"/>
        <w:jc w:val="left"/>
        <w:rPr>
          <w:lang w:val="pt-PT"/>
        </w:rPr>
      </w:pPr>
      <w:r>
        <w:rPr>
          <w:lang w:val="pt-PT"/>
        </w:rPr>
      </w:r>
    </w:p>
    <w:p>
      <w:pPr>
        <w:pStyle w:val="Heading3"/>
        <w:bidi w:val="0"/>
        <w:jc w:val="left"/>
        <w:rPr>
          <w:lang w:val="pt-PT"/>
        </w:rPr>
      </w:pPr>
      <w:r>
        <w:rPr>
          <w:lang w:val="pt-PT"/>
        </w:rPr>
        <w:t>2.7 Plataformas digitais e sistemas configuráveis</w:t>
      </w:r>
    </w:p>
    <w:p>
      <w:pPr>
        <w:pStyle w:val="Normal"/>
        <w:bidi w:val="0"/>
        <w:jc w:val="left"/>
        <w:rPr>
          <w:lang w:val="pt-PT"/>
        </w:rPr>
      </w:pPr>
      <w:r>
        <w:rPr>
          <w:lang w:val="pt-PT"/>
        </w:rP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(#ref-fischer-2004); Hippel &amp; Katz, 2002 (#ref-hippel-2002); Howard et al., 2022 (#ref-howard-2022)).</w:t>
      </w:r>
    </w:p>
    <w:p>
      <w:pPr>
        <w:pStyle w:val="Normal"/>
        <w:bidi w:val="0"/>
        <w:jc w:val="left"/>
        <w:rPr>
          <w:lang w:val="pt-PT"/>
        </w:rPr>
      </w:pPr>
      <w:r>
        <w:rPr>
          <w:lang w:val="pt-PT"/>
        </w:rPr>
        <w:t>Em domínios como a reabilitação e as tecnologias de assistência, a personalização é frequentemente descrita como uma necessidade funcional, e não apenas como uma diferenciação de mercado. Isso significa que a adequação do produto ao utilizador pode ser determinante para a segurança, a usabilidade e a adoção sustentada, deslocando o foco do design de uma solução “média” para sistemas capazes de acomodar a variabilidade individual de forma controlada (Fischer et al., 2017 (#ref-fischer-2017); Kerr et al., 2024 (#ref-kerr-2024); Zhu &amp; Zhong, 2022 (#ref-zhu-2022)).</w:t>
      </w:r>
    </w:p>
    <w:p>
      <w:pPr>
        <w:pStyle w:val="Heading3"/>
        <w:bidi w:val="0"/>
        <w:jc w:val="left"/>
        <w:rPr>
          <w:lang w:val="pt-PT"/>
        </w:rPr>
      </w:pPr>
      <w:r>
        <w:rPr>
          <w:lang w:val="pt-PT"/>
        </w:rPr>
      </w:r>
    </w:p>
    <w:p>
      <w:pPr>
        <w:pStyle w:val="Heading3"/>
        <w:bidi w:val="0"/>
        <w:jc w:val="left"/>
        <w:rPr>
          <w:lang w:val="pt-PT"/>
        </w:rPr>
      </w:pPr>
      <w:r>
        <w:rPr>
          <w:lang w:val="pt-PT"/>
        </w:rPr>
        <w:t>Fundamentos conceptuais: toolkits, meta-design e end-user development.</w:t>
      </w:r>
    </w:p>
    <w:p>
      <w:pPr>
        <w:pStyle w:val="Normal"/>
        <w:bidi w:val="0"/>
        <w:jc w:val="left"/>
        <w:rPr>
          <w:highlight w:val="none"/>
          <w:shd w:fill="FFFF00" w:val="clear"/>
        </w:rPr>
      </w:pPr>
      <w:r>
        <w:rPr>
          <w:shd w:fill="FFFF00" w:val="clear"/>
          <w:lang w:val="pt-PT"/>
        </w:rPr>
        <w:t>Uma linha teórica relevante é a dos “toolkits for user innovation”, que entende os sistemas configuráveis como ferramentas coordenadas e acessíveis que transferem parte do trabalho de design relacionado com as necessidades dos utilizadores, enquanto fabricantes e especialistas retêm tarefas de resolução e de produção. A distinção entre configuradores, centrados em selecionar opções, e toolkits, centrados em desenhar dentro de um espaço de projeto delimitado, é central: a participação pode variar entre escolher alternativas pré-definidas e efetivamente criar configurações em um ambiente com regras e feedback (Franke &amp; Hippel, 2002 (#ref-franke-2002); Hippel &amp; Katz, 2002 (#ref-hippel-2002)).</w:t>
      </w:r>
    </w:p>
    <w:p>
      <w:pPr>
        <w:pStyle w:val="Normal"/>
        <w:bidi w:val="0"/>
        <w:jc w:val="left"/>
        <w:rPr>
          <w:lang w:val="pt-PT"/>
        </w:rPr>
      </w:pPr>
      <w:r>
        <w:rPr>
          <w:shd w:fill="FFFF00" w:val="clear"/>
          <w:lang w:val="pt-PT"/>
        </w:rPr>
        <w:t>O meta-design aprofunda esta lógica ao defender a participação “em uso”,</w:t>
      </w:r>
      <w:r>
        <w:rPr/>
        <w:commentReference w:id="3"/>
      </w:r>
      <w:r>
        <w:rPr>
          <w:shd w:fill="FFFF00" w:val="clear"/>
          <w:lang w:val="pt-PT"/>
        </w:rPr>
        <w:t xml:space="preserve"> estabelecendo condições técnicas e sociais para que os utilizadores se tornem co-designers e o sistema evolua ao longo do tempo. O modelo Seeding, Evolutionary Growth, and Reseeding formaliza este processo como alternância entre “sementes” iniciais, criadas por especialistas, evolução por meio do desenvolvimento do utilizador e reestruturações periódicas que consolidam as aprendizagens e reorganizam o sistema</w:t>
      </w:r>
      <w:r>
        <w:rPr/>
        <w:commentReference w:id="4"/>
      </w:r>
      <w:r>
        <w:rPr>
          <w:lang w:val="pt-PT"/>
        </w:rPr>
        <w:t xml:space="preserve"> (Costabile et al., 2007 (#ref-costabile-2007); Fischer et al., 2004 (#ref-fischer-2004)).</w:t>
      </w:r>
    </w:p>
    <w:p>
      <w:pPr>
        <w:pStyle w:val="Normal"/>
        <w:bidi w:val="0"/>
        <w:jc w:val="left"/>
        <w:rPr>
          <w:lang w:val="pt-PT"/>
        </w:rPr>
      </w:pPr>
      <w:r>
        <w:rPr>
          <w:lang w:val="pt-PT"/>
        </w:rP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bidi w:val="0"/>
        <w:jc w:val="left"/>
        <w:rPr>
          <w:lang w:val="pt-PT"/>
        </w:rPr>
      </w:pPr>
      <w:r>
        <w:rPr/>
        <w:drawing>
          <wp:inline distT="0" distB="0" distL="0" distR="0">
            <wp:extent cx="5715000" cy="2990850"/>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12"/>
                    <a:stretch>
                      <a:fillRect/>
                    </a:stretch>
                  </pic:blipFill>
                  <pic:spPr bwMode="auto">
                    <a:xfrm>
                      <a:off x="0" y="0"/>
                      <a:ext cx="5715000" cy="2990850"/>
                    </a:xfrm>
                    <a:prstGeom prst="rect">
                      <a:avLst/>
                    </a:prstGeom>
                    <a:noFill/>
                  </pic:spPr>
                </pic:pic>
              </a:graphicData>
            </a:graphic>
          </wp:inline>
        </w:drawing>
      </w:r>
    </w:p>
    <w:p>
      <w:pPr>
        <w:pStyle w:val="Normal"/>
        <w:bidi w:val="0"/>
        <w:jc w:val="left"/>
        <w:rPr>
          <w:lang w:val="pt-PT"/>
        </w:rPr>
      </w:pPr>
      <w:r>
        <w:rPr>
          <w:lang w:val="pt-PT"/>
        </w:rPr>
        <w:t>Figura 2.7 — Modelo de processo para configurar participação em ecossistemas de inovação e cocriação.</w:t>
      </w:r>
    </w:p>
    <w:p>
      <w:pPr>
        <w:pStyle w:val="Normal"/>
        <w:bidi w:val="0"/>
        <w:jc w:val="left"/>
        <w:rPr>
          <w:lang w:val="pt-PT"/>
        </w:rPr>
      </w:pPr>
      <w:r>
        <w:rPr>
          <w:lang w:val="pt-PT"/>
        </w:rPr>
        <w:t xml:space="preserve">Fonte original: Akasaka, M., Veeckman, C., Georges, A., Schuurman, D., &amp; Coorevits, L. (2022). A framework for configuring participation in living labs. </w:t>
      </w:r>
      <w:hyperlink r:id="rId13">
        <w:r>
          <w:rPr>
            <w:rStyle w:val="Hyperlink"/>
            <w:lang w:val="pt-PT"/>
          </w:rPr>
          <w:t>https://www.semanticscholar.org/paper/305d55af5fda06b4d1b33e7d29c1f16d1b7ea488</w:t>
        </w:r>
      </w:hyperlink>
    </w:p>
    <w:p>
      <w:pPr>
        <w:pStyle w:val="Normal"/>
        <w:bidi w:val="0"/>
        <w:jc w:val="left"/>
        <w:rPr>
          <w:lang w:val="pt-PT"/>
        </w:rPr>
      </w:pPr>
      <w:r>
        <w:rPr>
          <w:lang w:val="pt-PT"/>
        </w:rPr>
      </w:r>
    </w:p>
    <w:p>
      <w:pPr>
        <w:pStyle w:val="Normal"/>
        <w:bidi w:val="0"/>
        <w:jc w:val="left"/>
        <w:rPr>
          <w:lang w:val="pt-PT"/>
        </w:rPr>
      </w:pPr>
      <w:r>
        <w:rPr>
          <w:lang w:val="pt-PT"/>
        </w:rPr>
        <w:t>A literatura identifica, contudo, o risco de sobrecarga participativa, entendido como a transferência excessiva de trabalho, responsabilidade e decisão para os utilizadores. Este risco exige mecanismos de apoio, curadoria e reutilização que tornem a participação sustentável (Fischer et al., 2017 (#ref-fischer-2017)).</w:t>
      </w:r>
    </w:p>
    <w:p>
      <w:pPr>
        <w:pStyle w:val="Normal"/>
        <w:bidi w:val="0"/>
        <w:jc w:val="left"/>
        <w:rPr>
          <w:lang w:val="pt-PT"/>
        </w:rPr>
      </w:pPr>
      <w:r>
        <w:rPr>
          <w:lang w:val="pt-PT"/>
        </w:rPr>
        <w:t xml:space="preserve">Em paralelo, o conceito de </w:t>
      </w:r>
      <w:r>
        <w:rPr>
          <w:rStyle w:val="Emphasis"/>
          <w:lang w:val="pt-PT"/>
        </w:rPr>
        <w:t>Software Shaping Workshop</w:t>
      </w:r>
      <w:r>
        <w:rPr>
          <w:lang w:val="pt-PT"/>
        </w:rPr>
        <w:t xml:space="preserve"> operacionaliza o meta-design, entendido como uma abordagem que cria condições técnicas e sociais para que utilizadores finais participem ativamente na adaptação e evolução dos sistemas que utilizam. Neste enquadramento, o </w:t>
      </w:r>
      <w:r>
        <w:rPr>
          <w:rStyle w:val="Emphasis"/>
          <w:lang w:val="pt-PT"/>
        </w:rPr>
        <w:t>Software Shaping Workshop</w:t>
      </w:r>
      <w:r>
        <w:rPr>
          <w:lang w:val="pt-PT"/>
        </w:rPr>
        <w:t xml:space="preserve"> funciona como uma “oficina virtual”: um ambiente digital composto por ferramentas familiares, ajustadas à cultura, às práticas e às competências de uma comunidade específica. Em contextos de reabilitação e assistência, este paradigma manifesta-se em sistemas que fornecem a cuidadores e terapeutas interfaces do tipo editor, permitindo adaptar scripts, exercícios e conteúdos sem necessidade de programação especializada, respondendo de forma pragmática às necessidades de personalização (Costabile et al., 2007 (#ref-costabile-2007); Fischer et al., 2017 (#ref-fischer-2017)).</w:t>
      </w:r>
    </w:p>
    <w:p>
      <w:pPr>
        <w:pStyle w:val="Normal"/>
        <w:bidi w:val="0"/>
        <w:jc w:val="left"/>
        <w:rPr>
          <w:lang w:val="pt-PT"/>
        </w:rPr>
      </w:pPr>
      <w:r>
        <w:rPr>
          <w:lang w:val="pt-PT"/>
        </w:rPr>
      </w:r>
    </w:p>
    <w:p>
      <w:pPr>
        <w:pStyle w:val="Normal"/>
        <w:bidi w:val="0"/>
        <w:jc w:val="left"/>
        <w:rPr>
          <w:lang w:val="pt-PT"/>
        </w:rPr>
      </w:pPr>
      <w:r>
        <w:rPr>
          <w:lang w:val="pt-PT"/>
        </w:rP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Normal"/>
        <w:bidi w:val="0"/>
        <w:jc w:val="left"/>
        <w:rPr>
          <w:lang w:val="pt-PT"/>
        </w:rPr>
      </w:pPr>
      <w:r>
        <w:rPr>
          <w:lang w:val="pt-PT"/>
        </w:rPr>
      </w:r>
    </w:p>
    <w:p>
      <w:pPr>
        <w:pStyle w:val="Normal"/>
        <w:bidi w:val="0"/>
        <w:jc w:val="left"/>
        <w:rPr>
          <w:highlight w:val="none"/>
          <w:shd w:fill="auto" w:val="clear"/>
        </w:rPr>
      </w:pPr>
      <w:r>
        <w:rPr>
          <w:shd w:fill="auto" w:val="clear"/>
          <w:lang w:val="pt-PT"/>
        </w:rPr>
        <w:t>Tabela 2.2 — Elementos centrais na configuração da participação em sistemas configuráveis</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fatores promovem adesão e que barreiras dificultam continuidade</w:t>
            </w:r>
          </w:p>
        </w:tc>
      </w:tr>
    </w:tbl>
    <w:p>
      <w:pPr>
        <w:pStyle w:val="Normal"/>
        <w:bidi w:val="0"/>
        <w:jc w:val="left"/>
        <w:rPr>
          <w:highlight w:val="none"/>
          <w:shd w:fill="auto" w:val="clear"/>
        </w:rPr>
      </w:pPr>
      <w:r>
        <w:rPr>
          <w:shd w:fill="auto" w:val="clear"/>
        </w:rPr>
      </w:r>
    </w:p>
    <w:p>
      <w:pPr>
        <w:pStyle w:val="Normal"/>
        <w:bidi w:val="0"/>
        <w:jc w:val="left"/>
        <w:rPr/>
      </w:pPr>
      <w:r>
        <w:rPr>
          <w:shd w:fill="auto" w:val="clear"/>
          <w:lang w:val="pt-PT"/>
        </w:rPr>
        <w:t xml:space="preserve">Fonte adaptada. Referência original: Akasaka, M., Veeckman, C., Georges, A., Schuurman, D., &amp; Coorevits, L. (2022). A framework for configuring participation in living labs. </w:t>
      </w:r>
      <w:hyperlink r:id="rId14">
        <w:r>
          <w:rPr>
            <w:rStyle w:val="Hyperlink"/>
            <w:shd w:fill="auto" w:val="clear"/>
            <w:lang w:val="pt-PT"/>
          </w:rPr>
          <w:t>https://www.semanticscholar.org/paper/305d55af5fda06b4d1b33e7d29c1f16d1b7ea488</w:t>
        </w:r>
      </w:hyperlink>
    </w:p>
    <w:p>
      <w:pPr>
        <w:pStyle w:val="Normal"/>
        <w:bidi w:val="0"/>
        <w:jc w:val="left"/>
        <w:rPr>
          <w:highlight w:val="none"/>
          <w:shd w:fill="auto" w:val="clear"/>
          <w:lang w:val="pt-PT"/>
        </w:rPr>
      </w:pPr>
      <w:r>
        <w:rPr>
          <w:shd w:fill="auto" w:val="clear"/>
          <w:lang w:val="pt-PT"/>
        </w:rPr>
      </w:r>
    </w:p>
    <w:p>
      <w:pPr>
        <w:pStyle w:val="Heading3"/>
        <w:bidi w:val="0"/>
        <w:jc w:val="left"/>
        <w:rPr>
          <w:lang w:val="pt-PT"/>
        </w:rPr>
      </w:pPr>
      <w:r>
        <w:rPr>
          <w:lang w:val="pt-PT"/>
        </w:rPr>
        <w:t>Mecanismos de personalização: modularidade, parametrização e adaptação individualizada</w:t>
      </w:r>
    </w:p>
    <w:p>
      <w:pPr>
        <w:pStyle w:val="Normal"/>
        <w:bidi w:val="0"/>
        <w:jc w:val="left"/>
        <w:rPr>
          <w:lang w:val="pt-PT"/>
        </w:rPr>
      </w:pPr>
      <w:r>
        <w:rPr>
          <w:lang w:val="pt-PT"/>
        </w:rP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Normal"/>
        <w:bidi w:val="0"/>
        <w:jc w:val="left"/>
        <w:rPr>
          <w:lang w:val="pt-PT"/>
        </w:rPr>
      </w:pPr>
      <w:r>
        <w:rPr>
          <w:lang w:val="pt-PT"/>
        </w:rPr>
      </w:r>
    </w:p>
    <w:p>
      <w:pPr>
        <w:pStyle w:val="BodyText"/>
        <w:rPr>
          <w:lang w:val="pt-PT"/>
        </w:rPr>
      </w:pPr>
      <w:r>
        <w:rPr/>
        <w:t>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expansão em ecossistemas de produto (Dechev et al., 2023 (#ref-dechev-2023); Peters &amp; Richter, 2023 (#ref-peters-2023)).</w:t>
      </w:r>
    </w:p>
    <w:p>
      <w:pPr>
        <w:pStyle w:val="BodyText"/>
        <w:rPr>
          <w:lang w:val="pt-PT"/>
        </w:rPr>
      </w:pPr>
      <w:r>
        <w:rP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(#ref-kuhl-2020); Zhu &amp; Zhong, 2022 (#ref-zhu-2022)).</w:t>
      </w:r>
    </w:p>
    <w:p>
      <w:pPr>
        <w:pStyle w:val="BodyText"/>
        <w:rPr>
          <w:lang w:val="pt-PT"/>
        </w:rPr>
      </w:pPr>
      <w:r>
        <w:rP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(#ref-cole-2011); Fischer et al., 2017 (#ref-fischer-2017)).</w:t>
      </w:r>
    </w:p>
    <w:p>
      <w:pPr>
        <w:pStyle w:val="Normal"/>
        <w:bidi w:val="0"/>
        <w:jc w:val="left"/>
        <w:rPr>
          <w:lang w:val="pt-PT"/>
        </w:rPr>
      </w:pPr>
      <w:r>
        <w:rPr>
          <w:lang w:val="pt-PT"/>
        </w:rP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(#ref-hippel-2002); Peters &amp; Richter, 2023 (#ref-peters-2023); Zhu &amp; Zhong, 2022 (#ref-zhu-2022)).</w:t>
      </w:r>
    </w:p>
    <w:p>
      <w:pPr>
        <w:pStyle w:val="Normal"/>
        <w:bidi w:val="0"/>
        <w:jc w:val="left"/>
        <w:rPr>
          <w:lang w:val="pt-PT"/>
        </w:rPr>
      </w:pPr>
      <w:r>
        <w:rPr>
          <w:lang w:val="pt-PT"/>
        </w:rPr>
      </w:r>
    </w:p>
    <w:p>
      <w:pPr>
        <w:pStyle w:val="Heading3"/>
        <w:bidi w:val="0"/>
        <w:jc w:val="left"/>
        <w:rPr>
          <w:lang w:val="pt-PT"/>
        </w:rPr>
      </w:pPr>
      <w:r>
        <w:rPr>
          <w:lang w:val="pt-PT"/>
        </w:rPr>
        <w:t>Workflows participativos e infraestruturas remotas</w:t>
      </w:r>
    </w:p>
    <w:p>
      <w:pPr>
        <w:pStyle w:val="Normal"/>
        <w:bidi w:val="0"/>
        <w:jc w:val="left"/>
        <w:rPr>
          <w:lang w:val="pt-PT"/>
        </w:rPr>
      </w:pPr>
      <w:r>
        <w:rPr>
          <w:lang w:val="pt-PT"/>
        </w:rP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(#ref-dexter-2013); Thorsen et al., 2023 (#ref-thorsen-2023)).</w:t>
      </w:r>
    </w:p>
    <w:p>
      <w:pPr>
        <w:pStyle w:val="Normal"/>
        <w:bidi w:val="0"/>
        <w:jc w:val="left"/>
        <w:rPr>
          <w:lang w:val="pt-PT"/>
        </w:rPr>
      </w:pPr>
      <w:r>
        <w:rPr>
          <w:lang w:val="pt-PT"/>
        </w:rP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(#ref-frangos-2016); Hussaini et al., 2023 (#ref-hussaini-2023); Kerr et al., 2024 (#ref-kerr-2024)).</w:t>
      </w:r>
    </w:p>
    <w:p>
      <w:pPr>
        <w:pStyle w:val="Normal"/>
        <w:bidi w:val="0"/>
        <w:jc w:val="left"/>
        <w:rPr>
          <w:lang w:val="pt-PT"/>
        </w:rPr>
      </w:pPr>
      <w:r>
        <w:rPr>
          <w:lang w:val="pt-PT"/>
        </w:rPr>
      </w:r>
    </w:p>
    <w:p>
      <w:pPr>
        <w:pStyle w:val="Heading3"/>
        <w:bidi w:val="0"/>
        <w:jc w:val="left"/>
        <w:rPr>
          <w:lang w:val="pt-PT"/>
        </w:rPr>
      </w:pPr>
      <w:r>
        <w:rPr>
          <w:lang w:val="pt-PT"/>
        </w:rPr>
        <w:t>Aplicações em saúde, reabilitação e próteses</w:t>
      </w:r>
    </w:p>
    <w:p>
      <w:pPr>
        <w:pStyle w:val="Normal"/>
        <w:bidi w:val="0"/>
        <w:jc w:val="left"/>
        <w:rPr>
          <w:lang w:val="pt-PT"/>
        </w:rPr>
      </w:pPr>
      <w:r>
        <w:rPr>
          <w:lang w:val="pt-PT"/>
        </w:rPr>
        <w:t>Em saúde, plataformas baseadas em</w:t>
      </w:r>
      <w:r>
        <w:rPr>
          <w:i/>
          <w:iCs/>
          <w:lang w:val="pt-PT"/>
        </w:rPr>
        <w:t xml:space="preserve"> digital twins</w:t>
      </w:r>
      <w:r>
        <w:rPr>
          <w:rStyle w:val="FootnoteReference"/>
          <w:i/>
          <w:iCs/>
          <w:lang w:val="pt-PT"/>
        </w:rPr>
        <w:footnoteReference w:id="12"/>
      </w:r>
      <w:r>
        <w:rPr>
          <w:lang w:val="pt-PT"/>
        </w:rP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(#ref-mikoajewski-2023); Zhu &amp; Zhong, 2022 (#ref-zhu-2022)).</w:t>
      </w:r>
    </w:p>
    <w:p>
      <w:pPr>
        <w:pStyle w:val="Normal"/>
        <w:bidi w:val="0"/>
        <w:jc w:val="left"/>
        <w:rPr>
          <w:lang w:val="pt-PT"/>
        </w:rPr>
      </w:pPr>
      <w:r>
        <w:rPr>
          <w:lang w:val="pt-PT"/>
        </w:rPr>
        <w:t>Na reabilitação, plataformas de virtual coaching, serious games configuráveis e modelos de cocriação tecnológica são apresentados como formas de personalizar os tratamentos com base no estado clínico, nos objetivos terapêuticos e no feedback do utilizador. As avaliações indicam boa usabilidade e experiência do utilizador quando a participação é integrada no ciclo de desenvolvimento e mostram que a personalização não se limita à interface, estendendo-se à seleção de exercícios, ao ritmo do programa e à mediação por profissionais de saúde (Cole, 2011 (#ref-cole-2011); Kerr et al., 2024 (#ref-kerr-2024); Seregni et al., 2021 (#ref-seregni-2021)).</w:t>
      </w:r>
    </w:p>
    <w:p>
      <w:pPr>
        <w:pStyle w:val="Normal"/>
        <w:bidi w:val="0"/>
        <w:jc w:val="left"/>
        <w:rPr>
          <w:lang w:val="pt-PT"/>
        </w:rPr>
      </w:pPr>
      <w:r>
        <w:rPr>
          <w:lang w:val="pt-PT"/>
        </w:rPr>
        <w:t>No contexto protésico e assistivo, evidencia-se a relevância dos ecossistemas modulares e das cadeias de aprendizagem distribuída. Estudos sobre próteses pediátricas, serviços de reabilitação assistiva e modelos como o Victoria Hand Project</w:t>
      </w:r>
      <w:r>
        <w:rPr/>
        <w:commentReference w:id="5"/>
      </w:r>
      <w:r>
        <w:rPr>
          <w:lang w:val="pt-PT"/>
        </w:rPr>
        <w:t xml:space="preserve"> mostram que a personalização pode combinar prototipagem iterativa, módulos intercambiáveis, criação digital de encaixes e circulação de feedback entre locais clínicos e equipas centrais de desenvolvimento. Neste enquadramento, a plataforma deixa de ser apenas uma interface de configuração e passa a funcionar como infraestrutura organizacional de aprendizagem e de atualização contínua (Dechev et al., 2023 (#ref-dechev-2023); Howard et al., 2022 (#ref-howard-2022); Sims et al., 2017 (#ref-sims-2017)).</w:t>
      </w:r>
    </w:p>
    <w:p>
      <w:pPr>
        <w:pStyle w:val="Normal"/>
        <w:bidi w:val="0"/>
        <w:jc w:val="left"/>
        <w:rPr>
          <w:lang w:val="pt-PT"/>
        </w:rPr>
      </w:pPr>
      <w:r>
        <w:rPr>
          <w:lang w:val="pt-PT"/>
        </w:rP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(#ref-hussaini-2023); Thorsen et al., 2023 (#ref-thorsen-2023)).</w:t>
      </w:r>
    </w:p>
    <w:p>
      <w:pPr>
        <w:pStyle w:val="Normal"/>
        <w:bidi w:val="0"/>
        <w:jc w:val="left"/>
        <w:rPr>
          <w:lang w:val="pt-PT"/>
        </w:rPr>
      </w:pPr>
      <w:r>
        <w:rPr>
          <w:lang w:val="pt-PT"/>
        </w:rPr>
      </w:r>
    </w:p>
    <w:p>
      <w:pPr>
        <w:pStyle w:val="Heading3"/>
        <w:bidi w:val="0"/>
        <w:jc w:val="left"/>
        <w:rPr>
          <w:lang w:val="pt-PT"/>
        </w:rPr>
      </w:pPr>
      <w:r>
        <w:rPr>
          <w:lang w:val="pt-PT"/>
        </w:rPr>
        <w:t>Limitações e lacunas: sustentabilidade, adoção e equilíbrio entre normalização e improviso</w:t>
      </w:r>
    </w:p>
    <w:p>
      <w:pPr>
        <w:pStyle w:val="Heading3"/>
        <w:bidi w:val="0"/>
        <w:jc w:val="left"/>
        <w:rPr>
          <w:lang w:val="pt-PT"/>
        </w:rPr>
      </w:pPr>
      <w:r>
        <w:rPr>
          <w:lang w:val="pt-PT"/>
        </w:rPr>
      </w:r>
    </w:p>
    <w:p>
      <w:pPr>
        <w:pStyle w:val="BodyText"/>
        <w:bidi w:val="0"/>
        <w:spacing w:lineRule="auto" w:line="276" w:before="0" w:after="140"/>
        <w:jc w:val="left"/>
        <w:rPr>
          <w:lang w:val="pt-PT"/>
        </w:rPr>
      </w:pPr>
      <w:r>
        <w:rPr>
          <w:lang w:val="pt-PT"/>
        </w:rP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(#ref-frangos-2016); Howard et al., 2022 (#ref-howard-2022); Thorsen et al., 2023 (#ref-thorsen-2023)). Para além disso, a literatura identifica três tensões estruturais relevantes.</w:t>
      </w:r>
    </w:p>
    <w:p>
      <w:pPr>
        <w:pStyle w:val="BodyText"/>
        <w:bidi w:val="0"/>
        <w:spacing w:lineRule="auto" w:line="276" w:before="0" w:after="140"/>
        <w:jc w:val="left"/>
        <w:rPr>
          <w:lang w:val="pt-PT"/>
        </w:rPr>
      </w:pPr>
      <w:r>
        <w:rPr>
          <w:lang w:val="pt-PT"/>
        </w:rP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 (#ref-fischer-2017)).</w:t>
      </w:r>
    </w:p>
    <w:p>
      <w:pPr>
        <w:pStyle w:val="BodyText"/>
        <w:bidi w:val="0"/>
        <w:spacing w:lineRule="auto" w:line="276" w:before="0" w:after="140"/>
        <w:jc w:val="left"/>
        <w:rPr>
          <w:lang w:val="pt-PT"/>
        </w:rPr>
      </w:pPr>
      <w:r>
        <w:rPr>
          <w:lang w:val="pt-PT"/>
        </w:rPr>
        <w:t>A segunda tensão situa-se entre normalização e personalização. Em domínios regulados, a adaptação individualizada deve preservar rastreabilidade, segurança e qualidade, o que pode entrar em conflito com ajustamentos locais necessários para responder a necessidades específicas ou contextuais (Costabile et al., 2007 (#ref-costabile-2007); Fischer et al., 2004 (#ref-fischer-2004)).</w:t>
      </w:r>
    </w:p>
    <w:p>
      <w:pPr>
        <w:pStyle w:val="BodyText"/>
        <w:bidi w:val="0"/>
        <w:spacing w:lineRule="auto" w:line="276" w:before="0" w:after="140"/>
        <w:jc w:val="left"/>
        <w:rPr>
          <w:lang w:val="pt-PT"/>
        </w:rPr>
      </w:pPr>
      <w:r>
        <w:rPr>
          <w:lang w:val="pt-PT"/>
        </w:rP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(#ref-akasaka-2022); Frangos et al., 2016 (#ref-frangos-2016)).</w:t>
      </w:r>
    </w:p>
    <w:p>
      <w:pPr>
        <w:pStyle w:val="Heading3"/>
        <w:bidi w:val="0"/>
        <w:jc w:val="left"/>
        <w:rPr>
          <w:lang w:val="pt-PT"/>
        </w:rPr>
      </w:pPr>
      <w:r>
        <w:rPr>
          <w:lang w:val="pt-PT"/>
        </w:rPr>
        <w:t>2.8 Análise crítica do estado da arte e lacunas identificadas</w:t>
      </w:r>
    </w:p>
    <w:p>
      <w:pPr>
        <w:pStyle w:val="Heading3"/>
        <w:bidi w:val="0"/>
        <w:jc w:val="left"/>
        <w:rPr>
          <w:lang w:val="pt-PT"/>
        </w:rPr>
      </w:pPr>
      <w:r>
        <w:rPr>
          <w:lang w:val="pt-PT"/>
        </w:rPr>
      </w:r>
    </w:p>
    <w:p>
      <w:pPr>
        <w:pStyle w:val="Normal"/>
        <w:bidi w:val="0"/>
        <w:jc w:val="left"/>
        <w:rPr>
          <w:lang w:val="pt-PT"/>
        </w:rPr>
      </w:pPr>
      <w:r>
        <w:rPr>
          <w:lang w:val="pt-PT"/>
        </w:rP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r>
        <w:rPr>
          <w:shd w:fill="FFFF00" w:val="clear"/>
          <w:lang w:val="pt-PT"/>
        </w:rPr>
        <w:t>por nível de prontidão tecnológica, ou Technology Readiness Level (TRL)</w:t>
      </w:r>
      <w:r>
        <w:rPr>
          <w:rStyle w:val="FootnoteReference"/>
          <w:shd w:fill="FFFF00" w:val="clear"/>
          <w:lang w:val="pt-PT"/>
        </w:rPr>
        <w:footnoteReference w:id="13"/>
      </w:r>
      <w:r>
        <w:rPr>
          <w:shd w:fill="FFFF00" w:val="clear"/>
          <w:lang w:val="pt-PT"/>
        </w:rPr>
        <w:t>,</w:t>
      </w:r>
      <w:r>
        <w:rPr>
          <w:lang w:val="pt-PT"/>
        </w:rPr>
        <w:t xml:space="preserve"> evidenciando que muitos contributos permanecem concentrados em fases ainda afastadas de uma adoção ampla e sustentada.</w:t>
      </w:r>
    </w:p>
    <w:p>
      <w:pPr>
        <w:pStyle w:val="Normal"/>
        <w:bidi w:val="0"/>
        <w:jc w:val="left"/>
        <w:rPr>
          <w:lang w:val="pt-PT"/>
        </w:rPr>
      </w:pPr>
      <w:r>
        <w:rPr/>
        <w:drawing>
          <wp:inline distT="0" distB="0" distL="0" distR="0">
            <wp:extent cx="5715000" cy="4067175"/>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15"/>
                    <a:stretch>
                      <a:fillRect/>
                    </a:stretch>
                  </pic:blipFill>
                  <pic:spPr bwMode="auto">
                    <a:xfrm>
                      <a:off x="0" y="0"/>
                      <a:ext cx="5715000" cy="4067175"/>
                    </a:xfrm>
                    <a:prstGeom prst="rect">
                      <a:avLst/>
                    </a:prstGeom>
                    <a:noFill/>
                  </pic:spPr>
                </pic:pic>
              </a:graphicData>
            </a:graphic>
          </wp:inline>
        </w:drawing>
      </w:r>
    </w:p>
    <w:p>
      <w:pPr>
        <w:pStyle w:val="Normal"/>
        <w:bidi w:val="0"/>
        <w:jc w:val="left"/>
        <w:rPr>
          <w:lang w:val="pt-PT"/>
        </w:rPr>
      </w:pPr>
      <w:r>
        <w:rPr>
          <w:lang w:val="pt-PT"/>
        </w:rP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rmal"/>
        <w:bidi w:val="0"/>
        <w:jc w:val="left"/>
        <w:rPr>
          <w:lang w:val="pt-PT"/>
        </w:rPr>
      </w:pPr>
      <w:r>
        <w:rPr>
          <w:lang w:val="pt-PT"/>
        </w:rPr>
        <w:t>Fonte original: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r>
    </w:p>
    <w:p>
      <w:pPr>
        <w:pStyle w:val="Normal"/>
        <w:bidi w:val="0"/>
        <w:jc w:val="left"/>
        <w:rPr>
          <w:lang w:val="pt-PT"/>
        </w:rPr>
      </w:pPr>
      <w:r>
        <w:rPr>
          <w:lang w:val="pt-PT"/>
        </w:rP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(#ref-chadwell-2020); Samuelsson et al., 2012 (#ref-samuelsson-2012); Windrich et al., 2016 (#ref-windrich-2016)).</w:t>
      </w:r>
    </w:p>
    <w:p>
      <w:pPr>
        <w:pStyle w:val="Normal"/>
        <w:bidi w:val="0"/>
        <w:jc w:val="left"/>
        <w:rPr>
          <w:lang w:val="pt-PT"/>
        </w:rPr>
      </w:pPr>
      <w:r>
        <w:rPr>
          <w:lang w:val="pt-PT"/>
        </w:rP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(#ref-hafner-2016); Samuelsson et al., 2012 (#ref-samuelsson-2012)).</w:t>
      </w:r>
    </w:p>
    <w:p>
      <w:pPr>
        <w:pStyle w:val="Heading3"/>
        <w:bidi w:val="0"/>
        <w:jc w:val="left"/>
        <w:rPr>
          <w:lang w:val="pt-PT"/>
        </w:rPr>
      </w:pPr>
      <w:r>
        <w:rPr>
          <w:lang w:val="pt-PT"/>
        </w:rPr>
      </w:r>
    </w:p>
    <w:p>
      <w:pPr>
        <w:pStyle w:val="Heading3"/>
        <w:bidi w:val="0"/>
        <w:jc w:val="left"/>
        <w:rPr>
          <w:lang w:val="pt-PT"/>
        </w:rPr>
      </w:pPr>
      <w:r>
        <w:rPr>
          <w:lang w:val="pt-PT"/>
        </w:rPr>
        <w:t>Lacuna 1 — Validação empírica limitada e fraca transposição para contextos reais de utilização</w:t>
      </w:r>
    </w:p>
    <w:p>
      <w:pPr>
        <w:pStyle w:val="BodyText"/>
        <w:bidi w:val="0"/>
        <w:spacing w:lineRule="auto" w:line="276" w:before="0" w:after="140"/>
        <w:jc w:val="left"/>
        <w:rPr>
          <w:lang w:val="pt-PT"/>
        </w:rPr>
      </w:pPr>
      <w:r>
        <w:rPr>
          <w:lang w:val="pt-PT"/>
        </w:rP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(#ref-ghillebert-2019); Samuelsson et al., 2012 (#ref-samuelsson-2012); Windrich et al., 2016 (#ref-windrich-2016)).</w:t>
      </w:r>
    </w:p>
    <w:p>
      <w:pPr>
        <w:pStyle w:val="BodyText"/>
        <w:bidi w:val="0"/>
        <w:spacing w:lineRule="auto" w:line="276" w:before="0" w:after="140"/>
        <w:jc w:val="left"/>
        <w:rPr>
          <w:lang w:val="pt-PT"/>
        </w:rPr>
      </w:pPr>
      <w:r>
        <w:rPr>
          <w:lang w:val="pt-PT"/>
        </w:rP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(#ref-chadwell-2020); Samuelsson et al., 2012 (#ref-samuelsson-2012)).</w:t>
      </w:r>
    </w:p>
    <w:p>
      <w:pPr>
        <w:pStyle w:val="Heading3"/>
        <w:bidi w:val="0"/>
        <w:jc w:val="left"/>
        <w:rPr>
          <w:lang w:val="pt-PT"/>
        </w:rPr>
      </w:pPr>
      <w:r>
        <w:rPr>
          <w:lang w:val="pt-PT"/>
        </w:rPr>
        <w:t>Lacuna 2 — Desalinhamento entre necessidades identificadas, métricas objetivas, e qualidade de vida</w:t>
      </w:r>
    </w:p>
    <w:p>
      <w:pPr>
        <w:pStyle w:val="BodyText"/>
        <w:bidi w:val="0"/>
        <w:jc w:val="left"/>
        <w:rPr>
          <w:lang w:val="pt-PT"/>
        </w:rPr>
      </w:pPr>
      <w:r>
        <w:rPr>
          <w:lang w:val="pt-PT"/>
        </w:rP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(#ref-cordella-2016); Manz et al., 2022 (#ref-manz-2022)).</w:t>
      </w:r>
    </w:p>
    <w:p>
      <w:pPr>
        <w:pStyle w:val="BodyText"/>
        <w:bidi w:val="0"/>
        <w:jc w:val="left"/>
        <w:rPr>
          <w:lang w:val="pt-PT"/>
        </w:rPr>
      </w:pPr>
      <w:r>
        <w:rPr>
          <w:lang w:val="pt-PT"/>
        </w:rPr>
        <w:t>Esta desarticulação tem implicações diretas para o design. A existência de métricas ecologicamente válidas e sensíveis às prioridades do utilizador é essencial para orientar decisões de projeto para benefícios significativos e sustentados. Como consequência, melhorias técnicas isoladas podem produzir ganhos limitados em termos de aceitação, integração funcional ou uso continuado da prótese (Manz et al., 2022 (#ref-manz-2022); Samuelsson et al., 2012 (#ref-samuelsson-2012)).</w:t>
      </w:r>
    </w:p>
    <w:p>
      <w:pPr>
        <w:pStyle w:val="Normal"/>
        <w:bidi w:val="0"/>
        <w:jc w:val="left"/>
        <w:rPr>
          <w:lang w:val="pt-PT"/>
        </w:rPr>
      </w:pPr>
      <w:r>
        <w:rPr>
          <w:lang w:val="pt-PT"/>
        </w:rPr>
      </w:r>
    </w:p>
    <w:p>
      <w:pPr>
        <w:pStyle w:val="Heading3"/>
        <w:bidi w:val="0"/>
        <w:jc w:val="left"/>
        <w:rPr>
          <w:lang w:val="pt-PT"/>
        </w:rPr>
      </w:pPr>
      <w:r>
        <w:rPr>
          <w:lang w:val="pt-PT"/>
        </w:rPr>
        <w:t>Lacuna 3 — Persistência de problemas na interface corpo–prótese e no ajuste individualizado</w:t>
      </w:r>
    </w:p>
    <w:p>
      <w:pPr>
        <w:pStyle w:val="BodyText"/>
        <w:bidi w:val="0"/>
        <w:spacing w:lineRule="auto" w:line="276" w:before="0" w:after="140"/>
        <w:jc w:val="left"/>
        <w:rPr>
          <w:lang w:val="pt-PT"/>
        </w:rPr>
      </w:pPr>
      <w:r>
        <w:rPr>
          <w:lang w:val="pt-PT"/>
        </w:rP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(#ref-alluhydan-2023); Baldock et al., 2023 (#ref-baldock-2023); Richardson &amp; Dillon, 2017 (#ref-richardson-2017)).</w:t>
      </w:r>
    </w:p>
    <w:p>
      <w:pPr>
        <w:pStyle w:val="BodyText"/>
        <w:bidi w:val="0"/>
        <w:spacing w:lineRule="auto" w:line="276" w:before="0" w:after="140"/>
        <w:jc w:val="left"/>
        <w:rPr>
          <w:lang w:val="pt-PT"/>
        </w:rPr>
      </w:pPr>
      <w:r>
        <w:rPr>
          <w:lang w:val="pt-PT"/>
        </w:rP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(#ref-chadwell-2020); Richardson &amp; Dillon, 2017 (#ref-richardson-2017)).</w:t>
      </w:r>
    </w:p>
    <w:p>
      <w:pPr>
        <w:pStyle w:val="Heading3"/>
        <w:bidi w:val="0"/>
        <w:jc w:val="left"/>
        <w:rPr>
          <w:lang w:val="pt-PT"/>
        </w:rPr>
      </w:pPr>
      <w:r>
        <w:rPr>
          <w:lang w:val="pt-PT"/>
        </w:rPr>
        <w:t>Lacuna 4 — Evolução limitada das estratégias de controlo e da interação utilizador–prótese</w:t>
      </w:r>
    </w:p>
    <w:p>
      <w:pPr>
        <w:pStyle w:val="BodyText"/>
        <w:bidi w:val="0"/>
        <w:spacing w:lineRule="auto" w:line="276" w:before="0" w:after="140"/>
        <w:jc w:val="left"/>
        <w:rPr>
          <w:lang w:val="pt-PT"/>
        </w:rPr>
      </w:pPr>
      <w:r>
        <w:rPr>
          <w:lang w:val="pt-PT"/>
        </w:rP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(#ref-cordella-2016); Marinelli et al., 2022 (#ref-marinelli-2022)).</w:t>
      </w:r>
    </w:p>
    <w:p>
      <w:pPr>
        <w:pStyle w:val="BodyText"/>
        <w:bidi w:val="0"/>
        <w:spacing w:lineRule="auto" w:line="276" w:before="0" w:after="140"/>
        <w:jc w:val="left"/>
        <w:rPr>
          <w:lang w:val="pt-PT"/>
        </w:rPr>
      </w:pPr>
      <w:r>
        <w:rPr>
          <w:lang w:val="pt-PT"/>
        </w:rP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(#ref-dominguez-ruiz-2023); Marinelli et al., 2022 (#ref-marinelli-2022)).</w:t>
      </w:r>
    </w:p>
    <w:p>
      <w:pPr>
        <w:pStyle w:val="Normal"/>
        <w:bidi w:val="0"/>
        <w:jc w:val="left"/>
        <w:rPr>
          <w:lang w:val="pt-PT"/>
        </w:rPr>
      </w:pPr>
      <w:r>
        <w:rPr>
          <w:lang w:val="pt-PT"/>
        </w:rPr>
      </w:r>
    </w:p>
    <w:p>
      <w:pPr>
        <w:pStyle w:val="Heading3"/>
        <w:bidi w:val="0"/>
        <w:jc w:val="left"/>
        <w:rPr>
          <w:lang w:val="pt-PT"/>
        </w:rPr>
      </w:pPr>
      <w:r>
        <w:rPr>
          <w:lang w:val="pt-PT"/>
        </w:rPr>
        <w:t>Lacuna 5 — Acesso, custo, manutenção e inequidades sistémicas</w:t>
      </w:r>
    </w:p>
    <w:p>
      <w:pPr>
        <w:pStyle w:val="Normal"/>
        <w:bidi w:val="0"/>
        <w:jc w:val="left"/>
        <w:rPr>
          <w:lang w:val="pt-PT"/>
        </w:rPr>
      </w:pPr>
      <w:r>
        <w:rPr>
          <w:lang w:val="pt-PT"/>
        </w:rP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(#ref-alluhydan-2023); Andrysek, 2010 (#ref-andrysek-2010); Baumann &amp; Maria, 2023 (#ref-baumann-2023)).</w:t>
      </w:r>
    </w:p>
    <w:p>
      <w:pPr>
        <w:pStyle w:val="Normal"/>
        <w:bidi w:val="0"/>
        <w:jc w:val="left"/>
        <w:rPr>
          <w:lang w:val="pt-PT"/>
        </w:rPr>
      </w:pPr>
      <w:r>
        <w:rPr>
          <w:lang w:val="pt-PT"/>
        </w:rPr>
        <w:t>Assim, a inovação pode agravar as inequidades ao introduzir dependências de infraestrutura, de apoio técnico e de cadeias de fornecimento indisponíveis para uma parcela significativa da população (Andrysek, 2010 (#ref-andrysek-2010); Segura et al., 2024 (#ref-segura-2024)).</w:t>
      </w:r>
    </w:p>
    <w:p>
      <w:pPr>
        <w:pStyle w:val="Normal"/>
        <w:bidi w:val="0"/>
        <w:jc w:val="left"/>
        <w:rPr>
          <w:lang w:val="pt-PT"/>
        </w:rPr>
      </w:pPr>
      <w:r>
        <w:rPr>
          <w:lang w:val="pt-PT"/>
        </w:rPr>
      </w:r>
    </w:p>
    <w:p>
      <w:pPr>
        <w:pStyle w:val="Heading3"/>
        <w:bidi w:val="0"/>
        <w:jc w:val="left"/>
        <w:rPr>
          <w:lang w:val="pt-PT"/>
        </w:rPr>
      </w:pPr>
      <w:r>
        <w:rPr>
          <w:lang w:val="pt-PT"/>
        </w:rPr>
        <w:t>Lacuna 6 — Envolvimento do utilizador e registo metodológico insuficiente</w:t>
      </w:r>
    </w:p>
    <w:p>
      <w:pPr>
        <w:pStyle w:val="BodyText"/>
        <w:bidi w:val="0"/>
        <w:spacing w:lineRule="auto" w:line="276" w:before="0" w:after="140"/>
        <w:jc w:val="left"/>
        <w:rPr>
          <w:lang w:val="pt-PT"/>
        </w:rPr>
      </w:pPr>
      <w:r>
        <w:rPr>
          <w:lang w:val="pt-PT"/>
        </w:rP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(#ref-marinelli-2022); Richardson &amp; Dillon, 2017 (#ref-richardson-2017); Walker et al., 2019 (#ref-walker-2019)).</w:t>
      </w:r>
    </w:p>
    <w:p>
      <w:pPr>
        <w:pStyle w:val="BodyText"/>
        <w:bidi w:val="0"/>
        <w:spacing w:lineRule="auto" w:line="276" w:before="0" w:after="140"/>
        <w:jc w:val="left"/>
        <w:rPr>
          <w:lang w:val="pt-PT"/>
        </w:rPr>
      </w:pPr>
      <w:r>
        <w:rPr>
          <w:lang w:val="pt-PT"/>
        </w:rP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(#ref-cordella-2016); Hafner &amp; Sawers, 2016 (#ref-hafner-2016); Richardson &amp; Dillon, 2017 (#ref-richardson-2017)).</w:t>
      </w:r>
    </w:p>
    <w:p>
      <w:pPr>
        <w:pStyle w:val="Normal"/>
        <w:bidi w:val="0"/>
        <w:jc w:val="left"/>
        <w:rPr>
          <w:lang w:val="pt-PT"/>
        </w:rPr>
      </w:pPr>
      <w:r>
        <w:rPr>
          <w:lang w:val="pt-PT"/>
        </w:rPr>
      </w:r>
    </w:p>
    <w:p>
      <w:pPr>
        <w:pStyle w:val="Heading3"/>
        <w:bidi w:val="0"/>
        <w:jc w:val="left"/>
        <w:rPr>
          <w:lang w:val="pt-PT"/>
        </w:rPr>
      </w:pPr>
      <w:r>
        <w:rPr>
          <w:lang w:val="pt-PT"/>
        </w:rPr>
        <w:t>Implicações para esta investigação</w:t>
      </w:r>
    </w:p>
    <w:p>
      <w:pPr>
        <w:pStyle w:val="BodyText"/>
        <w:bidi w:val="0"/>
        <w:spacing w:lineRule="auto" w:line="276" w:before="0" w:after="140"/>
        <w:jc w:val="left"/>
        <w:rPr>
          <w:lang w:val="pt-PT"/>
        </w:rPr>
      </w:pPr>
      <w:r>
        <w:rPr>
          <w:lang w:val="pt-PT"/>
        </w:rPr>
        <w:t>Em conjunto, estas lacunas apontam para a necessidade de abordagens que:</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reforcem a ligação entre personalização e validação empírica, através de fluxos integrados de aquisição de dados, geração de variantes e avaliação;</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privilegiem avaliações ecologicamente válidas e longitudinais, aproximando as métricas de desempenho dos resultados relacionados com participação, autonomia e qualidade de vida;</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tratem a interface corpo–prótese e o conforto como requisitos estruturantes do processo de projeto, e não como ajustes posteriores;</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incorporem o envolvimento do utilizador como elemento contínuo, documentável e passível de análise, articulando métodos qualitativos e quantitativos;</w:t>
      </w:r>
    </w:p>
    <w:p>
      <w:pPr>
        <w:pStyle w:val="BodyText"/>
        <w:numPr>
          <w:ilvl w:val="0"/>
          <w:numId w:val="1"/>
        </w:numPr>
        <w:tabs>
          <w:tab w:val="clear" w:pos="709"/>
          <w:tab w:val="left" w:pos="0" w:leader="none"/>
        </w:tabs>
        <w:bidi w:val="0"/>
        <w:ind w:hanging="283" w:left="709"/>
        <w:jc w:val="left"/>
        <w:rPr>
          <w:lang w:val="pt-PT"/>
        </w:rPr>
      </w:pPr>
      <w:r>
        <w:rPr>
          <w:lang w:val="pt-PT"/>
        </w:rPr>
        <w:t>considerem a acessibilidade, a manutenção e o contexto de serviço como dimensões constitutivas do problema de design (Anderson et al., 2024 (#ref-anderson-2024); Baumann &amp; Maria, 2023 (#ref-baumann-2023); Chadwell et al., 2020 (#ref-chadwell-2020)).</w:t>
      </w:r>
    </w:p>
    <w:p>
      <w:pPr>
        <w:pStyle w:val="Normal"/>
        <w:bidi w:val="0"/>
        <w:jc w:val="left"/>
        <w:rPr>
          <w:lang w:val="pt-PT"/>
        </w:rPr>
      </w:pPr>
      <w:r>
        <w:rPr>
          <w:lang w:val="pt-PT"/>
        </w:rPr>
      </w:r>
    </w:p>
    <w:p>
      <w:pPr>
        <w:pStyle w:val="Heading2"/>
        <w:bidi w:val="0"/>
        <w:jc w:val="left"/>
        <w:rPr>
          <w:lang w:val="pt-PT"/>
        </w:rPr>
      </w:pPr>
      <w:r>
        <w:rPr>
          <w:lang w:val="pt-PT"/>
        </w:rPr>
        <w:t>Capítulo 3 — Metodologia de Investigação</w:t>
      </w:r>
    </w:p>
    <w:p>
      <w:pPr>
        <w:pStyle w:val="Heading2"/>
        <w:bidi w:val="0"/>
        <w:jc w:val="left"/>
        <w:rPr>
          <w:lang w:val="pt-PT"/>
        </w:rPr>
      </w:pPr>
      <w:r>
        <w:rPr>
          <w:lang w:val="pt-PT"/>
        </w:rPr>
      </w:r>
    </w:p>
    <w:p>
      <w:pPr>
        <w:pStyle w:val="Heading3"/>
        <w:bidi w:val="0"/>
        <w:jc w:val="left"/>
        <w:rPr>
          <w:lang w:val="pt-PT"/>
        </w:rPr>
      </w:pPr>
      <w:r>
        <w:rPr>
          <w:lang w:val="pt-PT"/>
        </w:rPr>
        <w:t>3.1 Enquadramento metodológico e abordagem Research Through Design</w:t>
      </w:r>
    </w:p>
    <w:p>
      <w:pPr>
        <w:pStyle w:val="Normal"/>
        <w:bidi w:val="0"/>
        <w:jc w:val="left"/>
        <w:rPr>
          <w:lang w:val="pt-PT"/>
        </w:rPr>
      </w:pPr>
      <w:r>
        <w:rPr>
          <w:lang w:val="pt-PT"/>
        </w:rPr>
      </w:r>
    </w:p>
    <w:p>
      <w:pPr>
        <w:pStyle w:val="Normal"/>
        <w:bidi w:val="0"/>
        <w:jc w:val="left"/>
        <w:rPr>
          <w:lang w:val="pt-PT"/>
        </w:rPr>
      </w:pPr>
      <w:r>
        <w:rPr>
          <w:lang w:val="pt-PT"/>
        </w:rP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(#ref-frayling-1994); Zimmerman et al., 2007 (#ref-zimmerman-2007)).</w:t>
      </w:r>
    </w:p>
    <w:p>
      <w:pPr>
        <w:pStyle w:val="Normal"/>
        <w:bidi w:val="0"/>
        <w:jc w:val="left"/>
        <w:rPr>
          <w:lang w:val="pt-PT"/>
        </w:rPr>
      </w:pPr>
      <w:r>
        <w:rPr>
          <w:lang w:val="pt-PT"/>
        </w:rP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lang w:val="pt-PT"/>
        </w:rPr>
      </w:pPr>
      <w:r>
        <w:rPr>
          <w:lang w:val="pt-PT"/>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 (#ref-zimmerman-2007)).</w:t>
      </w:r>
    </w:p>
    <w:p>
      <w:pPr>
        <w:pStyle w:val="Normal"/>
        <w:bidi w:val="0"/>
        <w:jc w:val="left"/>
        <w:rPr>
          <w:lang w:val="pt-PT"/>
        </w:rPr>
      </w:pPr>
      <w:r>
        <w:rPr>
          <w:lang w:val="pt-PT"/>
        </w:rPr>
      </w:r>
    </w:p>
    <w:p>
      <w:pPr>
        <w:pStyle w:val="Normal"/>
        <w:bidi w:val="0"/>
        <w:jc w:val="left"/>
        <w:rPr>
          <w:lang w:val="pt-PT"/>
        </w:rPr>
      </w:pPr>
      <w:r>
        <w:rPr>
          <w:lang w:val="pt-PT"/>
        </w:rP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 (#ref-design-council-2020)).</w:t>
      </w:r>
    </w:p>
    <w:p>
      <w:pPr>
        <w:pStyle w:val="Normal"/>
        <w:bidi w:val="0"/>
        <w:jc w:val="left"/>
        <w:rPr>
          <w:lang w:val="pt-PT"/>
        </w:rPr>
      </w:pPr>
      <w:r>
        <w:rPr>
          <w:lang w:val="pt-PT"/>
        </w:rP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181225"/>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16"/>
                    <a:stretch>
                      <a:fillRect/>
                    </a:stretch>
                  </pic:blipFill>
                  <pic:spPr bwMode="auto">
                    <a:xfrm>
                      <a:off x="0" y="0"/>
                      <a:ext cx="5715000" cy="2181225"/>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3.1 — Processo interdisciplinar de desenvolvimento de uma prótese de membro superior impressa em 3D.</w:t>
      </w:r>
    </w:p>
    <w:p>
      <w:pPr>
        <w:pStyle w:val="Normal"/>
        <w:bidi w:val="0"/>
        <w:jc w:val="left"/>
        <w:rPr>
          <w:lang w:val="pt-PT"/>
        </w:rPr>
      </w:pPr>
      <w:r>
        <w:rPr>
          <w:lang w:val="pt-PT"/>
        </w:rPr>
      </w:r>
    </w:p>
    <w:p>
      <w:pPr>
        <w:pStyle w:val="Normal"/>
        <w:bidi w:val="0"/>
        <w:jc w:val="left"/>
        <w:rPr>
          <w:lang w:val="pt-PT"/>
        </w:rPr>
      </w:pPr>
      <w:r>
        <w:rPr>
          <w:lang w:val="pt-PT"/>
        </w:rPr>
        <w:t>Fonte original: Silva, L. A. da, Medola, F. O., Rodrigues, O. V., Rodrigues, A. C. T., &amp; Sandnes, F. E. (2018). Interdisciplinary-based development of user-friendly customized 3D printed upper limb prosthesis. Comunicação em conferência.</w:t>
      </w:r>
      <w:r>
        <w:rPr/>
        <w:commentReference w:id="6"/>
      </w:r>
      <w:r>
        <w:br w:type="page"/>
      </w:r>
    </w:p>
    <w:p>
      <w:pPr>
        <w:pStyle w:val="Normal"/>
        <w:bidi w:val="0"/>
        <w:spacing w:before="0" w:after="0"/>
        <w:jc w:val="left"/>
        <w:rPr>
          <w:lang w:val="pt-PT"/>
        </w:rPr>
      </w:pPr>
      <w:r>
        <w:rPr>
          <w:lang w:val="pt-PT"/>
        </w:rPr>
      </w:r>
    </w:p>
    <w:p>
      <w:pPr>
        <w:pStyle w:val="Heading3"/>
        <w:bidi w:val="0"/>
        <w:jc w:val="left"/>
        <w:rPr>
          <w:lang w:val="pt-PT"/>
        </w:rPr>
      </w:pPr>
      <w:r>
        <w:rPr>
          <w:lang w:val="pt-PT"/>
        </w:rPr>
        <w:t>3.2 O design industrial como prática investigativa</w:t>
      </w:r>
    </w:p>
    <w:p>
      <w:pPr>
        <w:pStyle w:val="Heading3"/>
        <w:bidi w:val="0"/>
        <w:jc w:val="left"/>
        <w:rPr>
          <w:lang w:val="pt-PT"/>
        </w:rPr>
      </w:pPr>
      <w:r>
        <w:rPr>
          <w:lang w:val="pt-PT"/>
        </w:rPr>
      </w:r>
    </w:p>
    <w:p>
      <w:pPr>
        <w:pStyle w:val="Normal"/>
        <w:bidi w:val="0"/>
        <w:jc w:val="left"/>
        <w:rPr>
          <w:lang w:val="pt-PT"/>
        </w:rPr>
      </w:pPr>
      <w:r>
        <w:rPr>
          <w:lang w:val="pt-PT"/>
        </w:rP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 (#ref-cross-1982)).</w:t>
      </w:r>
    </w:p>
    <w:p>
      <w:pPr>
        <w:pStyle w:val="Normal"/>
        <w:bidi w:val="0"/>
        <w:jc w:val="left"/>
        <w:rPr/>
      </w:pPr>
      <w:r>
        <w:rPr>
          <w:lang w:val="pt-PT"/>
        </w:rPr>
        <w:t xml:space="preserve">Partindo deste enquadramento, a investigação assume o desenvolvimento de um sistema paramétrico assistido por inteligência artificial como meio para explorar formas mais configuráveis, reprodutíveis e acessíveis de personalização protésica. </w:t>
      </w:r>
      <w:r>
        <w:rPr/>
        <w:t>O contributo de investigação do projeto não reside apenas na obtenção de uma solução funcional, mas também na explicitação dos critérios, das relações paramétricas e dos mecanismos de decisão que estruturam o processo, tornando-o analisável, aberto à revisão crítica e potencialmente transferível para outros contextos de desenvolvimento.</w:t>
      </w:r>
    </w:p>
    <w:p>
      <w:pPr>
        <w:pStyle w:val="Normal"/>
        <w:bidi w:val="0"/>
        <w:jc w:val="left"/>
        <w:rPr>
          <w:lang w:val="pt-PT"/>
        </w:rPr>
      </w:pPr>
      <w:r>
        <w:rPr>
          <w:lang w:val="pt-PT"/>
        </w:rPr>
        <w:t>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DfAM e processos participativos pode melhorar a usabilidade, o conforto e a aceitação, ao mesmo tempo que reduz a dependência de especialistas.</w:t>
      </w:r>
    </w:p>
    <w:p>
      <w:pPr>
        <w:pStyle w:val="Normal"/>
        <w:bidi w:val="0"/>
        <w:jc w:val="left"/>
        <w:rPr>
          <w:lang w:val="pt-PT"/>
        </w:rPr>
      </w:pPr>
      <w:r>
        <w:rPr>
          <w:lang w:val="pt-PT"/>
        </w:rPr>
      </w:r>
    </w:p>
    <w:p>
      <w:pPr>
        <w:pStyle w:val="Heading3"/>
        <w:bidi w:val="0"/>
        <w:jc w:val="left"/>
        <w:rPr>
          <w:lang w:val="pt-PT"/>
        </w:rPr>
      </w:pPr>
      <w:r>
        <w:rPr>
          <w:lang w:val="pt-PT"/>
        </w:rPr>
        <w:t>3.3 Estrutura metodológica do projeto</w:t>
      </w:r>
    </w:p>
    <w:p>
      <w:pPr>
        <w:pStyle w:val="Heading3"/>
        <w:bidi w:val="0"/>
        <w:jc w:val="left"/>
        <w:rPr>
          <w:lang w:val="pt-PT"/>
        </w:rPr>
      </w:pPr>
      <w:r>
        <w:rPr>
          <w:lang w:val="pt-PT"/>
        </w:rPr>
      </w:r>
    </w:p>
    <w:p>
      <w:pPr>
        <w:pStyle w:val="Normal"/>
        <w:bidi w:val="0"/>
        <w:jc w:val="left"/>
        <w:rPr>
          <w:lang w:val="pt-PT"/>
        </w:rPr>
      </w:pPr>
      <w:r>
        <w:rPr>
          <w:lang w:val="pt-PT"/>
        </w:rP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(#ref-design-council-2020); Zimmerman et al., 2007 (#ref-zimmerman-2007)).</w:t>
      </w:r>
    </w:p>
    <w:p>
      <w:pPr>
        <w:pStyle w:val="Normal"/>
        <w:bidi w:val="0"/>
        <w:jc w:val="left"/>
        <w:rPr>
          <w:lang w:val="pt-PT"/>
        </w:rPr>
      </w:pPr>
      <w:r>
        <w:rPr>
          <w:lang w:val="pt-PT"/>
        </w:rPr>
        <w:t>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Paralelamente, realiza-se uma análise comparativa de soluções open-source existentes no domínio das próteses impressas em 3D, identificando abordagens formais, estruturais e tecnológicas, bem como limitações quanto à personalização e à reprodutibilidade. 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lang w:val="pt-PT"/>
        </w:rPr>
      </w:pPr>
      <w:r>
        <w:rPr>
          <w:lang w:val="pt-PT"/>
        </w:rP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Normal"/>
        <w:bidi w:val="0"/>
        <w:jc w:val="left"/>
        <w:rPr>
          <w:lang w:val="pt-PT"/>
        </w:rPr>
      </w:pPr>
      <w:r>
        <w:rPr>
          <w:lang w:val="pt-PT"/>
        </w:rPr>
        <w:t>A fase empírica materializa a operacionalização do conhecimento gerado. Os modelos paramétricos são testados com diferentes perfis antropométricos provenientes de bases de dados públicas, e protótipos físicos são produzidos por meio de impressão 3D. Esta fase permite avaliar a integridade estrutural, a montagem, a ajustabilidade e a coerência formal, bem como verificar a consistência do sistema perante variações dimensionais.</w:t>
      </w:r>
    </w:p>
    <w:p>
      <w:pPr>
        <w:pStyle w:val="Normal"/>
        <w:bidi w:val="0"/>
        <w:jc w:val="left"/>
        <w:rPr>
          <w:lang w:val="pt-PT"/>
        </w:rPr>
      </w:pPr>
      <w:r>
        <w:rPr/>
        <w:commentReference w:id="7"/>
      </w:r>
    </w:p>
    <w:p>
      <w:pPr>
        <w:pStyle w:val="Heading3"/>
        <w:bidi w:val="0"/>
        <w:jc w:val="left"/>
        <w:rPr>
          <w:lang w:val="pt-PT"/>
        </w:rPr>
      </w:pPr>
      <w:r>
        <w:rPr>
          <w:lang w:val="pt-PT"/>
        </w:rPr>
        <w:t>3.4 Métodos de recolha e análise de dados</w:t>
      </w:r>
    </w:p>
    <w:p>
      <w:pPr>
        <w:pStyle w:val="Normal"/>
        <w:bidi w:val="0"/>
        <w:jc w:val="left"/>
        <w:rPr>
          <w:lang w:val="pt-PT"/>
        </w:rPr>
      </w:pPr>
      <w:r>
        <w:rPr>
          <w:lang w:val="pt-PT"/>
        </w:rPr>
        <w:t xml:space="preserve">A investigação recorre a métodos qualitativos e experimentais, coerentes com a natureza prática do </w:t>
      </w:r>
      <w:r>
        <w:rPr>
          <w:i/>
          <w:iCs/>
          <w:lang w:val="pt-PT"/>
        </w:rPr>
        <w:t>RTD</w:t>
      </w:r>
      <w:r>
        <w:rPr>
          <w:lang w:val="pt-PT"/>
        </w:rPr>
        <w:t>.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lang w:val="pt-PT"/>
        </w:rPr>
      </w:pPr>
      <w:r>
        <w:rPr>
          <w:lang w:val="pt-PT"/>
        </w:rP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Normal"/>
        <w:bidi w:val="0"/>
        <w:jc w:val="left"/>
        <w:rPr>
          <w:lang w:val="pt-PT"/>
        </w:rPr>
      </w:pPr>
      <w:r>
        <w:rPr>
          <w:lang w:val="pt-PT"/>
        </w:rPr>
        <w:t>Durante o desenvolvimento do sistema paramétrico, os dados assumem natureza técnica e projetual, incluindo parâmetros geométricos, relações dimensionais, tempos de fabrico, consumo de material e desempenho estrutural dos protótipos</w:t>
      </w:r>
      <w:r>
        <w:rPr/>
        <w:commentReference w:id="8"/>
      </w:r>
      <w:r>
        <w:rPr>
          <w:lang w:val="pt-PT"/>
        </w:rPr>
        <w:t>. Estes dados são analisados de forma iterativa, permitindo reformular o modelo paramétrico e otimizar o seu desempenho.</w:t>
      </w:r>
    </w:p>
    <w:p>
      <w:pPr>
        <w:pStyle w:val="Normal"/>
        <w:bidi w:val="0"/>
        <w:jc w:val="left"/>
        <w:rPr>
          <w:lang w:val="pt-PT"/>
        </w:rPr>
      </w:pPr>
      <w:r>
        <w:rPr>
          <w:lang w:val="pt-PT"/>
        </w:rPr>
        <w:t>Na fase de prototipagem, a análise incide sobre os critérios de exequibilidade de fabrico, robustez estrutural, coerência dimensional e facilidade de montagem. 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Normal"/>
        <w:bidi w:val="0"/>
        <w:jc w:val="left"/>
        <w:rPr>
          <w:lang w:val="pt-PT"/>
        </w:rPr>
      </w:pPr>
      <w:r>
        <w:rPr>
          <w:lang w:val="pt-PT"/>
        </w:rP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1905000"/>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17"/>
                    <a:stretch>
                      <a:fillRect/>
                    </a:stretch>
                  </pic:blipFill>
                  <pic:spPr bwMode="auto">
                    <a:xfrm>
                      <a:off x="0" y="0"/>
                      <a:ext cx="5715000" cy="19050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3.2 — Exemplo de recolha dimensional para ajuste de prótese impressa em 3D.</w:t>
      </w:r>
    </w:p>
    <w:p>
      <w:pPr>
        <w:pStyle w:val="Normal"/>
        <w:bidi w:val="0"/>
        <w:jc w:val="left"/>
        <w:rPr>
          <w:lang w:val="pt-PT"/>
        </w:rPr>
      </w:pPr>
      <w:r>
        <w:rPr>
          <w:lang w:val="pt-PT"/>
        </w:rPr>
        <w:t>Fonte original: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lang w:val="pt-PT"/>
        </w:rPr>
      </w:pPr>
      <w:r>
        <w:rPr>
          <w:lang w:val="pt-PT"/>
        </w:rPr>
      </w:r>
    </w:p>
    <w:p>
      <w:pPr>
        <w:pStyle w:val="Heading3"/>
        <w:bidi w:val="0"/>
        <w:jc w:val="left"/>
        <w:rPr>
          <w:lang w:val="pt-PT"/>
        </w:rPr>
      </w:pPr>
      <w:r>
        <w:rPr>
          <w:lang w:val="pt-PT"/>
        </w:rPr>
        <w:t>3.5 Critérios de avaliação e limitações metodológicas</w:t>
      </w:r>
    </w:p>
    <w:p>
      <w:pPr>
        <w:pStyle w:val="Heading3"/>
        <w:bidi w:val="0"/>
        <w:jc w:val="left"/>
        <w:rPr>
          <w:lang w:val="pt-PT"/>
        </w:rPr>
      </w:pPr>
      <w:r>
        <w:rPr>
          <w:lang w:val="pt-PT"/>
        </w:rPr>
      </w:r>
    </w:p>
    <w:p>
      <w:pPr>
        <w:pStyle w:val="Normal"/>
        <w:bidi w:val="0"/>
        <w:jc w:val="left"/>
        <w:rPr>
          <w:lang w:val="pt-PT"/>
        </w:rPr>
      </w:pPr>
      <w:r>
        <w:rPr>
          <w:lang w:val="pt-PT"/>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 (#ref-zimmerman-2007)).</w:t>
      </w:r>
    </w:p>
    <w:p>
      <w:pPr>
        <w:pStyle w:val="Normal"/>
        <w:bidi w:val="0"/>
        <w:jc w:val="left"/>
        <w:rPr>
          <w:lang w:val="pt-PT"/>
        </w:rPr>
      </w:pPr>
      <w:r>
        <w:rPr>
          <w:lang w:val="pt-PT"/>
        </w:rPr>
        <w:t>No caso específico da parametrização assistida por IA, a avaliação foi organizada em dois patamares. O primeiro incidiu sobre a plausibilidade numérica das sugestões, verificando conformidade com o esquema de parâmetros, respeito pelos intervalos mínimos e máximos, proporcionalidade entre dedos, adequação etária e coerência de lateralidade em amputações unilaterais. O segundo prolongou essa verificação até à geometria exportada, testando se os valores sugeridos eram efetivamente aplicados nos modelo</w:t>
      </w:r>
      <w:commentRangeStart w:id="9"/>
      <w:r>
        <w:rPr>
          <w:lang w:val="pt-PT"/>
        </w:rPr>
        <w:t xml:space="preserve">s OpenSCAD/WebAssembly </w:t>
      </w:r>
      <w:r>
        <w:rPr>
          <w:lang w:val="pt-PT"/>
        </w:rPr>
      </w:r>
      <w:commentRangeEnd w:id="9"/>
      <w:r>
        <w:commentReference w:id="9"/>
      </w:r>
      <w:r>
        <w:rPr>
          <w:lang w:val="pt-PT"/>
        </w:rPr>
        <w:t xml:space="preserve">e se os ficheiros </w:t>
      </w:r>
      <w:commentRangeStart w:id="10"/>
      <w:r>
        <w:rPr>
          <w:lang w:val="pt-PT"/>
        </w:rPr>
        <w:t>3MF e STL</w:t>
      </w:r>
      <w:r>
        <w:rPr>
          <w:lang w:val="pt-PT"/>
        </w:rPr>
      </w:r>
      <w:commentRangeEnd w:id="10"/>
      <w:r>
        <w:commentReference w:id="10"/>
      </w:r>
      <w:r>
        <w:rPr>
          <w:lang w:val="pt-PT"/>
        </w:rP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Normal"/>
        <w:bidi w:val="0"/>
        <w:jc w:val="left"/>
        <w:rPr>
          <w:lang w:val="pt-PT"/>
        </w:rPr>
      </w:pPr>
      <w:r>
        <w:rPr>
          <w:lang w:val="pt-PT"/>
        </w:rP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lang w:val="pt-PT"/>
        </w:rPr>
      </w:pPr>
      <w:r>
        <w:rPr>
          <w:lang w:val="pt-PT"/>
        </w:rP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Normal"/>
        <w:bidi w:val="0"/>
        <w:jc w:val="left"/>
        <w:rPr>
          <w:lang w:val="pt-PT"/>
        </w:rPr>
      </w:pPr>
      <w:r>
        <w:rPr>
          <w:lang w:val="pt-PT"/>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de apoio.</w:t>
      </w:r>
    </w:p>
    <w:p>
      <w:pPr>
        <w:pStyle w:val="Heading2"/>
        <w:bidi w:val="0"/>
        <w:jc w:val="left"/>
        <w:rPr>
          <w:lang w:val="pt-PT"/>
        </w:rPr>
      </w:pPr>
      <w:r>
        <w:rPr>
          <w:lang w:val="pt-PT"/>
        </w:rPr>
      </w:r>
    </w:p>
    <w:p>
      <w:pPr>
        <w:pStyle w:val="Heading2"/>
        <w:bidi w:val="0"/>
        <w:jc w:val="left"/>
        <w:rPr>
          <w:lang w:val="pt-PT"/>
        </w:rPr>
      </w:pPr>
      <w:r>
        <w:rPr>
          <w:lang w:val="pt-PT"/>
        </w:rPr>
        <w:t>Capítulo 4 —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4.1 Definição do problema de design e requisitos</w:t>
      </w:r>
    </w:p>
    <w:p>
      <w:pPr>
        <w:pStyle w:val="Normal"/>
        <w:bidi w:val="0"/>
        <w:jc w:val="left"/>
        <w:rPr>
          <w:lang w:val="pt-PT"/>
        </w:rPr>
      </w:pPr>
      <w:r>
        <w:rPr>
          <w:lang w:val="pt-PT"/>
        </w:rPr>
      </w:r>
    </w:p>
    <w:p>
      <w:pPr>
        <w:pStyle w:val="Normal"/>
        <w:bidi w:val="0"/>
        <w:jc w:val="left"/>
        <w:rPr>
          <w:lang w:val="pt-PT"/>
        </w:rPr>
      </w:pPr>
      <w:r>
        <w:rPr>
          <w:lang w:val="pt-PT"/>
        </w:rPr>
        <w:t xml:space="preserve">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(#ref-cordella-2016); Guo, 2025 (#ref-guo-2025); Peerdeman et al., 2011 (#ref-peerdeman-2011)). Este desafio não pode ser reduzido à mera replicação formal da mão ou do segmento ausente. </w:t>
      </w:r>
      <w:r>
        <w:rPr/>
        <w:t>Implica, pelo contrário, a conceção de dispositivos capazes de conciliar funcionalidade, conforto, leveza, funcionamento consistente, controlo inteligível, aceitabilidade estética e custos compatíveis com a produção, adaptação, manutenção e acesso continuado à prótese, num contexto em que continuam a registar-se taxas elevadas de rejeição e abandono.</w:t>
      </w:r>
    </w:p>
    <w:p>
      <w:pPr>
        <w:pStyle w:val="Normal"/>
        <w:bidi w:val="0"/>
        <w:jc w:val="left"/>
        <w:rPr>
          <w:lang w:val="pt-PT"/>
        </w:rPr>
      </w:pPr>
      <w:r>
        <w:rPr>
          <w:lang w:val="pt-PT"/>
        </w:rPr>
        <w:t>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(#ref-biddiss-2007); Cordella et al., 2016 (#ref-cordella-2016); Peerdeman et al., 2011 (#ref-peerdeman-2011)).</w:t>
      </w:r>
    </w:p>
    <w:p>
      <w:pPr>
        <w:pStyle w:val="Normal"/>
        <w:bidi w:val="0"/>
        <w:jc w:val="left"/>
        <w:rPr>
          <w:lang w:val="pt-PT"/>
        </w:rPr>
      </w:pPr>
      <w:r>
        <w:rPr>
          <w:lang w:val="pt-PT"/>
        </w:rP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Normal"/>
        <w:bidi w:val="0"/>
        <w:jc w:val="left"/>
        <w:rPr>
          <w:lang w:val="pt-PT"/>
        </w:rPr>
      </w:pPr>
      <w:r>
        <w:rPr>
          <w:lang w:val="pt-PT"/>
        </w:rP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(#ref-biddiss-2007); Brack &amp; Amalu, 2021 (#ref-brack-2021); Henao et al., 2025 (#ref-henao-2025); Walker et al., 2019 (#ref-walker-2019)).</w:t>
      </w:r>
    </w:p>
    <w:p>
      <w:pPr>
        <w:pStyle w:val="Normal"/>
        <w:bidi w:val="0"/>
        <w:jc w:val="left"/>
        <w:rPr>
          <w:lang w:val="pt-PT"/>
        </w:rPr>
      </w:pPr>
      <w:r>
        <w:rPr>
          <w:lang w:val="pt-PT"/>
        </w:rP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(#ref-cordella-2016); Hofmann et al., 2016 (#ref-hofmann-2016); Jones et al., 2023 (#ref-jones-2023)).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(#ref-henao-2025); Peerdeman et al., 2011 (#ref-peerdeman-2011); Walker et al., 2019 (#ref-walker-2019)). </w:t>
      </w:r>
      <w:r>
        <w:rPr/>
        <w:commentReference w:id="11"/>
      </w:r>
      <w:r>
        <w:rPr>
          <w:lang w:val="pt-PT"/>
        </w:rP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BodyText"/>
        <w:bidi w:val="0"/>
        <w:spacing w:lineRule="auto" w:line="276" w:before="0" w:after="140"/>
        <w:jc w:val="left"/>
        <w:rPr>
          <w:lang w:val="pt-PT"/>
        </w:rPr>
      </w:pPr>
      <w:r>
        <w:rPr>
          <w:lang w:val="pt-PT"/>
        </w:rP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BodyText"/>
        <w:bidi w:val="0"/>
        <w:spacing w:lineRule="auto" w:line="276" w:before="0" w:after="140"/>
        <w:jc w:val="left"/>
        <w:rPr>
          <w:lang w:val="pt-PT"/>
        </w:rPr>
      </w:pPr>
      <w:r>
        <w:rPr>
          <w:lang w:val="pt-PT"/>
        </w:rPr>
        <w:t>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escalonamento.</w:t>
      </w:r>
    </w:p>
    <w:p>
      <w:pPr>
        <w:pStyle w:val="BodyText"/>
        <w:bidi w:val="0"/>
        <w:spacing w:lineRule="auto" w:line="276" w:before="0" w:after="140"/>
        <w:jc w:val="left"/>
        <w:rPr>
          <w:lang w:val="pt-PT"/>
        </w:rPr>
      </w:pPr>
      <w:r>
        <w:rPr>
          <w:lang w:val="pt-PT"/>
        </w:rP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(#ref-brack-2021); Herneth et al., 2024 (#ref-herneth-2024); Jones et al., 2023 (#ref-jones-2023)).</w:t>
      </w:r>
    </w:p>
    <w:p>
      <w:pPr>
        <w:pStyle w:val="Normal"/>
        <w:bidi w:val="0"/>
        <w:jc w:val="left"/>
        <w:rPr>
          <w:lang w:val="pt-PT"/>
        </w:rPr>
      </w:pPr>
      <w:r>
        <w:rPr>
          <w:lang w:val="pt-PT"/>
        </w:rPr>
      </w:r>
    </w:p>
    <w:p>
      <w:pPr>
        <w:pStyle w:val="Heading3"/>
        <w:bidi w:val="0"/>
        <w:jc w:val="left"/>
        <w:rPr>
          <w:lang w:val="pt-PT"/>
        </w:rPr>
      </w:pPr>
      <w:r>
        <w:rPr>
          <w:lang w:val="pt-PT"/>
        </w:rPr>
        <w:t>4.2 Parâmetros antropométricos e estrutura do modelo</w:t>
      </w:r>
    </w:p>
    <w:p>
      <w:pPr>
        <w:pStyle w:val="Heading3"/>
        <w:bidi w:val="0"/>
        <w:jc w:val="left"/>
        <w:rPr>
          <w:lang w:val="pt-PT"/>
        </w:rPr>
      </w:pPr>
      <w:r>
        <w:rPr>
          <w:lang w:val="pt-PT"/>
        </w:rPr>
      </w:r>
    </w:p>
    <w:p>
      <w:pPr>
        <w:pStyle w:val="Normal"/>
        <w:bidi w:val="0"/>
        <w:jc w:val="left"/>
        <w:rPr>
          <w:lang w:val="pt-PT"/>
        </w:rPr>
      </w:pPr>
      <w:r>
        <w:rPr>
          <w:lang w:val="pt-PT"/>
        </w:rP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(#ref-chatzioglou-2024); Moreo, 2016 (#ref-moreo-2016); Rodríguez-Vega &amp; Rodríguez-Vega, 2024 (#ref-rodriguez-vega-2024)).</w:t>
      </w:r>
    </w:p>
    <w:p>
      <w:pPr>
        <w:pStyle w:val="Normal"/>
        <w:bidi w:val="0"/>
        <w:jc w:val="left"/>
        <w:rPr>
          <w:lang w:val="pt-PT"/>
        </w:rPr>
      </w:pPr>
      <w:r>
        <w:rPr>
          <w:lang w:val="pt-PT"/>
        </w:rP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bidi w:val="0"/>
        <w:jc w:val="left"/>
        <w:rPr>
          <w:lang w:val="pt-PT"/>
        </w:rPr>
      </w:pPr>
      <w:r>
        <w:rPr>
          <w:lang w:val="pt-PT"/>
        </w:rPr>
      </w:r>
    </w:p>
    <w:p>
      <w:pPr>
        <w:pStyle w:val="Normal"/>
        <w:bidi w:val="0"/>
        <w:jc w:val="left"/>
        <w:rPr>
          <w:lang w:val="pt-PT"/>
        </w:rPr>
      </w:pPr>
      <w:r>
        <w:rP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18"/>
                    <a:stretch>
                      <a:fillRect/>
                    </a:stretch>
                  </pic:blipFill>
                  <pic:spPr bwMode="auto">
                    <a:xfrm>
                      <a:off x="0" y="0"/>
                      <a:ext cx="4667250" cy="3467100"/>
                    </a:xfrm>
                    <a:prstGeom prst="rect">
                      <a:avLst/>
                    </a:prstGeom>
                    <a:noFill/>
                  </pic:spPr>
                </pic:pic>
              </a:graphicData>
            </a:graphic>
          </wp:inline>
        </w:drawing>
      </w:r>
    </w:p>
    <w:p>
      <w:pPr>
        <w:pStyle w:val="Normal"/>
        <w:bidi w:val="0"/>
        <w:jc w:val="left"/>
        <w:rPr>
          <w:lang w:val="pt-PT"/>
        </w:rPr>
      </w:pPr>
      <w:r>
        <w:rPr>
          <w:lang w:val="pt-PT"/>
        </w:rPr>
        <w:t>Figura 4.1 — Parâmetros antropométricos utilizados na modelação paramétrica de dedos protésicos.</w:t>
      </w:r>
    </w:p>
    <w:p>
      <w:pPr>
        <w:pStyle w:val="Normal"/>
        <w:bidi w:val="0"/>
        <w:jc w:val="left"/>
        <w:rPr/>
      </w:pPr>
      <w:r>
        <w:rPr>
          <w:lang w:val="pt-PT"/>
        </w:rP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19">
        <w:r>
          <w:rPr>
            <w:rStyle w:val="Hyperlink"/>
            <w:lang w:val="pt-PT"/>
          </w:rPr>
          <w:t>https://doi.org/10.1109/BioRob60516.2024.10719909</w:t>
        </w:r>
      </w:hyperlink>
    </w:p>
    <w:p>
      <w:pPr>
        <w:pStyle w:val="Normal"/>
        <w:bidi w:val="0"/>
        <w:jc w:val="left"/>
        <w:rPr>
          <w:u w:val="double"/>
        </w:rPr>
      </w:pPr>
      <w:r>
        <w:rPr>
          <w:u w:val="double"/>
        </w:rPr>
      </w:r>
    </w:p>
    <w:p>
      <w:pPr>
        <w:pStyle w:val="Normal"/>
        <w:bidi w:val="0"/>
        <w:jc w:val="left"/>
        <w:rPr>
          <w:lang w:val="pt-PT"/>
        </w:rPr>
      </w:pPr>
      <w:r>
        <w:rPr>
          <w:lang w:val="pt-PT"/>
        </w:rP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(#ref-chatzioglou-2024); Nag et al., 2003 (#ref-nag-2003)).</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4.1 — Principais parâmetros antropométricos da mão e do membro superior relevantes para modelação paramétrica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do encaixe</w:t>
            </w:r>
          </w:p>
        </w:tc>
      </w:tr>
    </w:tbl>
    <w:p>
      <w:pPr>
        <w:pStyle w:val="Heading3"/>
        <w:bidi w:val="0"/>
        <w:jc w:val="left"/>
        <w:rPr>
          <w:lang w:val="pt-PT"/>
        </w:rPr>
      </w:pPr>
      <w:r>
        <w:rPr>
          <w:lang w:val="pt-PT"/>
        </w:rPr>
      </w:r>
    </w:p>
    <w:p>
      <w:pPr>
        <w:pStyle w:val="Heading3"/>
        <w:bidi w:val="0"/>
        <w:jc w:val="left"/>
        <w:rPr>
          <w:lang w:val="pt-PT"/>
        </w:rPr>
      </w:pPr>
      <w:r>
        <w:rPr>
          <w:lang w:val="pt-PT"/>
        </w:rPr>
        <w:t>Conjuntos mínimos de parâmetros por nível de amputação</w:t>
      </w:r>
    </w:p>
    <w:p>
      <w:pPr>
        <w:pStyle w:val="Normal"/>
        <w:bidi w:val="0"/>
        <w:jc w:val="left"/>
        <w:rPr>
          <w:lang w:val="pt-PT"/>
        </w:rPr>
      </w:pPr>
      <w:r>
        <w:rPr>
          <w:lang w:val="pt-PT"/>
        </w:rPr>
      </w:r>
    </w:p>
    <w:p>
      <w:pPr>
        <w:pStyle w:val="Normal"/>
        <w:bidi w:val="0"/>
        <w:jc w:val="left"/>
        <w:rPr>
          <w:lang w:val="pt-PT"/>
        </w:rPr>
      </w:pPr>
      <w:r>
        <w:rPr>
          <w:lang w:val="pt-PT"/>
        </w:rP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4.2 — Conjuntos mínimos de parâmetros por nível de amputação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 comprimento dos dedos</w:t>
            </w:r>
          </w:p>
        </w:tc>
      </w:tr>
    </w:tbl>
    <w:p>
      <w:pPr>
        <w:pStyle w:val="Normal"/>
        <w:bidi w:val="0"/>
        <w:jc w:val="left"/>
        <w:rPr>
          <w:lang w:val="pt-PT"/>
        </w:rPr>
      </w:pPr>
      <w:r>
        <w:rPr>
          <w:lang w:val="pt-PT"/>
        </w:rPr>
      </w:r>
    </w:p>
    <w:p>
      <w:pPr>
        <w:pStyle w:val="Normal"/>
        <w:bidi w:val="0"/>
        <w:jc w:val="left"/>
        <w:rPr>
          <w:lang w:val="pt-PT"/>
        </w:rPr>
      </w:pPr>
      <w:r>
        <w:rPr>
          <w:lang w:val="pt-PT"/>
        </w:rP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Normal"/>
        <w:bidi w:val="0"/>
        <w:jc w:val="left"/>
        <w:rPr>
          <w:lang w:val="pt-PT"/>
        </w:rPr>
      </w:pPr>
      <w:r>
        <w:rPr>
          <w:lang w:val="pt-PT"/>
        </w:rPr>
      </w:r>
    </w:p>
    <w:p>
      <w:pPr>
        <w:pStyle w:val="Heading3"/>
        <w:bidi w:val="0"/>
        <w:jc w:val="left"/>
        <w:rPr>
          <w:lang w:val="pt-PT"/>
        </w:rPr>
      </w:pPr>
      <w:r>
        <w:rPr>
          <w:lang w:val="pt-PT"/>
        </w:rPr>
        <w:t>Limitações do redimensionamento proporcional</w:t>
      </w:r>
    </w:p>
    <w:p>
      <w:pPr>
        <w:pStyle w:val="Heading3"/>
        <w:bidi w:val="0"/>
        <w:jc w:val="left"/>
        <w:rPr>
          <w:lang w:val="pt-PT"/>
        </w:rPr>
      </w:pPr>
      <w:r>
        <w:rPr>
          <w:lang w:val="pt-PT"/>
        </w:rPr>
      </w:r>
    </w:p>
    <w:p>
      <w:pPr>
        <w:pStyle w:val="Normal"/>
        <w:bidi w:val="0"/>
        <w:jc w:val="left"/>
        <w:rPr>
          <w:lang w:val="pt-PT"/>
        </w:rPr>
      </w:pPr>
      <w:r>
        <w:rPr>
          <w:lang w:val="pt-PT"/>
        </w:rPr>
        <w:t>Uma limitação recorrente em abordagens simplificadas de modelação é o uso de redimensionamento proporcional (</w:t>
      </w:r>
      <w:r>
        <w:rPr>
          <w:i/>
          <w:iCs/>
          <w:lang w:val="pt-PT"/>
        </w:rPr>
        <w:t>uniform scaling</w:t>
      </w:r>
      <w:r>
        <w:rPr>
          <w:lang w:val="pt-PT"/>
        </w:rP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(#ref-lim-2018); Nag et al., 2003 (#ref-nag-2003); Rodríguez-Vega &amp; Rodríguez-Vega, 2024 (#ref-rodriguez-vega-2024)).</w:t>
      </w:r>
    </w:p>
    <w:p>
      <w:pPr>
        <w:pStyle w:val="Normal"/>
        <w:bidi w:val="0"/>
        <w:jc w:val="left"/>
        <w:rPr>
          <w:lang w:val="pt-PT"/>
        </w:rPr>
      </w:pPr>
      <w:r>
        <w:rPr>
          <w:lang w:val="pt-PT"/>
        </w:rPr>
      </w:r>
    </w:p>
    <w:p>
      <w:pPr>
        <w:pStyle w:val="Normal"/>
        <w:bidi w:val="0"/>
        <w:jc w:val="left"/>
        <w:rPr>
          <w:lang w:val="pt-PT"/>
        </w:rPr>
      </w:pPr>
      <w:r>
        <w:rPr>
          <w:lang w:val="pt-PT"/>
        </w:rP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705100"/>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20"/>
                    <a:stretch>
                      <a:fillRect/>
                    </a:stretch>
                  </pic:blipFill>
                  <pic:spPr bwMode="auto">
                    <a:xfrm>
                      <a:off x="0" y="0"/>
                      <a:ext cx="5715000" cy="27051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4.2 — Comparação entre o escalonamento uniforme e a modelação paramétrica de dedo protésico.</w:t>
      </w:r>
    </w:p>
    <w:p>
      <w:pPr>
        <w:pStyle w:val="Normal"/>
        <w:bidi w:val="0"/>
        <w:jc w:val="left"/>
        <w:rPr/>
      </w:pPr>
      <w:r>
        <w:rPr>
          <w:lang w:val="pt-PT"/>
        </w:rPr>
        <w:t xml:space="preserve">Adaptado de fonte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21">
        <w:r>
          <w:rPr>
            <w:rStyle w:val="Hyperlink"/>
            <w:lang w:val="pt-PT"/>
          </w:rPr>
          <w:t>https://doi.org/10.1115/DETC2018-85645</w:t>
        </w:r>
      </w:hyperlink>
    </w:p>
    <w:p>
      <w:pPr>
        <w:pStyle w:val="Normal"/>
        <w:bidi w:val="0"/>
        <w:jc w:val="left"/>
        <w:rPr>
          <w:lang w:val="pt-PT"/>
        </w:rPr>
      </w:pPr>
      <w:r>
        <w:rPr>
          <w:lang w:val="pt-PT"/>
        </w:rPr>
      </w:r>
    </w:p>
    <w:p>
      <w:pPr>
        <w:pStyle w:val="Heading3"/>
        <w:bidi w:val="0"/>
        <w:jc w:val="left"/>
        <w:rPr>
          <w:lang w:val="pt-PT"/>
        </w:rPr>
      </w:pPr>
      <w:r>
        <w:rPr>
          <w:lang w:val="pt-PT"/>
        </w:rPr>
        <w:t>Métodos de recolha de dados antropométricos</w:t>
      </w:r>
    </w:p>
    <w:p>
      <w:pPr>
        <w:pStyle w:val="Heading3"/>
        <w:bidi w:val="0"/>
        <w:jc w:val="left"/>
        <w:rPr>
          <w:lang w:val="pt-PT"/>
        </w:rPr>
      </w:pPr>
      <w:r>
        <w:rPr>
          <w:lang w:val="pt-PT"/>
        </w:rPr>
      </w:r>
    </w:p>
    <w:p>
      <w:pPr>
        <w:pStyle w:val="Normal"/>
        <w:bidi w:val="0"/>
        <w:jc w:val="left"/>
        <w:rPr>
          <w:lang w:val="pt-PT"/>
        </w:rPr>
      </w:pPr>
      <w:r>
        <w:rPr>
          <w:lang w:val="pt-PT"/>
        </w:rPr>
        <w:t>A recolha de dados pode ser realizada por diferentes métodos, com implicações diretas na precisão das medições e na sua tradução para parâmetros de projeto.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(#ref-cklacandr-2022); Herbst et al., 2021 (#ref-herbst-2021)).</w:t>
      </w:r>
    </w:p>
    <w:p>
      <w:pPr>
        <w:pStyle w:val="Normal"/>
        <w:bidi w:val="0"/>
        <w:jc w:val="left"/>
        <w:rPr>
          <w:lang w:val="pt-PT"/>
        </w:rPr>
      </w:pPr>
      <w:r>
        <w:rPr>
          <w:lang w:val="pt-PT"/>
        </w:rPr>
      </w:r>
    </w:p>
    <w:p>
      <w:pPr>
        <w:pStyle w:val="Normal"/>
        <w:bidi w:val="0"/>
        <w:jc w:val="left"/>
        <w:rPr>
          <w:lang w:val="pt-PT"/>
        </w:rPr>
      </w:pPr>
      <w:r>
        <w:rPr>
          <w:lang w:val="pt-PT"/>
        </w:rPr>
        <w:t>Tabela 4.3 — Métodos de recolha de dados antropométricos e suas características</w:t>
      </w:r>
    </w:p>
    <w:tbl>
      <w:tblPr>
        <w:tblW w:w="5000" w:type="pct"/>
        <w:jc w:val="left"/>
        <w:tblInd w:w="108" w:type="dxa"/>
        <w:tblLayout w:type="fixed"/>
        <w:tblCellMar>
          <w:top w:w="0" w:type="dxa"/>
          <w:left w:w="108" w:type="dxa"/>
          <w:bottom w:w="0" w:type="dxa"/>
          <w:right w:w="108" w:type="dxa"/>
        </w:tblCellMar>
      </w:tblPr>
      <w:tblGrid>
        <w:gridCol w:w="1805"/>
        <w:gridCol w:w="1805"/>
        <w:gridCol w:w="1801"/>
        <w:gridCol w:w="1807"/>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lineares</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Simplicidade, baixo custo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Representação geométrica limitada</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superficial</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Elevada precisão, rapidez</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Equipamento e processamento necessários</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interna e externa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anatómicos detalhados</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Alto custo e menor acessibilidade</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aproximada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Acessível, potencial remoto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Precisão variável</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Aquisição preliminar</w:t>
            </w:r>
          </w:p>
        </w:tc>
      </w:tr>
    </w:tbl>
    <w:p>
      <w:pPr>
        <w:pStyle w:val="Heading3"/>
        <w:bidi w:val="0"/>
        <w:jc w:val="left"/>
        <w:rPr>
          <w:lang w:val="pt-PT"/>
        </w:rPr>
      </w:pPr>
      <w:r>
        <w:rPr>
          <w:lang w:val="pt-PT"/>
        </w:rPr>
      </w:r>
    </w:p>
    <w:p>
      <w:pPr>
        <w:pStyle w:val="Heading3"/>
        <w:bidi w:val="0"/>
        <w:jc w:val="left"/>
        <w:rPr>
          <w:lang w:val="pt-PT"/>
        </w:rPr>
      </w:pPr>
      <w:r>
        <w:rPr>
          <w:lang w:val="pt-PT"/>
        </w:rPr>
        <w:t>Bases de dados antropométricas, extração e normalização</w:t>
      </w:r>
    </w:p>
    <w:p>
      <w:pPr>
        <w:pStyle w:val="Heading3"/>
        <w:bidi w:val="0"/>
        <w:jc w:val="left"/>
        <w:rPr>
          <w:lang w:val="pt-PT"/>
        </w:rPr>
      </w:pPr>
      <w:r>
        <w:rPr>
          <w:lang w:val="pt-PT"/>
        </w:rPr>
      </w:r>
    </w:p>
    <w:p>
      <w:pPr>
        <w:pStyle w:val="Normal"/>
        <w:bidi w:val="0"/>
        <w:jc w:val="left"/>
        <w:rPr>
          <w:lang w:val="pt-PT"/>
        </w:rPr>
      </w:pPr>
      <w:r>
        <w:rPr>
          <w:lang w:val="pt-PT"/>
        </w:rP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Normal"/>
        <w:bidi w:val="0"/>
        <w:jc w:val="left"/>
        <w:rPr>
          <w:lang w:val="pt-PT"/>
        </w:rPr>
      </w:pPr>
      <w:r>
        <w:rPr>
          <w:lang w:val="pt-PT"/>
        </w:rP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Normal"/>
        <w:bidi w:val="0"/>
        <w:jc w:val="left"/>
        <w:rPr>
          <w:lang w:val="pt-PT"/>
        </w:rPr>
      </w:pPr>
      <w:r>
        <w:rPr>
          <w:lang w:val="pt-PT"/>
        </w:rP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 (#ref-moreo-2016)).</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r>
    </w:p>
    <w:p>
      <w:pPr>
        <w:pStyle w:val="Normal"/>
        <w:bidi w:val="0"/>
        <w:jc w:val="left"/>
        <w:rPr>
          <w:lang w:val="pt-PT"/>
        </w:rPr>
      </w:pPr>
      <w:r>
        <w:rPr>
          <w:lang w:val="pt-PT"/>
        </w:rPr>
        <w:t>Tabela 4.4 — Fontes integradas na base local de dados antropométricos</w:t>
      </w:r>
    </w:p>
    <w:tbl>
      <w:tblPr>
        <w:tblW w:w="5000" w:type="pct"/>
        <w:jc w:val="left"/>
        <w:tblInd w:w="117" w:type="dxa"/>
        <w:tblLayout w:type="fixed"/>
        <w:tblCellMar>
          <w:top w:w="0" w:type="dxa"/>
          <w:left w:w="108" w:type="dxa"/>
          <w:bottom w:w="0" w:type="dxa"/>
          <w:right w:w="108" w:type="dxa"/>
        </w:tblCellMar>
      </w:tblPr>
      <w:tblGrid>
        <w:gridCol w:w="2241"/>
        <w:gridCol w:w="2614"/>
        <w:gridCol w:w="2529"/>
        <w:gridCol w:w="1642"/>
      </w:tblGrid>
      <w:tr>
        <w:trPr>
          <w:tblHeader w:val="true"/>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Fonte</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e cobertura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extraídos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Registos</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kima1993,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Crianças neerlandesas, 2–12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528</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geron1998,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neerlandeses, 50–80+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210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dined2004,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neerlandeses, 20–60+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sexo e idade</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Rodríguez-Vega e Rodríguez-Vega (2024)</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mexicana, 15–59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comprimento da palma, largura da mão e diâmetro de preensão, com valores gerais e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360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Nag et al. (2003)</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Mulheres indianas trabalhadoras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51 dimensões da mão, incluindo comprimentos, larguras, circunferências, profundidades e aberturas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255</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Gordon et al. (2015)</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Militares norte-americanos do ANSUR II</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da mão, punho e antebraço extraídas das estatísticas públicas do inquérito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154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Chatzioglou et al. (2024)</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Jovens adultos da Turquia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dos cinco dedos da mão direita, por sexo e combinado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56</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Hu et al. (2007)</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chineses da área de Pequim</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Larguras, comprimento da mão, comprimento do dedo e comprimento antebraço-ponta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Ibiwari et al. (2025)</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Atletas universitários da Nigéria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comprimento palmar e 3.º dedo, por modalidade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32</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Anacleto Filho et al. (2023)</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industriais portugueses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da mão, por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Mistarihi (2020)</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com deficiência física na Jordânia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e comprimento cotovelo-ponta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9</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 et al. (2018)</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jovens nos EUA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indicador para customização de dedo protésico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w:t>
            </w:r>
          </w:p>
        </w:tc>
      </w:tr>
    </w:tbl>
    <w:p>
      <w:pPr>
        <w:pStyle w:val="Normal"/>
        <w:bidi w:val="0"/>
        <w:jc w:val="left"/>
        <w:rPr>
          <w:lang w:val="pt-PT"/>
        </w:rPr>
      </w:pPr>
      <w:r>
        <w:rPr>
          <w:lang w:val="pt-PT"/>
        </w:rPr>
      </w:r>
    </w:p>
    <w:p>
      <w:pPr>
        <w:pStyle w:val="Normal"/>
        <w:bidi w:val="0"/>
        <w:jc w:val="left"/>
        <w:rPr>
          <w:lang w:val="pt-PT"/>
        </w:rPr>
      </w:pPr>
      <w:r>
        <w:rPr>
          <w:lang w:val="pt-PT"/>
        </w:rP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Normal"/>
        <w:bidi w:val="0"/>
        <w:jc w:val="left"/>
        <w:rPr>
          <w:lang w:val="pt-PT"/>
        </w:rPr>
      </w:pPr>
      <w:r>
        <w:rPr>
          <w:lang w:val="pt-PT"/>
        </w:rPr>
        <w:t>A opção pelo formato longo resultou de uma decisão metodológica orientada para a flexibilidade da estrutura de dados. Em vez de criar uma linha por dimensão com colunas fixas para média, desvio-padrão e percentis, cada estatística foi registada como uma linha própria. Assim, uma mesma dimensão pode originar várias linhas relativas à média, ao desvio-padrão, ao P5, P50, P95, mínimo ou máximo.</w:t>
      </w:r>
    </w:p>
    <w:p>
      <w:pPr>
        <w:pStyle w:val="Normal"/>
        <w:bidi w:val="0"/>
        <w:jc w:val="left"/>
        <w:rPr>
          <w:lang w:val="pt-PT"/>
        </w:rPr>
      </w:pPr>
      <w:r>
        <w:rPr>
          <w:lang w:val="pt-PT"/>
        </w:rPr>
        <w:t>Este formato facilita a integração de fontes incompletas, porque nem todos os estudos reportam o mesmo conjunto de estatísticas.</w:t>
      </w:r>
    </w:p>
    <w:p>
      <w:pPr>
        <w:pStyle w:val="Normal"/>
        <w:bidi w:val="0"/>
        <w:jc w:val="left"/>
        <w:rPr>
          <w:lang w:val="pt-PT"/>
        </w:rPr>
      </w:pPr>
      <w:r>
        <w:rPr>
          <w:lang w:val="pt-PT"/>
        </w:rPr>
        <w:t xml:space="preserve">Na base atual, existem 612 médias, 609 desvios-padrão, 513 percentis, 28 mínimos e 28 máximos. Esta assimetria é metodologicamente relevante: </w:t>
      </w:r>
      <w:r>
        <w:rPr/>
        <w:t>os conjuntos de dados (</w:t>
      </w:r>
      <w:r>
        <w:rPr>
          <w:i/>
          <w:iCs/>
        </w:rPr>
        <w:t>Datasets</w:t>
      </w:r>
      <w:r>
        <w:rPr/>
        <w:t>)</w:t>
      </w:r>
      <w:r>
        <w:rPr>
          <w:lang w:val="pt-PT"/>
        </w:rP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(#ref-gordon-2015); Lim et al., 2018 (#ref-lim-2018); Mistarihi, 2020 (#ref-mistarihi-2020)).</w:t>
      </w:r>
    </w:p>
    <w:p>
      <w:pPr>
        <w:pStyle w:val="Normal"/>
        <w:bidi w:val="0"/>
        <w:jc w:val="left"/>
        <w:rPr>
          <w:lang w:val="pt-PT"/>
        </w:rPr>
      </w:pPr>
      <w:r>
        <w:rPr>
          <w:lang w:val="pt-PT"/>
        </w:rPr>
        <w:t>As principais dificuldades encontradas dizem respeito à heterogeneidade dos protocolos. A expressão “comprimento da mão”, por exemplo, nem sempre corresponde ao mesmo trajeto anatómico: alguns estudos tomam como referência a linha de flexão do punho, outros o processo estilóide, enquanto outros definem o comprimento a partir de marcos funcionais da palma.</w:t>
      </w:r>
    </w:p>
    <w:p>
      <w:pPr>
        <w:pStyle w:val="BodyText"/>
        <w:bidi w:val="0"/>
        <w:jc w:val="left"/>
        <w:rPr>
          <w:lang w:val="pt-PT"/>
        </w:rPr>
      </w:pPr>
      <w:r>
        <w:rPr>
          <w:lang w:val="pt-PT"/>
        </w:rP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(#ref-anacleto-filho-2023)).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r>
      <w:r>
        <w:rPr/>
        <w:t>Em sentido inverso, algumas fontes facilitaram a extração. As tabelas com percentis claros, unidades explícitas e separação por sexo ou idade permitiram uma codificação direta e maior confiança na transcrição dos valores. No caso da DINED, a estrutura HTML da interface facilitou a identificação e extração repetível das médias e dos desvios-padrão, permitindo registar, para cada medida antropométrica, tanto o valor médio observado no grupo como a respetiva variabilidade interna. Esta informação foi recolhida mantendo a separação entre sub-bases, sexo e grupos etários, embora os percentis não estivessem disponíveis na mesma interface.</w:t>
      </w:r>
    </w:p>
    <w:p>
      <w:pPr>
        <w:pStyle w:val="BodyText"/>
        <w:bidi w:val="0"/>
        <w:jc w:val="left"/>
        <w:rPr>
          <w:lang w:val="pt-PT"/>
        </w:rPr>
      </w:pPr>
      <w:r>
        <w:rPr>
          <w:lang w:val="pt-PT"/>
        </w:rPr>
        <w:t>O ANSUR II também foi particularmente útil por disponibilizar estatísticas amplas e uma grande amostra militar, permitindo trabalhar com medições da mão, punho e antebraço em escala populacional (Gordon et al., 2015 (#ref-gordon-2015); Molenbroek, 1998 (#ref-molenbroek-1998); Molenbroek et al., 2003 (#ref-molenbroek-2003); Steenbekkers &amp; van Beijsterveldt, 1998 (#ref-steenbekkers-1998)).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BodyText"/>
        <w:bidi w:val="0"/>
        <w:jc w:val="left"/>
        <w:rPr>
          <w:lang w:val="pt-PT"/>
        </w:rPr>
      </w:pPr>
      <w:r>
        <w:rPr>
          <w:lang w:val="pt-PT"/>
        </w:rPr>
        <w:t>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w:t>
      </w:r>
    </w:p>
    <w:p>
      <w:pPr>
        <w:pStyle w:val="BodyText"/>
        <w:bidi w:val="0"/>
        <w:jc w:val="left"/>
        <w:rPr>
          <w:lang w:val="pt-PT"/>
        </w:rPr>
      </w:pPr>
      <w:r>
        <w:rPr>
          <w:lang w:val="pt-PT"/>
        </w:rPr>
        <w:t>A base de dados construída permite comparar valores relativos ao comprimento da mão, à largura da palma, aos comprimentos digitais, às dimensões do punho e às relações com o antebraço, mantendo a referência à fonte, à população e ao contexto metodológico de cada registo.</w:t>
      </w:r>
    </w:p>
    <w:p>
      <w:pPr>
        <w:pStyle w:val="BodyText"/>
        <w:bidi w:val="0"/>
        <w:jc w:val="left"/>
        <w:rPr>
          <w:lang w:val="pt-PT"/>
        </w:rPr>
      </w:pPr>
      <w:r>
        <w:rPr/>
        <w:t>Deste modo, a base de dados sustenta a passagem entre o enquadramento antropométrico e a modelação paramétrica tridimensional, usando OpenSCAD: os dados não geram automaticamente a prótese, mas delimitam o espaço de variação dentro do qual o modelo pode operar com maior coerência geométrica e metodológica.</w:t>
      </w:r>
    </w:p>
    <w:p>
      <w:pPr>
        <w:pStyle w:val="Normal"/>
        <w:bidi w:val="0"/>
        <w:jc w:val="left"/>
        <w:rPr>
          <w:lang w:val="pt-PT"/>
        </w:rPr>
      </w:pPr>
      <w:r>
        <w:rPr>
          <w:lang w:val="pt-PT"/>
        </w:rPr>
      </w:r>
    </w:p>
    <w:p>
      <w:pPr>
        <w:pStyle w:val="Normal"/>
        <w:bidi w:val="0"/>
        <w:jc w:val="left"/>
        <w:rPr>
          <w:lang w:val="pt-PT"/>
        </w:rPr>
      </w:pPr>
      <w:r>
        <w:rPr>
          <w:lang w:val="pt-PT"/>
        </w:rP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Heading3"/>
        <w:bidi w:val="0"/>
        <w:jc w:val="left"/>
        <w:rPr>
          <w:lang w:val="pt-PT"/>
        </w:rPr>
      </w:pPr>
      <w:r>
        <w:rPr>
          <w:lang w:val="pt-PT"/>
        </w:rPr>
      </w:r>
    </w:p>
    <w:p>
      <w:pPr>
        <w:pStyle w:val="Heading3"/>
        <w:bidi w:val="0"/>
        <w:jc w:val="left"/>
        <w:rPr>
          <w:lang w:val="pt-PT"/>
        </w:rPr>
      </w:pPr>
      <w:r>
        <w:rPr>
          <w:lang w:val="pt-PT"/>
        </w:rPr>
        <w:t>Estrutura paramétrica e mapeamento de parâmetros</w:t>
      </w:r>
    </w:p>
    <w:p>
      <w:pPr>
        <w:pStyle w:val="Heading3"/>
        <w:bidi w:val="0"/>
        <w:jc w:val="left"/>
        <w:rPr>
          <w:lang w:val="pt-PT"/>
        </w:rPr>
      </w:pPr>
      <w:r>
        <w:rPr>
          <w:lang w:val="pt-PT"/>
        </w:rPr>
      </w:r>
    </w:p>
    <w:p>
      <w:pPr>
        <w:pStyle w:val="Normal"/>
        <w:bidi w:val="0"/>
        <w:jc w:val="left"/>
        <w:rPr>
          <w:lang w:val="pt-PT"/>
        </w:rPr>
      </w:pPr>
      <w:r>
        <w:rPr>
          <w:lang w:val="pt-PT"/>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4.5 — Estrutura hierárquica dos parâmetros no modelo paramétrico</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técnico</w:t>
            </w:r>
          </w:p>
        </w:tc>
      </w:tr>
    </w:tbl>
    <w:p>
      <w:pPr>
        <w:pStyle w:val="Normal"/>
        <w:bidi w:val="0"/>
        <w:jc w:val="left"/>
        <w:rPr>
          <w:lang w:val="pt-PT"/>
        </w:rPr>
      </w:pPr>
      <w:r>
        <w:rPr>
          <w:lang w:val="pt-PT"/>
        </w:rPr>
      </w:r>
    </w:p>
    <w:p>
      <w:pPr>
        <w:pStyle w:val="Normal"/>
        <w:bidi w:val="0"/>
        <w:jc w:val="left"/>
        <w:rPr>
          <w:lang w:val="pt-PT"/>
        </w:rPr>
      </w:pPr>
      <w:r>
        <w:rPr>
          <w:lang w:val="pt-PT"/>
        </w:rPr>
        <w:t>A tradução destes parâmetros em geometria é realizada por meio de relações explícitas entre medições e componentes do modelo.</w:t>
      </w:r>
    </w:p>
    <w:p>
      <w:pPr>
        <w:pStyle w:val="Heading3"/>
        <w:bidi w:val="0"/>
        <w:jc w:val="left"/>
        <w:rPr>
          <w:lang w:val="pt-PT"/>
        </w:rPr>
      </w:pPr>
      <w:r>
        <w:rPr/>
        <w:t>OpenSCAD: enquadramento e justificação da escolha</w:t>
      </w:r>
    </w:p>
    <w:p>
      <w:pPr>
        <w:pStyle w:val="Normal"/>
        <w:bidi w:val="0"/>
        <w:jc w:val="left"/>
        <w:rPr>
          <w:lang w:val="pt-PT"/>
        </w:rPr>
      </w:pPr>
      <w:r>
        <w:rPr/>
        <w:t>Antes de avançar para a formalização do modelo, importa clarificar o que é o OpenSCAD e por que motivo foi escolhido como ambiente de modelação paramétrica neste projeto. O OpenSCAD é um ambiente livre e open source de CAD tridimensional baseado em ficheiros de script, orientado para a criação de geometria sólida e não para a modelação artística de superfícies. O modelo é descrito num ficheiro .scad, escrito numa linguagem própria, e esse ficheiro é interpretado pelo programa para gerar o sólido correspondente. Do ponto de vista geométrico, o OpenSCAD assenta numa lógica de Constructive Solid Geometry (CSG), na qual primitivas como cubos, cilindros, esferas e extrusões são combinadas por operações booleanas, transformações e relações hierárquicas entre módulos (OpenSCAD Project, n.d.-a (#ref-openscad-project-nd-a); OpenSCAD Project, n.d.-b (#ref-openscad-project-nd-b); Ghali, 2008 (#ref-ghali-2008)).</w:t>
      </w:r>
    </w:p>
    <w:p>
      <w:pPr>
        <w:pStyle w:val="Normal"/>
        <w:bidi w:val="0"/>
        <w:jc w:val="left"/>
        <w:rPr>
          <w:lang w:val="pt-PT"/>
        </w:rPr>
      </w:pPr>
      <w:r>
        <w:rPr/>
        <w:t>Esta natureza programável distingue o OpenSCAD dos ambientes CAD convencionais baseados sobretudo em manipulação gráfica direta. Em muitos sistemas CAD, o utilizador constrói uma sequência de operações num histórico visual e parametriza algumas características desse histórico; no OpenSCAD, pelo contrário, a própria descrição textual é o modelo paramétrico. As variáveis, funções e módulos não são uma camada posterior aplicada à geometria, mas a estrutura que a gera. Esta diferença é relevante para a investigação, porque torna as relações entre parâmetros, componentes e restrições mais explícitas, reexecutáveis e documentáveis, embora implique uma curva de aprendizagem maior e dificuldades conhecidas em tarefas de navegação código-vista, validação e criação de formas orgânicas complexas (Trautmann, 2021 (#ref-trautmann-2021); Gonzalez Avila et al., 2024 (#ref-gonzalez-avila-2024)).</w:t>
      </w:r>
    </w:p>
    <w:p>
      <w:pPr>
        <w:pStyle w:val="Normal"/>
        <w:bidi w:val="0"/>
        <w:jc w:val="left"/>
        <w:rPr>
          <w:lang w:val="pt-PT"/>
        </w:rPr>
      </w:pPr>
      <w:r>
        <w:rPr/>
        <w:t>A escolha do OpenSCAD resulta, em primeiro lugar, da sua adequação a processos reprodutíveis de design paramétrico. Por ser texto simples, o ficheiro-fonte pode ser versionado, comparado, revisto e reutilizado, o que favorece a rastreabilidade das decisões de modelação e a replicação das variantes geradas. Esta característica é particularmente valorizada em hardware científico e open source, precisamente porque a documentação do processo é tão importante como o ficheiro final exportado. Além disso, o OpenSCAD pode ser executado por linha de comando, receber valores por parâmetros e exportar automaticamente geometrias para formatos de fabrico digital, como STL ou 3MF, tornando-o compatível com fluxos de geração em lote e com configuradores digitais (Machado et al., 2019 (#ref-machado-2019); OpenSCAD Community, n.d. (#ref-openscad-community-nd)).</w:t>
      </w:r>
    </w:p>
    <w:p>
      <w:pPr>
        <w:pStyle w:val="Normal"/>
        <w:bidi w:val="0"/>
        <w:jc w:val="left"/>
        <w:rPr>
          <w:lang w:val="pt-PT"/>
        </w:rPr>
      </w:pPr>
      <w:r>
        <w:rPr/>
        <w:t>Em segundo lugar, o OpenSCAD adapta-se bem à arquitetura web proposta nesta dissertação. A separação entre definição geométrica e interface permite que o ficheiro .scad permaneça como núcleo técnico do modelo, enquanto a plataforma apresenta ao utilizador apenas os parâmetros relevantes. Esta lógica já foi explorada em configuradores web baseados em OpenSCAD, nos quais utilizadores sem domínio da linguagem podem gerar variantes imprimíveis a partir de modelos parametrizados por designers. A existência de implementações em WebAssembly, como o OpenSCAD Web, reforça esta escolha, porque demonstra que o motor de geração pode ser executado no navegador, associado a editores, visualizadores 3D e interfaces de customização sem exigir a instalação local de software CAD completo (Nilsiam &amp; Pearce, 2017 (#ref-nilsiam-2017); Brooks, 2026 (#ref-brooks-2026)).</w:t>
      </w:r>
    </w:p>
    <w:p>
      <w:pPr>
        <w:pStyle w:val="Normal"/>
        <w:bidi w:val="0"/>
        <w:jc w:val="left"/>
        <w:rPr>
          <w:lang w:val="pt-PT"/>
        </w:rPr>
      </w:pPr>
      <w:r>
        <w:rPr/>
        <w:t>Em terceiro lugar, o OpenSCAD é particularmente compatível com um fluxo de design assistido por inteligência artificial. Como a geometria é expressa em código curto, estruturado e relativamente legível, uma IA pode sugerir valores, explicar relações entre variáveis ou propor alterações ao script sem substituir a lógica paramétrica por uma geometria opaca. Trabalhos recentes sobre geração de modelos 3D a partir de linguagem natural e automação de desenho paramétrico mostram que modelos de linguagem podem atuar sobre scripts CAD, embora continuem a exigir revisão humana, verificação dimensional e validação técnica antes de qualquer aplicação produtiva ou clínica (ELhadad et al., 2026 (#ref-elhadad-2026); Schöfer &amp; Seibel, 2025 (#ref-schofer-seibel-2025); Gonzalez Avila et al., 2024 (#ref-gonzalez-avila-2024)).</w:t>
      </w:r>
    </w:p>
    <w:p>
      <w:pPr>
        <w:pStyle w:val="Normal"/>
        <w:bidi w:val="0"/>
        <w:jc w:val="left"/>
        <w:rPr>
          <w:lang w:val="pt-PT"/>
        </w:rPr>
      </w:pPr>
      <w:r>
        <w:rPr/>
        <w:t>No contexto específico das próteses e das tecnologias de apoio, esta escolha é ainda reforçada por estudos que usam modelação paramétrica para adaptar dedos protésicos, mãos mecânicas acionadas pelo corpo e outros dispositivos de apoio às medidas ou necessidades do utilizador.</w:t>
        <w:br/>
        <w:t>Estes trabalhos não eliminam a necessidade de ensaios funcionais, avaliação ergonómica ou validação clínica, mas demonstram que a personalização geométrica pode ser estruturada por parâmetros explícitos e por modelos reexecutáveis. Para este projeto, o OpenSCAD é, portanto, adequado não porque resolva sozinho o problema da prótese personalizada, mas porque oferece uma base transparente para ligar medidas antropométricas, regras de modelação, interface web, sugestões de IA, exportação para fabrico aditivo e revisão humana (Lim et al., 2018 (#ref-lim-2018); Bustamante et al., 2018 (#ref-bustamante-2018); Romani &amp; Levi, 2020 (#ref-romani-levi-2020)).</w:t>
      </w:r>
    </w:p>
    <w:p>
      <w:pPr>
        <w:pStyle w:val="Normal"/>
        <w:bidi w:val="0"/>
        <w:jc w:val="left"/>
        <w:rPr>
          <w:lang w:val="pt-PT"/>
        </w:rPr>
      </w:pPr>
      <w:r>
        <w:rPr>
          <w:lang w:val="pt-PT"/>
        </w:rPr>
      </w:r>
    </w:p>
    <w:p>
      <w:pPr>
        <w:pStyle w:val="Normal"/>
        <w:bidi w:val="0"/>
        <w:jc w:val="left"/>
        <w:rPr>
          <w:lang w:val="pt-PT"/>
        </w:rPr>
      </w:pPr>
      <w:r>
        <w:rPr>
          <w:lang w:val="pt-PT"/>
        </w:rPr>
        <w:t>Tabela 4.6 — Mapeamento entre parâmetros antropométricos e elementos do modelo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Relações cinemáticas dos mecanismos digitais</w:t>
            </w:r>
          </w:p>
        </w:tc>
      </w:tr>
    </w:tbl>
    <w:p>
      <w:pPr>
        <w:pStyle w:val="Normal"/>
        <w:bidi w:val="0"/>
        <w:jc w:val="left"/>
        <w:rPr>
          <w:lang w:val="pt-PT"/>
        </w:rPr>
      </w:pPr>
      <w:r>
        <w:rPr>
          <w:lang w:val="pt-PT"/>
        </w:rPr>
      </w:r>
    </w:p>
    <w:p>
      <w:pPr>
        <w:pStyle w:val="Normal"/>
        <w:bidi w:val="0"/>
        <w:jc w:val="left"/>
        <w:rPr>
          <w:lang w:val="pt-PT"/>
        </w:rPr>
      </w:pPr>
      <w:r>
        <w:rPr>
          <w:lang w:val="pt-PT"/>
        </w:rP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BodyText"/>
        <w:bidi w:val="0"/>
        <w:jc w:val="left"/>
        <w:rPr>
          <w:lang w:val="pt-PT"/>
        </w:rPr>
      </w:pPr>
      <w:r>
        <w:rPr>
          <w:lang w:val="pt-PT"/>
        </w:rPr>
        <w:t>Antes da tradução do modelo para o ambiente de modelação paramétrica, torna-se necessário estabilizar três níveis: os dados de entrada, as relações entre parâmetros e os limites técnicos que condicionam a sua transformação em forma.</w:t>
      </w:r>
    </w:p>
    <w:p>
      <w:pPr>
        <w:pStyle w:val="BodyText"/>
        <w:bidi w:val="0"/>
        <w:jc w:val="left"/>
        <w:rPr>
          <w:lang w:val="pt-PT"/>
        </w:rPr>
      </w:pPr>
      <w:r>
        <w:rPr>
          <w:lang w:val="pt-PT"/>
        </w:rP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Heading3"/>
        <w:bidi w:val="0"/>
        <w:jc w:val="left"/>
        <w:rPr>
          <w:lang w:val="pt-PT"/>
        </w:rPr>
      </w:pPr>
      <w:r>
        <w:rPr>
          <w:lang w:val="pt-PT"/>
        </w:rPr>
      </w:r>
    </w:p>
    <w:p>
      <w:pPr>
        <w:pStyle w:val="Heading3"/>
        <w:bidi w:val="0"/>
        <w:jc w:val="left"/>
        <w:rPr>
          <w:lang w:val="pt-PT"/>
        </w:rPr>
      </w:pPr>
      <w:r>
        <w:rPr>
          <w:lang w:val="pt-PT"/>
        </w:rPr>
        <w:t>4.3 Modelação paramétrica em OpenSCAD</w:t>
      </w:r>
    </w:p>
    <w:p>
      <w:pPr>
        <w:pStyle w:val="Heading3"/>
        <w:bidi w:val="0"/>
        <w:jc w:val="left"/>
        <w:rPr>
          <w:lang w:val="pt-PT"/>
        </w:rPr>
      </w:pPr>
      <w:r>
        <w:rPr>
          <w:lang w:val="pt-PT"/>
        </w:rPr>
      </w:r>
    </w:p>
    <w:p>
      <w:pPr>
        <w:pStyle w:val="Normal"/>
        <w:bidi w:val="0"/>
        <w:jc w:val="left"/>
        <w:rPr>
          <w:lang w:val="pt-PT"/>
        </w:rPr>
      </w:pPr>
      <w:r>
        <w:rPr>
          <w:lang w:val="pt-PT"/>
        </w:rP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lang w:val="pt-PT"/>
        </w:rPr>
      </w:pPr>
      <w:r>
        <w:rPr>
          <w:lang w:val="pt-PT"/>
        </w:rP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 Os estudos revistos sobre modelação paramétrica aplicada a próteses e sobre modelação CAD programável reforçam esta perspetiva, ao associarem estas abordagens a maior rastreabilidade das decisões, consistência entre variantes e capacidade de automatização em fluxos de personalização digital. (Machado et al., 2019 (#ref-machado-2019); Moreo, 2016 (#ref-moreo-2016); Romero et al., 2025 (#ref-da-silveira-romero-2025)).</w:t>
      </w:r>
    </w:p>
    <w:p>
      <w:pPr>
        <w:pStyle w:val="Normal"/>
        <w:bidi w:val="0"/>
        <w:jc w:val="left"/>
        <w:rPr>
          <w:lang w:val="pt-PT"/>
        </w:rPr>
      </w:pPr>
      <w:r>
        <w:rPr>
          <w:lang w:val="pt-PT"/>
        </w:rP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Normal"/>
        <w:bidi w:val="0"/>
        <w:jc w:val="left"/>
        <w:rPr>
          <w:lang w:val="pt-PT"/>
        </w:rPr>
      </w:pPr>
      <w:r>
        <w:rPr>
          <w:lang w:val="pt-PT"/>
        </w:rP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 (#ref-nini-2024)).</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324225"/>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22"/>
                    <a:stretch>
                      <a:fillRect/>
                    </a:stretch>
                  </pic:blipFill>
                  <pic:spPr bwMode="auto">
                    <a:xfrm>
                      <a:off x="0" y="0"/>
                      <a:ext cx="5715000" cy="3324225"/>
                    </a:xfrm>
                    <a:prstGeom prst="rect">
                      <a:avLst/>
                    </a:prstGeom>
                    <a:noFill/>
                  </pic:spPr>
                </pic:pic>
              </a:graphicData>
            </a:graphic>
          </wp:inline>
        </w:drawing>
      </w:r>
    </w:p>
    <w:p>
      <w:pPr>
        <w:pStyle w:val="Normal"/>
        <w:bidi w:val="0"/>
        <w:jc w:val="left"/>
        <w:rPr>
          <w:lang w:val="pt-PT"/>
        </w:rPr>
      </w:pPr>
      <w:r>
        <w:rPr>
          <w:lang w:val="pt-PT"/>
        </w:rPr>
        <w:t>Figura 4.3 — Relação entre modelo paramétrico digital, prototipagem e verificação de um dedo protésico.</w:t>
      </w:r>
    </w:p>
    <w:p>
      <w:pPr>
        <w:pStyle w:val="Normal"/>
        <w:bidi w:val="0"/>
        <w:jc w:val="left"/>
        <w:rPr/>
      </w:pPr>
      <w:r>
        <w:rPr>
          <w:lang w:val="pt-PT"/>
        </w:rP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23">
        <w:r>
          <w:rPr>
            <w:rStyle w:val="Hyperlink"/>
            <w:lang w:val="pt-PT"/>
          </w:rPr>
          <w:t>https://doi.org/10.1109/BioRob60516.2024.10719909</w:t>
        </w:r>
      </w:hyperlink>
    </w:p>
    <w:p>
      <w:pPr>
        <w:pStyle w:val="Normal"/>
        <w:bidi w:val="0"/>
        <w:jc w:val="left"/>
        <w:rPr>
          <w:lang w:val="pt-PT"/>
        </w:rPr>
      </w:pPr>
      <w:r>
        <w:rPr>
          <w:lang w:val="pt-PT"/>
        </w:rPr>
      </w:r>
    </w:p>
    <w:p>
      <w:pPr>
        <w:pStyle w:val="Heading3"/>
        <w:bidi w:val="0"/>
        <w:jc w:val="left"/>
        <w:rPr>
          <w:lang w:val="pt-PT"/>
        </w:rPr>
      </w:pPr>
      <w:r>
        <w:rPr>
          <w:lang w:val="pt-PT"/>
        </w:rPr>
        <w:t>4.3.1 Estrutura técnica, parâmetros e restrições</w:t>
      </w:r>
    </w:p>
    <w:p>
      <w:pPr>
        <w:pStyle w:val="Heading3"/>
        <w:bidi w:val="0"/>
        <w:jc w:val="left"/>
        <w:rPr>
          <w:lang w:val="pt-PT"/>
        </w:rPr>
      </w:pPr>
      <w:r>
        <w:rPr>
          <w:lang w:val="pt-PT"/>
        </w:rPr>
      </w:r>
    </w:p>
    <w:p>
      <w:pPr>
        <w:pStyle w:val="Normal"/>
        <w:bidi w:val="0"/>
        <w:jc w:val="left"/>
        <w:rPr>
          <w:lang w:val="pt-PT"/>
        </w:rPr>
      </w:pPr>
      <w:r>
        <w:rPr>
          <w:lang w:val="pt-PT"/>
        </w:rPr>
        <w:t>Num modelo paramétrico baseado em OpenSCAD, a organização interna pode ser compreendida como uma arquitetura em camadas.</w:t>
      </w:r>
    </w:p>
    <w:p>
      <w:pPr>
        <w:pStyle w:val="Normal"/>
        <w:bidi w:val="0"/>
        <w:jc w:val="left"/>
        <w:rPr>
          <w:lang w:val="pt-PT"/>
        </w:rPr>
      </w:pPr>
      <w:r>
        <w:rPr>
          <w:lang w:val="pt-PT"/>
        </w:rP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fabricação. Esta organização permite controlar a personalização sem comprometer a coerência interna do sistema (Moreo, 2016 (#ref-moreo-2016); Nini et al., 2024 (#ref-nini-2024); Saldarriaga et al., 2024 (#ref-saldarriaga-2024)).</w:t>
      </w:r>
    </w:p>
    <w:p>
      <w:pPr>
        <w:pStyle w:val="Normal"/>
        <w:bidi w:val="0"/>
        <w:jc w:val="left"/>
        <w:rPr>
          <w:lang w:val="pt-PT"/>
        </w:rPr>
      </w:pPr>
      <w:r>
        <w:rPr>
          <w:lang w:val="pt-PT"/>
        </w:rPr>
      </w:r>
    </w:p>
    <w:p>
      <w:pPr>
        <w:pStyle w:val="Normal"/>
        <w:bidi w:val="0"/>
        <w:jc w:val="left"/>
        <w:rPr>
          <w:lang w:val="pt-PT"/>
        </w:rPr>
      </w:pPr>
      <w:r>
        <w:rPr>
          <w:lang w:val="pt-PT"/>
        </w:rPr>
        <w:t>Tabela 4.7 — Estrutura técnica em camadas de um modelo paramétrico em OpenSCAD para próteses personalizadas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 xml:space="preserve">Largura da palma, comprimentos digitais, perímetro do </w:t>
            </w:r>
            <w:r>
              <w:rPr>
                <w:lang w:val="pt-PT"/>
              </w:rPr>
              <w:t>membro residual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Garantir fabricação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 mínima, folgas, raios mínimos</w:t>
            </w:r>
          </w:p>
        </w:tc>
      </w:tr>
    </w:tbl>
    <w:p>
      <w:pPr>
        <w:pStyle w:val="Normal"/>
        <w:bidi w:val="0"/>
        <w:jc w:val="left"/>
        <w:rPr>
          <w:lang w:val="pt-PT"/>
        </w:rPr>
      </w:pPr>
      <w:r>
        <w:rPr>
          <w:lang w:val="pt-PT"/>
        </w:rPr>
      </w:r>
    </w:p>
    <w:p>
      <w:pPr>
        <w:pStyle w:val="Normal"/>
        <w:bidi w:val="0"/>
        <w:jc w:val="left"/>
        <w:rPr>
          <w:lang w:val="pt-PT"/>
        </w:rPr>
      </w:pPr>
      <w:r>
        <w:rPr>
          <w:lang w:val="pt-PT"/>
        </w:rP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(#ref-machado-2019); Romero et al., 2025 (#ref-da-silveira-romero-2025)).</w:t>
      </w:r>
    </w:p>
    <w:p>
      <w:pPr>
        <w:pStyle w:val="Normal"/>
        <w:bidi w:val="0"/>
        <w:jc w:val="left"/>
        <w:rPr>
          <w:lang w:val="pt-PT"/>
        </w:rPr>
      </w:pPr>
      <w:r>
        <w:rPr>
          <w:lang w:val="pt-PT"/>
        </w:rP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Normal"/>
        <w:bidi w:val="0"/>
        <w:jc w:val="left"/>
        <w:rPr>
          <w:lang w:val="pt-PT"/>
        </w:rPr>
      </w:pPr>
      <w:r>
        <w:rPr>
          <w:lang w:val="pt-PT"/>
        </w:rP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(#ref-nini-2024); Saldarriaga et al., 2024 (#ref-saldarriaga-2024)).</w:t>
      </w:r>
    </w:p>
    <w:p>
      <w:pPr>
        <w:pStyle w:val="Normal"/>
        <w:bidi w:val="0"/>
        <w:jc w:val="left"/>
        <w:rPr>
          <w:lang w:val="pt-PT"/>
        </w:rPr>
      </w:pPr>
      <w:r>
        <w:rPr>
          <w:lang w:val="pt-PT"/>
        </w:rPr>
        <w:t>A modelação em OpenSCAD pode ser articulada a fluxos de dados mais complexos, incluindo a digitalização tridimensional e a automatização parcial do desenho. Trabalhos como os de Herbst et al. (2021) (#ref-herbst-2021) e Saldarriaga et al. (2024) (#ref-saldarriaga-2024)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Normal"/>
        <w:bidi w:val="0"/>
        <w:jc w:val="left"/>
        <w:rPr>
          <w:lang w:val="pt-PT"/>
        </w:rPr>
      </w:pPr>
      <w:r>
        <w:rPr>
          <w:lang w:val="pt-PT"/>
        </w:rPr>
      </w:r>
    </w:p>
    <w:p>
      <w:pPr>
        <w:pStyle w:val="Heading3"/>
        <w:bidi w:val="0"/>
        <w:jc w:val="left"/>
        <w:rPr>
          <w:lang w:val="pt-PT"/>
        </w:rPr>
      </w:pPr>
      <w:r>
        <w:rPr>
          <w:lang w:val="pt-PT"/>
        </w:rPr>
        <w:t>4.3.2 Análise crítica da abordagem</w:t>
      </w:r>
    </w:p>
    <w:p>
      <w:pPr>
        <w:pStyle w:val="Heading3"/>
        <w:bidi w:val="0"/>
        <w:jc w:val="left"/>
        <w:rPr>
          <w:lang w:val="pt-PT"/>
        </w:rPr>
      </w:pPr>
      <w:r>
        <w:rPr>
          <w:lang w:val="pt-PT"/>
        </w:rPr>
      </w:r>
    </w:p>
    <w:p>
      <w:pPr>
        <w:pStyle w:val="Normal"/>
        <w:bidi w:val="0"/>
        <w:jc w:val="left"/>
        <w:rPr>
          <w:lang w:val="pt-PT"/>
        </w:rPr>
      </w:pPr>
      <w:r>
        <w:rPr>
          <w:lang w:val="pt-PT"/>
        </w:rPr>
        <w:t>A adoção do OpenSCAD neste projecto, 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 (#ref-machado-2019)).</w:t>
      </w:r>
    </w:p>
    <w:p>
      <w:pPr>
        <w:pStyle w:val="Normal"/>
        <w:bidi w:val="0"/>
        <w:jc w:val="left"/>
        <w:rPr/>
      </w:pPr>
      <w:r>
        <w:rPr>
          <w:lang w:val="pt-PT" w:eastAsia="zh-CN" w:bidi="hi-IN"/>
        </w:rPr>
        <w:t xml:space="preserve">Uma segunda vantagem reside na afinidade entre a modelação baseada em código, a automação e a partilha aberta. </w:t>
      </w:r>
      <w:r>
        <w:rP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 (#ref-nilsiam-2017)).</w:t>
      </w:r>
      <w:r>
        <w:rPr>
          <w:lang w:val="pt-PT" w:eastAsia="zh-CN" w:bidi="hi-IN"/>
        </w:rPr>
        <w:t>Para um projeto que pretende aproximar parametrização, interface e apoio computacional, esta característica é especialmente relevante.</w:t>
      </w:r>
    </w:p>
    <w:p>
      <w:pPr>
        <w:pStyle w:val="Normal"/>
        <w:bidi w:val="0"/>
        <w:jc w:val="left"/>
        <w:rPr/>
      </w:pPr>
      <w:r>
        <w:rPr>
          <w:lang w:val="pt-PT"/>
        </w:rP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rPr/>
        <w:t xml:space="preserve">A segunda limitação é de natureza geométrica. A modelação por combinação de sólidos, habitualmente designada por </w:t>
      </w:r>
      <w:r>
        <w:rPr>
          <w:i/>
          <w:iCs/>
        </w:rPr>
        <w:t>Constructive Solid Geometry</w:t>
      </w:r>
      <w:r>
        <w:rP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Normal"/>
        <w:bidi w:val="0"/>
        <w:jc w:val="left"/>
        <w:rPr/>
      </w:pPr>
      <w:r>
        <w:rP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(#ref-machado-2019)). </w:t>
      </w:r>
      <w:r>
        <w:rPr>
          <w:lang w:val="pt-PT"/>
        </w:rP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Normal"/>
        <w:bidi w:val="0"/>
        <w:jc w:val="left"/>
        <w:rPr>
          <w:lang w:val="pt-PT"/>
        </w:rPr>
      </w:pPr>
      <w:r>
        <w:rPr>
          <w:lang w:val="pt-PT"/>
        </w:rPr>
        <w:t>Por fim, importa reconhecer que a robustez da abordagem resulta da articulação entre a geração da geometria e as etapas subsequentes de validação. Mesmo quando a lógica paramétrica é clara e as restrições estão integradas, a confirmação do modelo depende da verificação durante a preparação do modelo para impressão 3D, do controlo dimensional, de eventual simulação estrutural e da observação do comportamento da peça em protótipo.</w:t>
      </w:r>
    </w:p>
    <w:p>
      <w:pPr>
        <w:pStyle w:val="Normal"/>
        <w:bidi w:val="0"/>
        <w:jc w:val="left"/>
        <w:rPr/>
      </w:pPr>
      <w:r>
        <w:rPr>
          <w:lang w:val="pt-PT"/>
        </w:rPr>
        <w:t xml:space="preserve">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rPr/>
        <w:t>É precisamente essa combinação entre explicitação, reexecução e possibilidade de revisão crítica que justifica a sua escolha como base para a modelação paramétrica aqui desenvolvida.</w:t>
      </w:r>
    </w:p>
    <w:p>
      <w:pPr>
        <w:pStyle w:val="Normal"/>
        <w:bidi w:val="0"/>
        <w:jc w:val="left"/>
        <w:rPr>
          <w:lang w:val="pt-PT"/>
        </w:rPr>
      </w:pPr>
      <w:r>
        <w:rPr>
          <w:lang w:val="pt-PT"/>
        </w:rPr>
      </w:r>
    </w:p>
    <w:p>
      <w:pPr>
        <w:pStyle w:val="Heading3"/>
        <w:bidi w:val="0"/>
        <w:jc w:val="left"/>
        <w:rPr>
          <w:lang w:val="pt-PT"/>
        </w:rPr>
      </w:pPr>
      <w:r>
        <w:rPr>
          <w:lang w:val="pt-PT"/>
        </w:rPr>
        <w:t>4.4 Iterações, refinamento e discussão intermédia</w:t>
      </w:r>
    </w:p>
    <w:p>
      <w:pPr>
        <w:pStyle w:val="Heading3"/>
        <w:bidi w:val="0"/>
        <w:jc w:val="left"/>
        <w:rPr>
          <w:lang w:val="pt-PT"/>
        </w:rPr>
      </w:pPr>
      <w:r>
        <w:rPr>
          <w:lang w:val="pt-PT"/>
        </w:rPr>
      </w:r>
    </w:p>
    <w:p>
      <w:pPr>
        <w:pStyle w:val="Normal"/>
        <w:bidi w:val="0"/>
        <w:jc w:val="left"/>
        <w:rPr>
          <w:lang w:val="pt-PT"/>
        </w:rPr>
      </w:pPr>
      <w:commentRangeStart w:id="12"/>
      <w:r>
        <w:rPr>
          <w:lang w:val="pt-PT"/>
        </w:rP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Pr>
          <w:lang w:val="pt-PT"/>
        </w:rPr>
      </w:r>
      <w:commentRangeEnd w:id="12"/>
      <w:r>
        <w:commentReference w:id="12"/>
      </w:r>
      <w:r>
        <w:rPr>
          <w:lang w:val="pt-PT"/>
        </w:rP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Normal"/>
        <w:bidi w:val="0"/>
        <w:jc w:val="left"/>
        <w:rPr>
          <w:lang w:val="pt-PT"/>
        </w:rPr>
      </w:pPr>
      <w:r>
        <w:rPr>
          <w:lang w:val="pt-PT"/>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lang w:val="pt-PT"/>
        </w:rPr>
      </w:pPr>
      <w:r>
        <w:rPr>
          <w:lang w:val="pt-PT"/>
        </w:rP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(#ref-lei-2016); Wiberg, Persson, &amp; Ölvander, 2019).</w:t>
      </w:r>
    </w:p>
    <w:p>
      <w:pPr>
        <w:pStyle w:val="Normal"/>
        <w:bidi w:val="0"/>
        <w:jc w:val="left"/>
        <w:rPr/>
      </w:pPr>
      <w:r>
        <w:rPr>
          <w:lang w:val="pt-PT"/>
        </w:rPr>
        <w:t xml:space="preserve">À medida que a estrutura geral se consolidou, o trabalho iterativo deslocou-se para a decomposição do sistema em módulos relativamente autónomos. </w:t>
      </w:r>
      <w:r>
        <w:rP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commentRangeStart w:id="13"/>
      <w:r>
        <w:rP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 (#ref-nilsiam-2017)).</w:t>
      </w:r>
      <w:commentRangeEnd w:id="13"/>
      <w:r>
        <w:commentReference w:id="13"/>
      </w:r>
      <w:r>
        <w:rPr/>
      </w:r>
    </w:p>
    <w:p>
      <w:pPr>
        <w:pStyle w:val="Normal"/>
        <w:bidi w:val="0"/>
        <w:jc w:val="left"/>
        <w:rPr>
          <w:lang w:val="pt-PT"/>
        </w:rPr>
      </w:pPr>
      <w:r>
        <w:rPr>
          <w:lang w:val="pt-PT"/>
        </w:rP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Normal"/>
        <w:bidi w:val="0"/>
        <w:jc w:val="left"/>
        <w:rPr/>
      </w:pPr>
      <w:r>
        <w:rPr>
          <w:lang w:val="pt-PT"/>
        </w:rPr>
        <w:t xml:space="preserve">Outro eixo central do processo prendeu-se à relação entre personalização e fabricação. </w:t>
      </w:r>
      <w:r>
        <w:rP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rPr>
          <w:lang w:val="pt-PT"/>
        </w:rPr>
        <w:t>. Neste sentido, a evolução do modelo confirmou a relevância de integrar critérios de Design for Additive Manufacturing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 (#ref-wiberg-2019)).</w:t>
      </w:r>
    </w:p>
    <w:p>
      <w:pPr>
        <w:pStyle w:val="Normal"/>
        <w:bidi w:val="0"/>
        <w:jc w:val="left"/>
        <w:rPr>
          <w:lang w:val="pt-PT"/>
        </w:rPr>
      </w:pPr>
      <w:r>
        <w:rPr>
          <w:lang w:val="pt-PT"/>
        </w:rPr>
        <w:t xml:space="preserve">Em sistemas configuráveis para próteses, a coerência geométrica e a compatibilidade com o processo de impressão não são suficientes para assegurar a adequação ao uso. A articulação entre segmentos, o posicionamento relativo dos mecanismos, a distribuição de massa, as zonas sujeitas a esforço e a amplitude de movimento influenciam diretamente o desempenho esperado do objeto. </w:t>
      </w:r>
      <w:r>
        <w:rPr/>
        <w:t>Por essa razão, várias revisões do modelo implicaram reajustes que articularam a correção formal da geometria com a necessidade de manter um equilíbrio plausível entre adaptação dimensional, comportamento funcional e viabilidade material.</w:t>
      </w:r>
    </w:p>
    <w:p>
      <w:pPr>
        <w:pStyle w:val="Normal"/>
        <w:bidi w:val="0"/>
        <w:jc w:val="left"/>
        <w:rPr>
          <w:lang w:val="pt-PT"/>
        </w:rPr>
      </w:pPr>
      <w:r>
        <w:rPr>
          <w:lang w:val="pt-PT"/>
        </w:rPr>
        <w:t>O refinamento correspondeu, assim, a uma negociação contínua entre a simplificação paramétrica e as exigências funcionais e materiais do protótipo.</w:t>
      </w:r>
    </w:p>
    <w:p>
      <w:pPr>
        <w:pStyle w:val="Normal"/>
        <w:bidi w:val="0"/>
        <w:jc w:val="left"/>
        <w:rPr>
          <w:lang w:val="pt-PT"/>
        </w:rPr>
      </w:pPr>
      <w:r>
        <w:rPr>
          <w:lang w:val="pt-PT"/>
        </w:rP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 (#ref-zimmerman-2007)).</w:t>
      </w:r>
    </w:p>
    <w:p>
      <w:pPr>
        <w:pStyle w:val="Normal"/>
        <w:bidi w:val="0"/>
        <w:jc w:val="left"/>
        <w:rPr>
          <w:lang w:val="pt-PT"/>
        </w:rPr>
      </w:pPr>
      <w:r>
        <w:rPr>
          <w:lang w:val="pt-PT"/>
        </w:rP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Heading2"/>
        <w:bidi w:val="0"/>
        <w:jc w:val="left"/>
        <w:rPr>
          <w:lang w:val="pt-PT"/>
        </w:rPr>
      </w:pPr>
      <w:r>
        <w:rPr>
          <w:lang w:val="pt-PT"/>
        </w:rPr>
      </w:r>
    </w:p>
    <w:p>
      <w:pPr>
        <w:pStyle w:val="Heading2"/>
        <w:bidi w:val="0"/>
        <w:jc w:val="left"/>
        <w:rPr>
          <w:lang w:val="pt-PT"/>
        </w:rPr>
      </w:pPr>
      <w:r>
        <w:rPr>
          <w:lang w:val="pt-PT"/>
        </w:rPr>
        <w:t>Capítulo 5 — Plataforma Web e Integração Digital</w:t>
      </w:r>
    </w:p>
    <w:p>
      <w:pPr>
        <w:pStyle w:val="Heading3"/>
        <w:bidi w:val="0"/>
        <w:jc w:val="left"/>
        <w:rPr>
          <w:lang w:val="pt-PT"/>
        </w:rPr>
      </w:pPr>
      <w:r>
        <w:rPr>
          <w:lang w:val="pt-PT"/>
        </w:rPr>
      </w:r>
    </w:p>
    <w:p>
      <w:pPr>
        <w:pStyle w:val="Heading3"/>
        <w:bidi w:val="0"/>
        <w:jc w:val="left"/>
        <w:rPr>
          <w:lang w:val="pt-PT"/>
        </w:rPr>
      </w:pPr>
      <w:r>
        <w:rPr>
          <w:lang w:val="pt-PT"/>
        </w:rPr>
        <w:t>5.1 Enquadramento conceptual e perfis de utilizador</w:t>
      </w:r>
    </w:p>
    <w:p>
      <w:pPr>
        <w:pStyle w:val="Heading3"/>
        <w:bidi w:val="0"/>
        <w:jc w:val="left"/>
        <w:rPr>
          <w:lang w:val="pt-PT"/>
        </w:rPr>
      </w:pPr>
      <w:r>
        <w:rPr>
          <w:lang w:val="pt-PT"/>
        </w:rPr>
      </w:r>
    </w:p>
    <w:p>
      <w:pPr>
        <w:pStyle w:val="Normal"/>
        <w:bidi w:val="0"/>
        <w:jc w:val="left"/>
        <w:rPr/>
      </w:pPr>
      <w:r>
        <w:rPr>
          <w:lang w:val="pt-PT"/>
        </w:rP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w:t>
      </w:r>
      <w:r>
        <w:rPr/>
        <w:t>Esta leitura é coerente com os estudos sobre personalização digital e personalização em massa, que descrevem os configuradores como infraestruturas capazes de expor uma parte controlada do espaço de variação, permitindo adaptar produtos sem comprometer a coerência interna do modelo-base (Ozdemir, Verlinden, &amp; Cascini, 2022; Stralen, 2018 (#ref-stralen-2018)).</w:t>
      </w:r>
    </w:p>
    <w:p>
      <w:pPr>
        <w:pStyle w:val="Normal"/>
        <w:bidi w:val="0"/>
        <w:jc w:val="left"/>
        <w:rPr>
          <w:lang w:val="pt-PT"/>
        </w:rPr>
      </w:pPr>
      <w:r>
        <w:rPr>
          <w:lang w:val="pt-PT"/>
        </w:rPr>
        <w:t>Do ponto de vista funcional, a plataforma foi concebida para suportar um processo progressivo de personalização,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experimental ou de projecto.</w:t>
      </w:r>
    </w:p>
    <w:p>
      <w:pPr>
        <w:pStyle w:val="Normal"/>
        <w:bidi w:val="0"/>
        <w:jc w:val="left"/>
        <w:rPr>
          <w:lang w:val="pt-PT"/>
        </w:rPr>
      </w:pPr>
      <w:r>
        <w:rPr>
          <w:lang w:val="pt-PT"/>
        </w:rPr>
        <w:t>Em vez de exigir que cada interveniente compreenda a estrutura interna do ficheiro OpenSCAD, o sistema disponibiliza uma camada de interação mais acessível, baseada em controlos paramétricos, pré-visualização tridimensional e gestão de configurações.</w:t>
      </w:r>
    </w:p>
    <w:p>
      <w:pPr>
        <w:pStyle w:val="Normal"/>
        <w:bidi w:val="0"/>
        <w:jc w:val="left"/>
        <w:rPr>
          <w:lang w:val="pt-PT"/>
        </w:rPr>
      </w:pPr>
      <w:r>
        <w:rPr>
          <w:lang w:val="pt-PT"/>
        </w:rPr>
        <w:t>Tal opção aproxima-se de abordagens recentes em plataformas de personalização de próteses, nas quais a interface funciona como meio de tornar observável, configurável e progressivamente verificável um processo que, de outro modo, permaneceria dependente de software especializado ou de mediação exclus</w:t>
      </w:r>
      <w:commentRangeStart w:id="14"/>
      <w:r>
        <w:rPr>
          <w:lang w:val="pt-PT"/>
        </w:rPr>
        <w:t>ivamente técnica (Peixoto et al., 2025 (#ref-peixoto-2025)).</w:t>
      </w:r>
      <w:commentRangeEnd w:id="14"/>
      <w:r>
        <w:commentReference w:id="14"/>
      </w:r>
      <w:r>
        <w:rPr>
          <w:lang w:val="pt-PT"/>
        </w:rPr>
      </w:r>
    </w:p>
    <w:p>
      <w:pPr>
        <w:pStyle w:val="Normal"/>
        <w:bidi w:val="0"/>
        <w:jc w:val="left"/>
        <w:rPr>
          <w:lang w:val="pt-PT"/>
        </w:rPr>
      </w:pPr>
      <w:r>
        <w:rPr>
          <w:lang w:val="pt-PT"/>
        </w:rPr>
      </w:r>
    </w:p>
    <w:p>
      <w:pPr>
        <w:pStyle w:val="Normal"/>
        <w:bidi w:val="0"/>
        <w:jc w:val="left"/>
        <w:rPr>
          <w:lang w:val="pt-PT"/>
        </w:rPr>
      </w:pPr>
      <w:r>
        <w:rPr>
          <w:lang w:val="pt-PT"/>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731510" cy="2687955"/>
            <wp:effectExtent l="0" t="0" r="0" b="0"/>
            <wp:wrapSquare wrapText="largest"/>
            <wp:docPr id="1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pic:cNvPicPr>
                      <a:picLocks noChangeAspect="1" noChangeArrowheads="1"/>
                    </pic:cNvPicPr>
                  </pic:nvPicPr>
                  <pic:blipFill>
                    <a:blip r:embed="rId24"/>
                    <a:stretch>
                      <a:fillRect/>
                    </a:stretch>
                  </pic:blipFill>
                  <pic:spPr bwMode="auto">
                    <a:xfrm>
                      <a:off x="0" y="0"/>
                      <a:ext cx="5731510" cy="2687955"/>
                    </a:xfrm>
                    <a:prstGeom prst="rect">
                      <a:avLst/>
                    </a:prstGeom>
                    <a:noFill/>
                  </pic:spPr>
                </pic:pic>
              </a:graphicData>
            </a:graphic>
          </wp:anchor>
        </w:drawing>
      </w:r>
    </w:p>
    <w:p>
      <w:pPr>
        <w:pStyle w:val="Normal"/>
        <w:bidi w:val="0"/>
        <w:jc w:val="left"/>
        <w:rPr>
          <w:lang w:val="pt-PT"/>
        </w:rPr>
      </w:pPr>
      <w:r>
        <w:rPr>
          <w:lang w:val="pt-PT"/>
        </w:rPr>
        <w:t>Figura 5.1 — Fluxo geral de produção personalizada de próteses a partir de plataforma web – Hand Fab</w:t>
      </w:r>
    </w:p>
    <w:p>
      <w:pPr>
        <w:pStyle w:val="Normal"/>
        <w:bidi w:val="0"/>
        <w:jc w:val="left"/>
        <w:rPr>
          <w:lang w:val="pt-PT"/>
        </w:rPr>
      </w:pPr>
      <w:r>
        <w:rPr>
          <w:lang w:val="pt-PT"/>
        </w:rPr>
        <w:t>Produção própria</w:t>
      </w:r>
    </w:p>
    <w:p>
      <w:pPr>
        <w:pStyle w:val="Normal"/>
        <w:bidi w:val="0"/>
        <w:jc w:val="left"/>
        <w:rPr>
          <w:lang w:val="pt-PT"/>
        </w:rPr>
      </w:pPr>
      <w:r>
        <w:rPr>
          <w:lang w:val="pt-PT"/>
        </w:rPr>
      </w:r>
    </w:p>
    <w:p>
      <w:pPr>
        <w:pStyle w:val="Normal"/>
        <w:bidi w:val="0"/>
        <w:jc w:val="left"/>
        <w:rPr>
          <w:lang w:val="pt-PT"/>
        </w:rPr>
      </w:pPr>
      <w:r>
        <w:rPr>
          <w:lang w:val="pt-PT"/>
        </w:rPr>
        <w:t>Neste sentido, a plataforma deve ser entendida como uma infraestrutura de mediação entre componentes técnicos, utilizadores e intervenientes especializados, e não apenas como um artefacto de software. A personalização deixa, assim, de corresponder a um ato individual e isolado, passando a ser enquadrada como um processo distribuído, no qual diferentes intervenientes participam com graus distintos de responsabilidade, conhecimento e controlo.</w:t>
      </w:r>
    </w:p>
    <w:p>
      <w:pPr>
        <w:pStyle w:val="Normal"/>
        <w:bidi w:val="0"/>
        <w:jc w:val="left"/>
        <w:rPr>
          <w:lang w:val="pt-PT"/>
        </w:rPr>
      </w:pPr>
      <w:r>
        <w:rPr>
          <w:lang w:val="pt-PT"/>
        </w:rPr>
        <w:t>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 (#ref-quintero-2018)).</w:t>
      </w:r>
    </w:p>
    <w:p>
      <w:pPr>
        <w:pStyle w:val="Normal"/>
        <w:bidi w:val="0"/>
        <w:jc w:val="left"/>
        <w:rPr>
          <w:lang w:val="pt-PT"/>
        </w:rPr>
      </w:pPr>
      <w:r>
        <w:rPr>
          <w:lang w:val="pt-PT"/>
        </w:rPr>
        <w:t>A definição dos perfis de utilizador constitui, por isso, uma decisão estruturante no desenho da plataforma, uma vez que determina como se distribuem responsabilidades, permissões e formas de intervenção no processo de personalização. O sistema organiza-se em três perfis principais: administrador, técnico e utilizador.</w:t>
      </w:r>
    </w:p>
    <w:p>
      <w:pPr>
        <w:pStyle w:val="Normal"/>
        <w:bidi w:val="0"/>
        <w:jc w:val="left"/>
        <w:rPr/>
      </w:pPr>
      <w:r>
        <w:rPr>
          <w:lang w:val="pt-PT"/>
        </w:rPr>
        <w:t xml:space="preserve">O perfil de administrador assegura a gestão global da plataforma, incluindo a criação de contas, a definição de permissões e a supervisão do ecossistema de configurações, incluindo da base de dados antropométricos. </w:t>
      </w:r>
      <w:r>
        <w:rPr/>
        <w:t>O perfil técnico, pensado para profissionais intermédios, como técnicos de ortoprotesia, clínicos ou operadores especializados, permite criar, editar e acompanhar configurações próprias e, quando aplicável, aceder às configurações dos utilizadores sob sua responsabilidade.</w:t>
      </w:r>
      <w:r>
        <w:rPr>
          <w:lang w:val="pt-PT"/>
        </w:rPr>
        <w:t xml:space="preserve"> O perfil de utilizador corresponde ao nível mais restrito, centrado na consulta das suas configurações, no acompanhamento do processo e em interações delimitadas pelo sistema.</w:t>
      </w:r>
    </w:p>
    <w:p>
      <w:pPr>
        <w:pStyle w:val="Normal"/>
        <w:bidi w:val="0"/>
        <w:jc w:val="left"/>
        <w:rPr>
          <w:lang w:val="pt-PT"/>
        </w:rPr>
      </w:pPr>
      <w:r>
        <w:rPr>
          <w:lang w:val="pt-PT"/>
        </w:rPr>
        <w:t>Esta segmentação traduz uma lógica de controlo de acesso baseada em papéis, procurando equilibrar autonomia, segurança e responsabilidade distribuída, ao tornar claros os limites de intervenção de cada perfil. Importa sublinhar que esta diferenciação não se limita a uma decisão administrativa, participando diretamente na forma como a plataforma enquadra a personalização.</w:t>
      </w:r>
    </w:p>
    <w:p>
      <w:pPr>
        <w:pStyle w:val="Normal"/>
        <w:bidi w:val="0"/>
        <w:jc w:val="left"/>
        <w:rPr>
          <w:lang w:val="pt-PT"/>
        </w:rPr>
      </w:pPr>
      <w:r>
        <w:rPr>
          <w:lang w:val="pt-PT"/>
        </w:rPr>
        <w:t>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(#ref-bai-2024); Quintero et al., 2018 (#ref-quintero-2018)).</w:t>
      </w:r>
    </w:p>
    <w:p>
      <w:pPr>
        <w:pStyle w:val="Normal"/>
        <w:bidi w:val="0"/>
        <w:jc w:val="left"/>
        <w:rPr/>
      </w:pPr>
      <w:r>
        <w:rPr>
          <w:lang w:val="pt-PT"/>
        </w:rPr>
        <w:t xml:space="preserve">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w:t>
      </w:r>
      <w:r>
        <w:rPr/>
        <w:t>mas também em reconfigurar o próprio processo de personalização como uma sequência assistida, documentável e passível de revisão crítica. É nessa articulação entre capacidade de configuração, mediação pela interface e organização por perfis que a secção seguinte, dedicada à arquitetura geral do sistema, encontra a sua base conceptual.</w:t>
      </w:r>
    </w:p>
    <w:p>
      <w:pPr>
        <w:pStyle w:val="Heading3"/>
        <w:bidi w:val="0"/>
        <w:jc w:val="left"/>
        <w:rPr>
          <w:lang w:val="pt-PT"/>
        </w:rPr>
      </w:pPr>
      <w:r>
        <w:rPr>
          <w:lang w:val="pt-PT"/>
        </w:rPr>
      </w:r>
    </w:p>
    <w:p>
      <w:pPr>
        <w:pStyle w:val="Heading3"/>
        <w:bidi w:val="0"/>
        <w:jc w:val="left"/>
        <w:rPr>
          <w:lang w:val="pt-PT"/>
        </w:rPr>
      </w:pPr>
      <w:r>
        <w:rPr>
          <w:lang w:val="pt-PT"/>
        </w:rPr>
        <w:t>5.2 Arquitetura geral do sistema</w:t>
      </w:r>
    </w:p>
    <w:p>
      <w:pPr>
        <w:pStyle w:val="Normal"/>
        <w:bidi w:val="0"/>
        <w:jc w:val="left"/>
        <w:rPr>
          <w:lang w:val="pt-PT"/>
        </w:rPr>
      </w:pPr>
      <w:r>
        <w:rPr>
          <w:lang w:val="pt-PT"/>
        </w:rPr>
      </w:r>
    </w:p>
    <w:p>
      <w:pPr>
        <w:pStyle w:val="Normal"/>
        <w:bidi w:val="0"/>
        <w:jc w:val="left"/>
        <w:rPr>
          <w:lang w:val="pt-PT"/>
        </w:rPr>
      </w:pPr>
      <w:r>
        <w:rPr>
          <w:lang w:val="pt-PT"/>
        </w:rPr>
        <w:t>O sistema organiza-se numa estrutura em camadas, concebida para distinguir a interface de utilização, a lógica de configuração, a persistência de dados e os serviços complementares de apoio ao processo de personalização. Esta opção procura responder a um problema central do projeto: tornar operável um modelo paramétrico tecnicamente exigente num ambiente web sem concentrar, no mesmo ponto, responsabilidades de interação, cálculo geométrico, armazenamento e controlo de acesso. Em termos conceptuais, esta separação prolonga a lógica já discutida nas secções anteriores: a personalização digital exige sistemas suficientemente configuráveis para acomodar a variação, mas também suficientemente disciplinados para preservar a coerência, a rastreabilidade e a capacidade de manutenção (Ozdemir et al., 2022 (#ref-ozdemir-2022); Lei et al., 2016 (#ref-lei-2016)).</w:t>
      </w:r>
    </w:p>
    <w:p>
      <w:pPr>
        <w:pStyle w:val="Normal"/>
        <w:bidi w:val="0"/>
        <w:jc w:val="left"/>
        <w:rPr>
          <w:lang w:val="pt-PT"/>
        </w:rPr>
      </w:pPr>
      <w:r>
        <w:rPr>
          <w:lang w:val="pt-PT"/>
        </w:rPr>
        <w:t>A Figura 5.1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 (#ref-gorski-2022)).</w:t>
      </w:r>
    </w:p>
    <w:p>
      <w:pPr>
        <w:pStyle w:val="Normal"/>
        <w:bidi w:val="0"/>
        <w:jc w:val="left"/>
        <w:rPr>
          <w:lang w:val="pt-PT"/>
        </w:rPr>
      </w:pPr>
      <w:r>
        <w:rPr/>
        <w:drawing>
          <wp:inline distT="0" distB="0" distL="0" distR="0">
            <wp:extent cx="5715000" cy="3238500"/>
            <wp:effectExtent l="0" t="0" r="0" b="0"/>
            <wp:docPr id="16"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descr="Image 15"/>
                    <pic:cNvPicPr>
                      <a:picLocks noChangeAspect="1" noChangeArrowheads="1"/>
                    </pic:cNvPicPr>
                  </pic:nvPicPr>
                  <pic:blipFill>
                    <a:blip r:embed="rId25"/>
                    <a:stretch>
                      <a:fillRect/>
                    </a:stretch>
                  </pic:blipFill>
                  <pic:spPr bwMode="auto">
                    <a:xfrm>
                      <a:off x="0" y="0"/>
                      <a:ext cx="5715000" cy="3238500"/>
                    </a:xfrm>
                    <a:prstGeom prst="rect">
                      <a:avLst/>
                    </a:prstGeom>
                    <a:noFill/>
                  </pic:spPr>
                </pic:pic>
              </a:graphicData>
            </a:graphic>
          </wp:inline>
        </w:drawing>
      </w:r>
    </w:p>
    <w:p>
      <w:pPr>
        <w:pStyle w:val="Normal"/>
        <w:bidi w:val="0"/>
        <w:jc w:val="left"/>
        <w:rPr>
          <w:lang w:val="pt-PT"/>
        </w:rPr>
      </w:pPr>
      <w:r>
        <w:rPr>
          <w:lang w:val="pt-PT"/>
        </w:rPr>
        <w:t>Figura 5.1 — Fluxo geral de produção personalizada de próteses a partir de digitalização, CAD adaptativo e fabrico aditivo.</w:t>
      </w:r>
    </w:p>
    <w:p>
      <w:pPr>
        <w:pStyle w:val="Normal"/>
        <w:bidi w:val="0"/>
        <w:jc w:val="left"/>
        <w:rPr>
          <w:lang w:val="pt-PT"/>
        </w:rPr>
      </w:pPr>
      <w:r>
        <w:rPr>
          <w:lang w:val="pt-PT"/>
        </w:rPr>
        <w:t xml:space="preserve">Fonte original: Górski, F., Zawadzki, P., Wichniarek, R., Kuczko, W., Słupińska, S., &amp; Żukowska, M. (2022). Automated design and rapid manufacturing of low-cost customized upper limb prostheses. Journal of Physics: Conference Series, 2198, 012040. </w:t>
      </w:r>
      <w:hyperlink r:id="rId26">
        <w:r>
          <w:rPr>
            <w:rStyle w:val="Hyperlink"/>
            <w:lang w:val="pt-PT"/>
          </w:rPr>
          <w:t>https://doi.org/10.1088/1742-6596/2198/1/012040</w:t>
        </w:r>
      </w:hyperlink>
    </w:p>
    <w:p>
      <w:pPr>
        <w:pStyle w:val="Normal"/>
        <w:bidi w:val="0"/>
        <w:jc w:val="left"/>
        <w:rPr>
          <w:lang w:val="pt-PT"/>
        </w:rPr>
      </w:pPr>
      <w:r>
        <w:rPr>
          <w:lang w:val="pt-PT"/>
        </w:rPr>
      </w:r>
    </w:p>
    <w:p>
      <w:pPr>
        <w:pStyle w:val="Normal"/>
        <w:bidi w:val="0"/>
        <w:jc w:val="left"/>
        <w:rPr/>
      </w:pPr>
      <w:r>
        <w:rPr>
          <w:lang w:val="pt-PT"/>
        </w:rPr>
        <w:t xml:space="preserve">No navegador do utilizador, a aplicação integra os componentes responsáveis pela interface, pela recolha e edição de parâmetros, pela gestão do estado da sessão e pela visualização local dos modelos. </w:t>
      </w:r>
      <w:r>
        <w:rPr/>
        <w:t>No servidor, um serviço desenvolvido em Node.js, com recurso ao framework Express.js, assegura a disponibilização de ficheiros estáticos, o processamento de pedidos à API, a autenticação de utilizadores, a aplicação de permissões e a comunicação com a camada de persistência.</w:t>
      </w:r>
      <w:r>
        <w:rPr>
          <w:lang w:val="pt-PT"/>
        </w:rPr>
        <w:t xml:space="preserve">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w:t>
      </w:r>
      <w:r>
        <w:rPr>
          <w:i/>
          <w:iCs/>
          <w:lang w:val="pt-PT"/>
        </w:rPr>
        <w:t>frontend</w:t>
      </w:r>
      <w:r>
        <w:rPr>
          <w:lang w:val="pt-PT"/>
        </w:rPr>
        <w:t>) e “retaguarda” (</w:t>
      </w:r>
      <w:r>
        <w:rPr>
          <w:i/>
          <w:iCs/>
          <w:lang w:val="pt-PT"/>
        </w:rPr>
        <w:t>backend</w:t>
      </w:r>
      <w:r>
        <w:rPr>
          <w:lang w:val="pt-PT"/>
        </w:rPr>
        <w:t>), mas sim a uma estratégia de contenção da complexidade e de delimitação explícita de responsabilidades.</w:t>
      </w:r>
    </w:p>
    <w:p>
      <w:pPr>
        <w:pStyle w:val="Normal"/>
        <w:bidi w:val="0"/>
        <w:jc w:val="left"/>
        <w:rPr>
          <w:lang w:val="pt-PT"/>
        </w:rPr>
      </w:pPr>
      <w:r>
        <w:rPr>
          <w:lang w:val="pt-PT"/>
        </w:rP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do projeto. Deste modo, a base de dados não funciona apenas como repositório administrativo, mas também como infraestrutura que sustenta a continuidade do processo, a gestão prática de versões e o acompanhamento da evolução das variantes produzidas.</w:t>
      </w:r>
    </w:p>
    <w:p>
      <w:pPr>
        <w:pStyle w:val="Normal"/>
        <w:bidi w:val="0"/>
        <w:jc w:val="left"/>
        <w:rPr>
          <w:lang w:val="pt-PT"/>
        </w:rPr>
      </w:pPr>
      <w:r>
        <w:rPr>
          <w:lang w:val="pt-PT"/>
        </w:rPr>
        <w:t xml:space="preserve">Um dos aspetos mais relevantes da arquitetura é que a renderização geométrica não é executada no servidor. Em vez disso, o cálculo e a geração da geometria tridimensional ocorrem localmente no navegador, através de uma versão do OpenSCAD compilada para WebAssembly, tecnologia que permite executar código de elevado desempenho em ambiente web. Este processo é realizado num Web Worker, isto é, numa tarefa separada da interface principal, evitando que a geração do modelo bloqueie a interação do utilizador com a plataforma. Esta decisão reduz a carga computacional do </w:t>
      </w:r>
      <w:r>
        <w:rPr>
          <w:i/>
          <w:iCs/>
          <w:lang w:val="pt-PT"/>
        </w:rPr>
        <w:t>backen</w:t>
      </w:r>
      <w:r>
        <w:rPr>
          <w:lang w:val="pt-PT"/>
        </w:rPr>
        <w:t>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lang w:val="pt-PT"/>
        </w:rPr>
      </w:pPr>
      <w:r>
        <w:rPr>
          <w:lang w:val="pt-PT"/>
        </w:rPr>
        <w:t>No plano da segurança e do controlo de acesso, a arquitetura incorpora autenticação baseada em JSON Web Token (JWT), um mecanismo que permite verificar a identidade do utilizador através de credenciais digitais temporárias. A plataforma utiliza ainda tokens de atualização armazenados em cookies HttpOnly, isto é, cookies que não podem ser acedidos diretamente por scripts executados no navegador, reduzindo a exposição a certos tipos de ataque. Estes mecanismos são complementados por validação de dados, limitação de pedidos e bloqueio explícito de ficheiros sensíveis.</w:t>
      </w:r>
    </w:p>
    <w:p>
      <w:pPr>
        <w:pStyle w:val="Normal"/>
        <w:bidi w:val="0"/>
        <w:jc w:val="left"/>
        <w:rPr>
          <w:lang w:val="pt-PT"/>
        </w:rPr>
      </w:pPr>
      <w:r>
        <w:rPr>
          <w:lang w:val="pt-PT"/>
        </w:rPr>
        <w:t>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(#ref-quintero-2018); Bai et al., 2024 (#ref-bai-2024)). Neste sentido, a arquitetura traduz uma opção por robustez e extensibilidade controlada: não procura apenas “ligar” componentes, mas estruturar um ecossistema técnico coerente com os requisitos de personalização assistida, gestão multiutilizador e futura evolução da plataforma.</w:t>
      </w:r>
    </w:p>
    <w:p>
      <w:pPr>
        <w:pStyle w:val="Heading3"/>
        <w:bidi w:val="0"/>
        <w:jc w:val="left"/>
        <w:rPr>
          <w:lang w:val="pt-PT"/>
        </w:rPr>
      </w:pPr>
      <w:r>
        <w:rPr>
          <w:lang w:val="pt-PT"/>
        </w:rPr>
      </w:r>
    </w:p>
    <w:p>
      <w:pPr>
        <w:pStyle w:val="Heading3"/>
        <w:bidi w:val="0"/>
        <w:jc w:val="left"/>
        <w:rPr>
          <w:lang w:val="pt-PT"/>
        </w:rPr>
      </w:pPr>
      <w:r>
        <w:rPr>
          <w:lang w:val="pt-PT"/>
        </w:rPr>
        <w:t>5.3 Integração OpenSCAD via WebAssembly (WASM)</w:t>
      </w:r>
    </w:p>
    <w:p>
      <w:pPr>
        <w:pStyle w:val="Normal"/>
        <w:bidi w:val="0"/>
        <w:jc w:val="left"/>
        <w:rPr>
          <w:lang w:val="pt-PT"/>
        </w:rPr>
      </w:pPr>
      <w:r>
        <w:rPr>
          <w:lang w:val="pt-PT"/>
        </w:rPr>
      </w:r>
    </w:p>
    <w:p>
      <w:pPr>
        <w:pStyle w:val="Normal"/>
        <w:bidi w:val="0"/>
        <w:jc w:val="left"/>
        <w:rPr>
          <w:lang w:val="pt-PT"/>
        </w:rPr>
      </w:pPr>
      <w:r>
        <w:rPr>
          <w:lang w:val="pt-PT"/>
        </w:rPr>
        <w:t>A integração do OpenSCAD por meio de WebAssembly, como referido anteriormente, constitui um dos elementos 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(#ref-machado-2019); Nilsiam &amp; Pearce, 2017 (#ref-nilsiam-2017)).</w:t>
      </w:r>
    </w:p>
    <w:p>
      <w:pPr>
        <w:pStyle w:val="Normal"/>
        <w:bidi w:val="0"/>
        <w:jc w:val="left"/>
        <w:rPr>
          <w:lang w:val="pt-PT"/>
        </w:rPr>
      </w:pPr>
      <w:r>
        <w:rPr>
          <w:lang w:val="pt-PT"/>
        </w:rPr>
        <w:t xml:space="preserve">Operacionalmente, a integração articula três elementos principais: os ficheiros </w:t>
      </w:r>
      <w:r>
        <w:rPr>
          <w:rStyle w:val="SourceText"/>
          <w:lang w:val="pt-PT"/>
        </w:rPr>
        <w:t>.scad</w:t>
      </w:r>
      <w:r>
        <w:rPr>
          <w:lang w:val="pt-PT"/>
        </w:rPr>
        <w:t xml:space="preserve">, formato de script utilizado pelo OpenSCAD para definir modelos geométricos por código; os parâmetros introduzidos ou ajustados na interface; e o ambiente de execução em WebAssembly. Quando o utilizador altera uma configuração, a plataforma envia os valores atualizados para um Web Worker, que aplica esses parâmetros ao modelo em OpenSCAD e gera a geometria tridimensional correspondente. O resultado é depois devolvido ao visualizador no navegador, permitindo observar os efeitos das alterações sem recorrer a software CAD instalado localmente. </w:t>
      </w:r>
      <w:r>
        <w:rPr/>
        <w:t>Este fluxo estabelece uma ligação direta entre edição paramétrica, cálculo geométrico e feedback visual, permitindo que o processo seja documentado, verificado e revisto dentro da própria plataforma.</w:t>
      </w:r>
    </w:p>
    <w:p>
      <w:pPr>
        <w:pStyle w:val="Normal"/>
        <w:bidi w:val="0"/>
        <w:jc w:val="left"/>
        <w:rPr>
          <w:lang w:val="pt-PT"/>
        </w:rPr>
      </w:pPr>
      <w:r>
        <w:rPr>
          <w:lang w:val="pt-PT"/>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(#ref-nilsiam-2017); Ozdemir et al., 2022 (#ref-ozdemir-2022)).</w:t>
      </w:r>
    </w:p>
    <w:p>
      <w:pPr>
        <w:pStyle w:val="Normal"/>
        <w:bidi w:val="0"/>
        <w:jc w:val="left"/>
        <w:rPr>
          <w:lang w:val="pt-PT"/>
        </w:rPr>
      </w:pPr>
      <w:r>
        <w:rPr>
          <w:lang w:val="pt-PT"/>
        </w:rP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lang w:val="pt-PT"/>
        </w:rPr>
      </w:pPr>
      <w:r>
        <w:rPr>
          <w:lang w:val="pt-PT"/>
        </w:rPr>
        <w:t>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de próteses e especificamente clínicos (Machado et al., 2019 (#ref-machado-2019); Nilsiam &amp; Pearce, 2017 (#ref-nilsiam-2017)).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pPr>
      <w:r>
        <w:rPr>
          <w:lang w:val="pt-PT"/>
        </w:rPr>
        <w:t xml:space="preserve">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apenas dentro dos limites computacionais e operacionais do navegador. </w:t>
      </w:r>
      <w:r>
        <w:rPr/>
        <w:t>O valor da solução reside, por isso, menos numa promessa de desempenho absoluto e mais na capacidade de tornar executável, em ambiente web, um núcleo paramétrico explícito, verificável e sujeito a revisão crítica.</w:t>
      </w:r>
    </w:p>
    <w:p>
      <w:pPr>
        <w:pStyle w:val="Normal"/>
        <w:bidi w:val="0"/>
        <w:jc w:val="left"/>
        <w:rPr>
          <w:lang w:val="pt-PT"/>
        </w:rPr>
      </w:pPr>
      <w:r>
        <w:rPr>
          <w:lang w:val="pt-PT"/>
        </w:rPr>
      </w:r>
    </w:p>
    <w:p>
      <w:pPr>
        <w:pStyle w:val="Heading3"/>
        <w:bidi w:val="0"/>
        <w:jc w:val="left"/>
        <w:rPr>
          <w:lang w:val="pt-PT"/>
        </w:rPr>
      </w:pPr>
      <w:r>
        <w:rPr>
          <w:lang w:val="pt-PT"/>
        </w:rPr>
        <w:t>5.4 Estrutura funcional da plataforma</w:t>
      </w:r>
    </w:p>
    <w:p>
      <w:pPr>
        <w:pStyle w:val="Heading3"/>
        <w:bidi w:val="0"/>
        <w:jc w:val="left"/>
        <w:rPr>
          <w:lang w:val="pt-PT"/>
        </w:rPr>
      </w:pPr>
      <w:r>
        <w:rPr>
          <w:lang w:val="pt-PT"/>
        </w:rPr>
      </w:r>
    </w:p>
    <w:p>
      <w:pPr>
        <w:pStyle w:val="Normal"/>
        <w:bidi w:val="0"/>
        <w:jc w:val="left"/>
        <w:rPr>
          <w:lang w:val="pt-PT"/>
        </w:rPr>
      </w:pPr>
      <w:r>
        <w:rPr>
          <w:lang w:val="pt-PT"/>
        </w:rPr>
        <w:t>A estrutura funcional da plataforma organiza-se num conjunto de módulos interligados que suportam o ciclo completo de configuração paramétrica: seleção do modelo, introdução e edição de parâmetros, visualização tridimensional, sugestões assistidas por IA, gestão de configurações e administração multiutilizador.</w:t>
      </w:r>
      <w:r>
        <w:rPr/>
        <w:t>Esta organização modular permite distribuir as funcionalidades da plataforma, ao mesmo tempo que estrutura o processo de personalização como uma sequência legível de operações.</w:t>
      </w:r>
    </w:p>
    <w:p>
      <w:pPr>
        <w:pStyle w:val="Normal"/>
        <w:bidi w:val="0"/>
        <w:jc w:val="left"/>
        <w:rPr>
          <w:lang w:val="pt-PT"/>
        </w:rPr>
      </w:pPr>
      <w:r>
        <w:rPr>
          <w:lang w:val="pt-PT"/>
        </w:rPr>
        <w:t xml:space="preserve"> </w:t>
      </w:r>
      <w:r>
        <w:rPr>
          <w:lang w:val="pt-PT"/>
        </w:rPr>
        <w:t xml:space="preserve">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iCs/>
          <w:lang w:val="pt-PT"/>
        </w:rPr>
        <w:t>feedback</w:t>
      </w:r>
      <w:r>
        <w:rPr>
          <w:lang w:val="pt-PT"/>
        </w:rPr>
        <w:t xml:space="preserve"> com decisão (Ozdemir et al., 2022 (#ref-ozdemir-2022); Peixoto et al., 2025 (#ref-peixoto-2025)).</w:t>
      </w:r>
    </w:p>
    <w:p>
      <w:pPr>
        <w:pStyle w:val="Normal"/>
        <w:bidi w:val="0"/>
        <w:jc w:val="left"/>
        <w:rPr/>
      </w:pPr>
      <w:r>
        <w:rPr>
          <w:lang w:val="pt-PT"/>
        </w:rPr>
        <w:t xml:space="preserve">A Figura 5.2 ilustra um precedente particularmente próximo desta lógica: uma ferramenta paramétrica orientada a terapeutas ocupacionais, na qual múltiplas variantes de produto podem ser configuradas a partir de dimensões, materiais e pesos ajustáveis. </w:t>
      </w:r>
      <w:r>
        <w:rPr/>
        <w:t>A sua pertinência para esta dissertação reside em demonstrar que a parametrização ganha valor quando é mediada por uma interface acessível a profissionais que não são necessariamente especialistas em modelação CAD.</w:t>
      </w:r>
    </w:p>
    <w:p>
      <w:pPr>
        <w:pStyle w:val="Normal"/>
        <w:bidi w:val="0"/>
        <w:jc w:val="left"/>
        <w:rPr>
          <w:lang w:val="pt-PT"/>
        </w:rPr>
      </w:pPr>
      <w:r>
        <w:rPr>
          <w:lang w:val="pt-PT"/>
        </w:rPr>
        <w:t>(Li &amp; Aflatoony, 2025 (#ref-li-aflatoony-2025)).</w:t>
      </w:r>
    </w:p>
    <w:p>
      <w:pPr>
        <w:pStyle w:val="Normal"/>
        <w:bidi w:val="0"/>
        <w:jc w:val="left"/>
        <w:rPr>
          <w:lang w:val="pt-PT"/>
        </w:rPr>
      </w:pPr>
      <w:r>
        <w:rPr/>
        <w:drawing>
          <wp:inline distT="0" distB="0" distL="0" distR="0">
            <wp:extent cx="5715000" cy="4657725"/>
            <wp:effectExtent l="0" t="0" r="0" b="0"/>
            <wp:docPr id="17"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descr="Image 16"/>
                    <pic:cNvPicPr>
                      <a:picLocks noChangeAspect="1" noChangeArrowheads="1"/>
                    </pic:cNvPicPr>
                  </pic:nvPicPr>
                  <pic:blipFill>
                    <a:blip r:embed="rId27"/>
                    <a:stretch>
                      <a:fillRect/>
                    </a:stretch>
                  </pic:blipFill>
                  <pic:spPr bwMode="auto">
                    <a:xfrm>
                      <a:off x="0" y="0"/>
                      <a:ext cx="5715000" cy="4657725"/>
                    </a:xfrm>
                    <a:prstGeom prst="rect">
                      <a:avLst/>
                    </a:prstGeom>
                    <a:noFill/>
                  </pic:spPr>
                </pic:pic>
              </a:graphicData>
            </a:graphic>
          </wp:inline>
        </w:drawing>
      </w:r>
    </w:p>
    <w:p>
      <w:pPr>
        <w:pStyle w:val="Normal"/>
        <w:bidi w:val="0"/>
        <w:jc w:val="left"/>
        <w:rPr>
          <w:lang w:val="pt-PT"/>
        </w:rPr>
      </w:pPr>
      <w:r>
        <w:rPr>
          <w:lang w:val="pt-PT"/>
        </w:rPr>
        <w:t>Figura 5.2 — Ferramenta paramétrica para configuração de ajudas técnicas com variação de dimensões, materiais e peso.</w:t>
      </w:r>
    </w:p>
    <w:p>
      <w:pPr>
        <w:pStyle w:val="Normal"/>
        <w:bidi w:val="0"/>
        <w:jc w:val="left"/>
        <w:rPr>
          <w:lang w:val="pt-PT"/>
        </w:rPr>
      </w:pPr>
      <w:r>
        <w:rPr>
          <w:lang w:val="pt-PT"/>
        </w:rPr>
        <w:t xml:space="preserve">Fonte original: Li, M., &amp; Aflatoony, L. (2025). Parametric design and three-dimensional printing: Enabling occupational therapists to develop custom hand grips. Disability and Rehabilitation: Assistive Technology, 20(6), 1829-1837. </w:t>
      </w:r>
      <w:hyperlink r:id="rId28">
        <w:r>
          <w:rPr>
            <w:rStyle w:val="Hyperlink"/>
            <w:lang w:val="pt-PT"/>
          </w:rPr>
          <w:t>https://doi.org/10.1080/17483107.2025.2483953</w:t>
        </w:r>
      </w:hyperlink>
    </w:p>
    <w:p>
      <w:pPr>
        <w:pStyle w:val="Normal"/>
        <w:bidi w:val="0"/>
        <w:jc w:val="left"/>
        <w:rPr>
          <w:lang w:val="pt-PT"/>
        </w:rPr>
      </w:pPr>
      <w:r>
        <w:rPr>
          <w:lang w:val="pt-PT"/>
        </w:rPr>
      </w:r>
    </w:p>
    <w:p>
      <w:pPr>
        <w:pStyle w:val="Normal"/>
        <w:bidi w:val="0"/>
        <w:jc w:val="left"/>
        <w:rPr>
          <w:lang w:val="pt-PT"/>
        </w:rPr>
      </w:pPr>
      <w:r>
        <w:rPr>
          <w:lang w:val="pt-PT"/>
        </w:rPr>
        <w:t>O ponto de entrada do sistema é o módulo de seleção de modelos. Cada modelo é descrito por um ficheiro de configuração que inclui o identificador, a descrição, o ficheiro OpenSCAD associado e a lista de parâmetros editáveis. A partir dessa estrutura, a interface gera automaticamente os controlos necessários para editar esses parâmetros, incluindo campos numéricos, seletores de valores dentro de intervalos definidos, caixas de seleção e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lang w:val="pt-PT"/>
        </w:rPr>
      </w:pPr>
      <w:r>
        <w:rPr>
          <w:lang w:val="pt-PT"/>
        </w:rPr>
        <w:t xml:space="preserve">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w:t>
      </w:r>
      <w:commentRangeStart w:id="15"/>
      <w:r>
        <w:rPr>
          <w:lang w:val="pt-PT"/>
        </w:rPr>
        <w:t>STL ou 3MF</w:t>
      </w:r>
      <w:r>
        <w:rPr>
          <w:lang w:val="pt-PT"/>
        </w:rPr>
      </w:r>
      <w:commentRangeEnd w:id="15"/>
      <w:r>
        <w:commentReference w:id="15"/>
      </w:r>
      <w:r>
        <w:rPr>
          <w:lang w:val="pt-PT"/>
        </w:rPr>
        <w:t xml:space="preserve">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(#ref-peixoto-2025); Quintero et al., 2018 (#ref-quintero-2018)).</w:t>
      </w:r>
    </w:p>
    <w:p>
      <w:pPr>
        <w:pStyle w:val="Normal"/>
        <w:bidi w:val="0"/>
        <w:jc w:val="left"/>
        <w:rPr>
          <w:lang w:val="pt-PT"/>
        </w:rPr>
      </w:pPr>
      <w:r>
        <w:rPr>
          <w:lang w:val="pt-PT"/>
        </w:rP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Normal"/>
        <w:bidi w:val="0"/>
        <w:jc w:val="left"/>
        <w:rPr>
          <w:lang w:val="pt-PT"/>
        </w:rPr>
      </w:pPr>
      <w:r>
        <w:rPr>
          <w:lang w:val="pt-PT"/>
        </w:rPr>
        <w:t xml:space="preserve">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iCs/>
          <w:lang w:val="pt-PT"/>
        </w:rPr>
        <w:t>human-in-the-loop</w:t>
      </w:r>
      <w:r>
        <w:rPr>
          <w:rStyle w:val="FootnoteReference"/>
          <w:i/>
          <w:iCs/>
          <w:lang w:val="pt-PT"/>
        </w:rPr>
        <w:footnoteReference w:id="14"/>
      </w:r>
      <w:r>
        <w:rPr>
          <w:lang w:val="pt-PT"/>
        </w:rPr>
        <w:t xml:space="preserve"> assumida no projeto.</w:t>
      </w:r>
    </w:p>
    <w:p>
      <w:pPr>
        <w:pStyle w:val="Normal"/>
        <w:bidi w:val="0"/>
        <w:jc w:val="left"/>
        <w:rPr/>
      </w:pPr>
      <w:r>
        <w:rPr>
          <w:lang w:val="pt-PT"/>
        </w:rPr>
        <w:t xml:space="preserve">A evolução posterior do módulo acrescentou uma ancoragem opcional em dados populacionais. Quando o </w:t>
      </w:r>
      <w:r>
        <w:rPr>
          <w:i/>
          <w:iCs/>
          <w:lang w:val="pt-PT"/>
        </w:rPr>
        <w:t>frontend</w:t>
      </w:r>
      <w:r>
        <w:rPr>
          <w:lang w:val="pt-PT"/>
        </w:rPr>
        <w:t xml:space="preserve"> envia a descrição do paciente e o identificador do modelo, o servidor procura o perfil antropométrico populacional mais próximo, considerando atributos como sexo, idade aproximada e país, e projeta as médias desse perfil sobre os parâmetros disponíveis no modelo ativo. </w:t>
      </w:r>
      <w:r>
        <w:rPr/>
        <w:t>O bloco de referência é então anexado ao pedido enviado à IA como ponto de ancoragem quantitativo, permitindo orientar a sugestão paramétrica sem se sobrepor a medições diretamente fornecidas pelo utilizador.</w:t>
      </w:r>
      <w:r>
        <w:rPr>
          <w:lang w:val="pt-PT"/>
        </w:rPr>
        <w:t xml:space="preserve"> </w:t>
      </w:r>
      <w:r>
        <w:rPr/>
        <w:t>Esta solução reforça a continuidade entre três formas de introdução de dados na plataforma: a seleção manual de um perfil populacional de referência, a importação de perfis antropométricos e a sugestão assistida por IA.</w:t>
      </w:r>
    </w:p>
    <w:p>
      <w:pPr>
        <w:pStyle w:val="Normal"/>
        <w:bidi w:val="0"/>
        <w:jc w:val="left"/>
        <w:rPr/>
      </w:pPr>
      <w:r>
        <w:rPr>
          <w:lang w:val="pt-PT"/>
        </w:rPr>
        <w:t xml:space="preserve">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w:t>
      </w:r>
      <w:r>
        <w:rPr/>
        <w:t>Funcionalmente, este módulo transforma a configuração de um ato momentâneo numa sequência acumulativa, na qual diferentes estados podem ser guardados, recuperados e comparados ao longo do processo</w:t>
      </w:r>
      <w:r>
        <w:rPr>
          <w:lang w:val="pt-PT"/>
        </w:rPr>
        <w:t>,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Normal"/>
        <w:bidi w:val="0"/>
        <w:jc w:val="left"/>
        <w:rPr>
          <w:lang w:val="pt-PT"/>
        </w:rPr>
      </w:pPr>
      <w:r>
        <w:rPr>
          <w:lang w:val="pt-PT"/>
        </w:rPr>
        <w:t>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w:t>
      </w:r>
    </w:p>
    <w:p>
      <w:pPr>
        <w:pStyle w:val="Normal"/>
        <w:bidi w:val="0"/>
        <w:jc w:val="left"/>
        <w:rPr>
          <w:lang w:val="pt-PT"/>
        </w:rPr>
      </w:pPr>
      <w:r>
        <w:rPr/>
        <w:t>A sua presença confirma que a estrutura funcional da plataforma abrange a manipulação de parâmetros, a visualização de formas e a gestão das relações entre agentes, responsabilidades e níveis de intervenção. Neste sentido, a aplicação obtém sugestões paramétricas através do servidor, que comunica com serviços externos por intermédio de um proxy seguro</w:t>
      </w:r>
      <w:r>
        <w:rPr>
          <w:rStyle w:val="FootnoteReference"/>
        </w:rPr>
        <w:footnoteReference w:id="15"/>
      </w:r>
      <w:r>
        <w:rPr/>
        <w:t>, enquadrando essa capacidade numa estrutura funcional mais ampla, em que configuração, supervisão e persistência coexistem como partes de um mesmo sistema operativo.</w:t>
      </w:r>
    </w:p>
    <w:p>
      <w:pPr>
        <w:pStyle w:val="Normal"/>
        <w:bidi w:val="0"/>
        <w:jc w:val="left"/>
        <w:rPr>
          <w:lang w:val="pt-PT"/>
        </w:rPr>
      </w:pPr>
      <w:r>
        <w:rPr>
          <w:lang w:val="pt-PT"/>
        </w:rPr>
        <w:t>A biblioteca de modelos integrada na plataforma confirma esta lógica modular. Em vez de tratar a prótese como um único ficheiro estático, o sistema organiza diferentes famílias de próteses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Normal"/>
        <w:bidi w:val="0"/>
        <w:jc w:val="left"/>
        <w:rPr>
          <w:lang w:val="pt-PT"/>
        </w:rPr>
      </w:pPr>
      <w:commentRangeStart w:id="16"/>
      <w:r>
        <w:rPr>
          <w:lang w:val="pt-PT"/>
        </w:rPr>
        <w:t>No caso do Paraglider Hand, também conhecido como Flexible Flyer, a integração partiu de uma mão mecânica acionada pelo corpo, derivada da linhagem Phoenix e UnLimbited.</w:t>
      </w:r>
      <w:r>
        <w:rPr>
          <w:lang w:val="pt-PT"/>
        </w:rPr>
      </w:r>
      <w:commentRangeEnd w:id="16"/>
      <w:r>
        <w:commentReference w:id="16"/>
      </w:r>
      <w:r>
        <w:rPr>
          <w:lang w:val="pt-PT"/>
        </w:rPr>
        <w:t xml:space="preserve">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Normal"/>
        <w:bidi w:val="0"/>
        <w:jc w:val="left"/>
        <w:rPr>
          <w:lang w:val="pt-PT"/>
        </w:rPr>
      </w:pPr>
      <w:r>
        <w:rPr>
          <w:lang w:val="pt-PT"/>
        </w:rP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Normal"/>
        <w:bidi w:val="0"/>
        <w:jc w:val="left"/>
        <w:rPr>
          <w:lang w:val="pt-PT"/>
        </w:rPr>
      </w:pPr>
      <w:r>
        <w:rPr>
          <w:lang w:val="pt-PT"/>
        </w:rPr>
        <w:t xml:space="preserve">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w:t>
      </w:r>
      <w:commentRangeStart w:id="17"/>
      <w:r>
        <w:rPr>
          <w:lang w:val="pt-PT"/>
        </w:rPr>
        <w:t>parâmetros de hardware</w:t>
      </w:r>
      <w:r>
        <w:rPr>
          <w:lang w:val="pt-PT"/>
        </w:rPr>
      </w:r>
      <w:commentRangeEnd w:id="17"/>
      <w:r>
        <w:commentReference w:id="17"/>
      </w:r>
      <w:r>
        <w:rPr>
          <w:lang w:val="pt-PT"/>
        </w:rPr>
        <w:t xml:space="preserv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Normal"/>
        <w:bidi w:val="0"/>
        <w:jc w:val="left"/>
        <w:rPr>
          <w:lang w:val="pt-PT"/>
        </w:rPr>
      </w:pPr>
      <w:r>
        <w:rPr>
          <w:lang w:val="pt-PT"/>
        </w:rPr>
        <w:t>Em conjunto, estes casos mostram que a expansão da plataforma depende menos da quantidade de modelos disponíveis e mais da existência de uma gramática comum de integração. Cada nova prótese a integrar no sistema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Normal"/>
        <w:bidi w:val="0"/>
        <w:jc w:val="left"/>
        <w:rPr>
          <w:lang w:val="pt-PT"/>
        </w:rPr>
      </w:pPr>
      <w:r>
        <w:rPr>
          <w:lang w:val="pt-PT"/>
        </w:rPr>
      </w:r>
    </w:p>
    <w:p>
      <w:pPr>
        <w:pStyle w:val="Heading3"/>
        <w:bidi w:val="0"/>
        <w:jc w:val="left"/>
        <w:rPr>
          <w:lang w:val="pt-PT"/>
        </w:rPr>
      </w:pPr>
      <w:r>
        <w:rPr>
          <w:lang w:val="pt-PT"/>
        </w:rPr>
        <w:t>5.5 Gestão de parâmetros, versões e expansão</w:t>
      </w:r>
    </w:p>
    <w:p>
      <w:pPr>
        <w:pStyle w:val="Heading3"/>
        <w:bidi w:val="0"/>
        <w:jc w:val="left"/>
        <w:rPr>
          <w:lang w:val="pt-PT"/>
        </w:rPr>
      </w:pPr>
      <w:r>
        <w:rPr>
          <w:lang w:val="pt-PT"/>
        </w:rPr>
      </w:r>
    </w:p>
    <w:p>
      <w:pPr>
        <w:pStyle w:val="Normal"/>
        <w:bidi w:val="0"/>
        <w:jc w:val="left"/>
        <w:rPr>
          <w:lang w:val="pt-PT"/>
        </w:rPr>
      </w:pPr>
      <w:r>
        <w:rPr>
          <w:lang w:val="pt-PT"/>
        </w:rPr>
        <w:t>Controlar parâmetros constitui uma das condições centrais para transformar um modelo paramétrico num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(#ref-ozdemir-2022); Lei et al., 2016 (#ref-lei-2016)).</w:t>
      </w:r>
    </w:p>
    <w:p>
      <w:pPr>
        <w:pStyle w:val="Normal"/>
        <w:bidi w:val="0"/>
        <w:jc w:val="left"/>
        <w:rPr/>
      </w:pPr>
      <w:r>
        <w:rPr>
          <w:lang w:val="pt-PT"/>
        </w:rPr>
        <w:t xml:space="preserve">Ao descrever os parâmetros em estruturas independentes do código geométrico principal, a plataforma obtém duas vantagens. A primeira é a rastreabilidade: torna-se possível saber quais variáveis são editáveis, quais são os seus intervalos válidos e como se articulam com a interface. </w:t>
      </w:r>
      <w:r>
        <w:rPr/>
        <w:t xml:space="preserve">A segunda vantagem reside na possibilidade de adaptar a estrutura do próprio sistema: parâmetros podem ser adicionados, removidos ou ajustados sem que seja necessário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 </w:t>
      </w:r>
    </w:p>
    <w:p>
      <w:pPr>
        <w:pStyle w:val="Normal"/>
        <w:bidi w:val="0"/>
        <w:jc w:val="left"/>
        <w:rPr/>
      </w:pPr>
      <w:r>
        <w:rPr>
          <w:lang w:val="pt-PT"/>
        </w:rP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w:t>
      </w:r>
      <w:r>
        <w:rPr/>
        <w:t>mbora esta solução ainda não corresponda a um sistema completo de gestão de versões, como os utilizados no desenvolvimento de software, já suporta uma função relevante para o processo de projeto: acompanhar a configuração ao longo do tempo, preservar variantes e permitir a comparação entre estados sucessivos do mesmo artefacto.</w:t>
      </w:r>
      <w:r>
        <w:rPr>
          <w:lang w:val="pt-PT"/>
        </w:rPr>
        <w:t xml:space="preserve"> </w:t>
      </w:r>
      <w:r>
        <w:rPr/>
        <w:t xml:space="preserve">Cada configuração registada pode, assim, ser entendida como uma instância documentada do processo de personalização, passível de recuperação, comparação e revisão, e não apenas como um ficheiro transitório. </w:t>
      </w:r>
      <w:r>
        <w:rPr>
          <w:lang w:val="pt-PT"/>
        </w:rPr>
        <w:t>Esta capacidade é particularmente importante num contexto em que a personalização não é um ato único, mas uma sequência de aproximações, testes e revisões.</w:t>
      </w:r>
    </w:p>
    <w:p>
      <w:pPr>
        <w:pStyle w:val="Normal"/>
        <w:bidi w:val="0"/>
        <w:jc w:val="left"/>
        <w:rPr>
          <w:lang w:val="pt-PT"/>
        </w:rPr>
      </w:pPr>
      <w:r>
        <w:rPr>
          <w:lang w:val="pt-PT"/>
        </w:rPr>
        <w:t>Do ponto de vista funcional, a persistência dessas configurações em estruturas JSON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caráter experimental da plataforma: ainda não pretende substituir mecanismos mais sofisticados de gestão de revisões, mas fornece uma base suficiente para sustentar o acompanhamento iterativo do desenvolvimento e a análise reflexiva do processo.</w:t>
      </w:r>
    </w:p>
    <w:p>
      <w:pPr>
        <w:pStyle w:val="BodyText"/>
        <w:bidi w:val="0"/>
        <w:jc w:val="left"/>
        <w:rPr/>
      </w:pPr>
      <w:r>
        <w:rPr>
          <w:lang w:val="pt-PT"/>
        </w:rPr>
        <w:t xml:space="preserve">Quanto à capacidade de expansão, a plataforma beneficia de uma arquitetura modular e orientada por ficheiros de configuração. A separação entre modelos, parâmetros, interface, autenticação e persistência permite acrescentar novos modelos em OpenSCAD, novos tipos de parâmetros ou novas rotinas de apoio sem reestruturar integralmente a aplicação. </w:t>
      </w:r>
      <w:r>
        <w:rPr/>
        <w:t>Na prática, a introdução de um novo modelo exige sobretudo a adição do ficheiro .scad correspondente e o seu registo no ficheiro de configuração dos modelos (models-config.json). Esta estrutura evidencia uma lógica de expansão baseada menos na duplicação de código e mais na extensão controlada da plataforma.</w:t>
      </w:r>
      <w:r>
        <w:rPr>
          <w:lang w:val="pt-PT"/>
        </w:rPr>
        <w:t xml:space="preserve">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(#ref-lei-2016); Ozdemir et al., 2022 (#ref-ozdemir-2022)).</w:t>
      </w:r>
    </w:p>
    <w:p>
      <w:pPr>
        <w:pStyle w:val="Normal"/>
        <w:bidi w:val="0"/>
        <w:jc w:val="left"/>
        <w:rPr>
          <w:lang w:val="pt-PT"/>
        </w:rPr>
      </w:pPr>
      <w:r>
        <w:rPr>
          <w:lang w:val="pt-PT"/>
        </w:rPr>
        <w:t>Todavia, esta lógica de expansão deve ser analisada criticamente.</w:t>
      </w:r>
    </w:p>
    <w:p>
      <w:pPr>
        <w:pStyle w:val="BodyText"/>
        <w:bidi w:val="0"/>
        <w:jc w:val="left"/>
        <w:rPr>
          <w:lang w:val="pt-PT"/>
        </w:rPr>
      </w:pPr>
      <w:r>
        <w:rPr>
          <w:lang w:val="pt-PT"/>
        </w:rPr>
        <w:t xml:space="preserve">O recurso ao </w:t>
      </w:r>
      <w:commentRangeStart w:id="18"/>
      <w:r>
        <w:rPr>
          <w:lang w:val="pt-PT"/>
        </w:rPr>
        <w:t>SQLite</w:t>
      </w:r>
      <w:r>
        <w:rPr>
          <w:lang w:val="pt-PT"/>
        </w:rPr>
      </w:r>
      <w:commentRangeEnd w:id="18"/>
      <w:r>
        <w:commentReference w:id="18"/>
      </w:r>
      <w:r>
        <w:rPr>
          <w:lang w:val="pt-PT"/>
        </w:rPr>
        <w:t xml:space="preserve"> é adequado a um protótipo funcional com um número reduzido ou moderado de acessos simultâneos, mas poderá revelar limitações em cenários de utilização mais intensiva, com maior volume de configurações, operações frequentes de leitura e escrita ou necessidades mais exigentes de auditoria e sincronização.</w:t>
      </w:r>
    </w:p>
    <w:p>
      <w:pPr>
        <w:pStyle w:val="BodyText"/>
        <w:bidi w:val="0"/>
        <w:jc w:val="left"/>
        <w:rPr/>
      </w:pPr>
      <w:r>
        <w:rPr>
          <w:lang w:val="pt-PT"/>
        </w:rPr>
        <w:t xml:space="preserve">De forma semelhante, a renderização local via WASM, embora eficaz em muitos contextos, depende do desempenho do dispositivo do utilizador, o que introduz variabilidade na experiência e impõe limites ao crescimento indiscriminado da complexidade geométrica. </w:t>
      </w:r>
      <w:r>
        <w:rPr/>
        <w:t>Para além da integração de novas funcionalidades ou modelos, a expansão da plataforma depende da capacidade de sustentar esse crescimento sem comprometer a clareza da organização interna, o desempenho, a segurança e a facilidade de manutenção do sistema.</w:t>
      </w:r>
    </w:p>
    <w:p>
      <w:pPr>
        <w:pStyle w:val="BodyText"/>
        <w:bidi w:val="0"/>
        <w:jc w:val="left"/>
        <w:rPr/>
      </w:pPr>
      <w:r>
        <w:rPr/>
        <w:t>Neste sentido, a secção confirma uma conclusão importante para o projeto: a gestão de parâmetros, de configurações e da expansão futura integra a própria lógica de design da plataforma. A capacidade de configuração, a persistência e o crescimento controlado sustentam uma personalização paramétrica tecnicamente viável, documentável e sujeita a revisão ao longo do desenvolvimento.</w:t>
      </w:r>
    </w:p>
    <w:p>
      <w:pPr>
        <w:pStyle w:val="Normal"/>
        <w:bidi w:val="0"/>
        <w:jc w:val="left"/>
        <w:rPr>
          <w:highlight w:val="none"/>
          <w:shd w:fill="FFFF00" w:val="clear"/>
          <w:lang w:val="pt-PT"/>
        </w:rPr>
      </w:pPr>
      <w:r>
        <w:rPr>
          <w:shd w:fill="FFFF00" w:val="clear"/>
          <w:lang w:val="pt-PT"/>
        </w:rPr>
      </w:r>
    </w:p>
    <w:p>
      <w:pPr>
        <w:pStyle w:val="Heading2"/>
        <w:bidi w:val="0"/>
        <w:jc w:val="left"/>
        <w:rPr>
          <w:lang w:val="pt-PT"/>
        </w:rPr>
      </w:pPr>
      <w:r>
        <w:rPr>
          <w:lang w:val="pt-PT"/>
        </w:rPr>
      </w:r>
    </w:p>
    <w:p>
      <w:pPr>
        <w:pStyle w:val="Heading2"/>
        <w:bidi w:val="0"/>
        <w:jc w:val="left"/>
        <w:rPr>
          <w:lang w:val="pt-PT"/>
        </w:rPr>
      </w:pPr>
      <w:r>
        <w:rPr>
          <w:lang w:val="pt-PT"/>
        </w:rPr>
        <w:t>Capítulo 6 — Integração da Inteligência Artificial</w:t>
      </w:r>
    </w:p>
    <w:p>
      <w:pPr>
        <w:pStyle w:val="Heading3"/>
        <w:bidi w:val="0"/>
        <w:jc w:val="left"/>
        <w:rPr>
          <w:lang w:val="pt-PT"/>
        </w:rPr>
      </w:pPr>
      <w:r>
        <w:rPr>
          <w:lang w:val="pt-PT"/>
        </w:rPr>
      </w:r>
    </w:p>
    <w:p>
      <w:pPr>
        <w:pStyle w:val="Heading3"/>
        <w:bidi w:val="0"/>
        <w:jc w:val="left"/>
        <w:rPr>
          <w:lang w:val="pt-PT"/>
        </w:rPr>
      </w:pPr>
      <w:r>
        <w:rPr>
          <w:lang w:val="pt-PT"/>
        </w:rPr>
        <w:t xml:space="preserve">6.1 Papel da </w:t>
      </w:r>
      <w:commentRangeStart w:id="19"/>
      <w:r>
        <w:rPr>
          <w:lang w:val="pt-PT"/>
        </w:rPr>
        <w:t>IA</w:t>
      </w:r>
      <w:r>
        <w:rPr>
          <w:lang w:val="pt-PT"/>
        </w:rPr>
      </w:r>
      <w:commentRangeEnd w:id="19"/>
      <w:r>
        <w:commentReference w:id="19"/>
      </w:r>
      <w:r>
        <w:rPr>
          <w:lang w:val="pt-PT"/>
        </w:rPr>
        <w:t xml:space="preserve"> no sistema proposto</w:t>
      </w:r>
    </w:p>
    <w:p>
      <w:pPr>
        <w:pStyle w:val="Normal"/>
        <w:bidi w:val="0"/>
        <w:jc w:val="left"/>
        <w:rPr>
          <w:lang w:val="pt-PT"/>
        </w:rPr>
      </w:pPr>
      <w:r>
        <w:rPr>
          <w:lang w:val="pt-PT"/>
        </w:rPr>
      </w:r>
    </w:p>
    <w:p>
      <w:pPr>
        <w:pStyle w:val="Normal"/>
        <w:bidi w:val="0"/>
        <w:jc w:val="left"/>
        <w:rPr>
          <w:lang w:val="pt-PT"/>
        </w:rPr>
      </w:pPr>
      <w:r>
        <w:rPr>
          <w:lang w:val="pt-PT"/>
        </w:rPr>
        <w:t>No sistema desenvolvido, a IA assume uma função distinta daquela que surge com maior frequência nos estudos sobre próteses. Enquanto grande parte da investigação consultada se concentra em tarefas de controlo, interpretação de biosinais, reconhecimento de gestos e adaptação funcional, esta investigação explora a IA como camada de apoio à configuração paramétrica, articulada com dados antropométricos, modelos geométricos explícitos e interface web.</w:t>
      </w:r>
    </w:p>
    <w:p>
      <w:pPr>
        <w:pStyle w:val="Normal"/>
        <w:bidi w:val="0"/>
        <w:jc w:val="left"/>
        <w:rPr>
          <w:lang w:val="pt-PT"/>
        </w:rPr>
      </w:pPr>
      <w:r>
        <w:rPr>
          <w:lang w:val="pt-PT"/>
        </w:rPr>
        <w:t xml:space="preserve">Os estudos consultados indicam que, no caso das próteses de membro superior, a aprendizagem automática tem sido aplicada sobretudo à classificação de sinais </w:t>
      </w:r>
      <w:commentRangeStart w:id="20"/>
      <w:r>
        <w:rPr>
          <w:lang w:val="pt-PT"/>
        </w:rPr>
        <w:t>EMG</w:t>
      </w:r>
      <w:r>
        <w:rPr>
          <w:lang w:val="pt-PT"/>
        </w:rPr>
      </w:r>
      <w:commentRangeEnd w:id="20"/>
      <w:r>
        <w:commentReference w:id="20"/>
      </w:r>
      <w:r>
        <w:rPr>
          <w:lang w:val="pt-PT"/>
        </w:rPr>
        <w:t>, à inferência de intenção motora, isto é, à interpretação dos sinais corporais que permitem estimar o movimento que o utilizador pretende realizar, e à melhoria do desempenho operativo do dispositivo (Choo e Chang, 2023; Terrazas-Rodas e Carrión-Pérez, 2022; Hachoumi, Laabidi e Eddabbah, 2026; Batista, Vieira e Gaspar, 2025).</w:t>
      </w:r>
    </w:p>
    <w:p>
      <w:pPr>
        <w:pStyle w:val="Normal"/>
        <w:bidi w:val="0"/>
        <w:jc w:val="left"/>
        <w:rPr/>
      </w:pPr>
      <w:r>
        <w:rPr>
          <w:lang w:val="pt-PT"/>
        </w:rPr>
        <w:t xml:space="preserve">Em contrapartida, continuam pouco consolidadas as abordagens que articulam, no mesmo sistema, a entrada antropométrica, o modelo paramétrico explícito, a sugestão assistida de parâmetros e a supervisão técnica. </w:t>
      </w:r>
      <w:r>
        <w:rPr/>
        <w:t>Esta lacuna é central para a presente investigação, pois permite situar a proposta como uma articulação entre componentes que os estudos consultados tendem a desenvolver de forma fragmentada.</w:t>
      </w:r>
    </w:p>
    <w:p>
      <w:pPr>
        <w:pStyle w:val="Normal"/>
        <w:bidi w:val="0"/>
        <w:jc w:val="left"/>
        <w:rPr>
          <w:lang w:val="pt-PT"/>
        </w:rPr>
      </w:pPr>
      <w:r>
        <w:rPr>
          <w:lang w:val="pt-PT"/>
        </w:rPr>
        <w:t xml:space="preserve">Neste enquadramento, a IA assume a função de camada complementar de apoio à configuração, operando sobre uma base paramétrica já definida e articulando-se com a lógica geométrica do modelo, a decisão de projeto e a validação técnica. A literatura sobre modelação paramétrica aplicada a próteses personalizadas e sobre fabrico aditivo mostra que há um fundamento técnico robusto para construir geometrias configuráveis com base em regras explícitas, parâmetros dimensionais e relações geométricas controladas. </w:t>
      </w:r>
      <w:r>
        <w:rPr/>
        <w:t>Estudos sobre próteses paramétricas para diferentes níveis de amputação de membros superiores, sobre a personalização de dedos protésicos por modelação paramétrica e sobre encaixes protésicos personalizados para próteses transradiais demonstram que a personalização pode ser estruturada através de modelos explícitos e fluxos CAD/CAM ajustáveis.</w:t>
      </w:r>
      <w:r>
        <w:rPr>
          <w:lang w:val="pt-PT"/>
        </w:rPr>
        <w:t xml:space="preserve"> (da Silveira Romero et al., 2025 (#ref-da-silveira-romero-2025); Lim et al., 2018 (#ref-lim-2018); Saldarriaga et al., 2024 (#ref-saldarriaga-2024)). </w:t>
      </w:r>
      <w:commentRangeStart w:id="21"/>
      <w:r>
        <w:rPr>
          <w:shd w:fill="FFFF00" w:val="clear"/>
          <w:lang w:val="pt-PT"/>
        </w:rPr>
        <w:t>O sistema aqui proposto parte precisamente desta premissa: a geometria não é gerada de forma opaca por um modelo autónomo, mas sim por um modelo paramétrico explícito, definido em OpenSCAD e manipulável por meio de parâmetros rastreáveis.</w:t>
      </w:r>
      <w:commentRangeEnd w:id="21"/>
      <w:r>
        <w:commentReference w:id="21"/>
      </w:r>
      <w:r>
        <w:rPr>
          <w:shd w:fill="FFFF00" w:val="clear"/>
          <w:lang w:val="pt-PT"/>
        </w:rPr>
      </w:r>
    </w:p>
    <w:p>
      <w:pPr>
        <w:pStyle w:val="Normal"/>
        <w:bidi w:val="0"/>
        <w:jc w:val="left"/>
        <w:rPr>
          <w:lang w:val="pt-PT"/>
        </w:rPr>
      </w:pPr>
      <w:r>
        <w:rPr>
          <w:lang w:val="pt-PT"/>
        </w:rPr>
        <w:t>É neste ponto que a IA assume uma função específica. Em vez de atuar como gerador integral da forma, atua como um mecanismo de mediação entre os dados de entrada e a exploração inicial do espaço paramétrico. O seu papel é apoiar a tradução de informação antropométrica, de preferências funcionais e de critérios de fabrico em sugestões paramétricas plausíveis, reduzindo a complexidade associada à definição manual de valores iniciais e à navegação em sistemas com múltiplas dependências internas. Esta posição aproxima-se de abordagen</w:t>
      </w:r>
      <w:r>
        <w:rPr>
          <w:shd w:fill="FFFF00" w:val="clear"/>
          <w:lang w:val="pt-PT"/>
        </w:rPr>
        <w:t xml:space="preserve">s </w:t>
      </w:r>
      <w:commentRangeStart w:id="22"/>
      <w:r>
        <w:rPr>
          <w:i/>
          <w:iCs/>
          <w:shd w:fill="FFFF00" w:val="clear"/>
          <w:lang w:val="pt-PT"/>
        </w:rPr>
        <w:t>data-driven</w:t>
      </w:r>
      <w:r>
        <w:rPr>
          <w:i/>
          <w:iCs/>
          <w:shd w:fill="FFFF00" w:val="clear"/>
          <w:lang w:val="pt-PT"/>
        </w:rPr>
      </w:r>
      <w:commentRangeEnd w:id="22"/>
      <w:r>
        <w:commentReference w:id="22"/>
      </w:r>
      <w:r>
        <w:rPr>
          <w:lang w:val="pt-PT"/>
        </w:rPr>
        <w:t xml:space="preserve"> orientadas a melhorar a adaptação, o conforto e a adequação estrutural, sem eliminar a necessidade de interpretação humana (Gu et al., 2024 (#ref-gu-2024)).</w:t>
      </w:r>
    </w:p>
    <w:p>
      <w:pPr>
        <w:pStyle w:val="Normal"/>
        <w:bidi w:val="0"/>
        <w:jc w:val="left"/>
        <w:rPr>
          <w:lang w:val="pt-PT"/>
        </w:rPr>
      </w:pPr>
      <w:r>
        <w:rPr>
          <w:lang w:val="pt-PT"/>
        </w:rPr>
        <w:t>No processo de desenvolvimento, a IA funciona como uma ferramenta de apoio à decisão e à iteração: propõe pontos de partida, ajuda a comparar cenários, acelera os ciclos de teste e permanece articulada com a estrutura técnica do sistema.</w:t>
      </w:r>
    </w:p>
    <w:p>
      <w:pPr>
        <w:pStyle w:val="Normal"/>
        <w:bidi w:val="0"/>
        <w:jc w:val="left"/>
        <w:rPr>
          <w:lang w:val="pt-PT"/>
        </w:rPr>
      </w:pPr>
      <w:r>
        <w:rPr>
          <w:lang w:val="pt-PT"/>
        </w:rPr>
        <w:t xml:space="preserve">Entre os antecedentes mais próximos desta lógica encontram-se trabalhos que combinam personalização anatómica, modelação paramétrica, fabrico aditivo e componentes inteligentes, como o estudo de Romero et al. (2025) (#ref-da-silveira-romero-2025), </w:t>
      </w:r>
      <w:r>
        <w:rPr/>
        <w:t>bem como modelos de otimização estrutural orientados por dados anatómicos e restrições de adaptação, como o proposto por Gu et al. (2024) (#ref-gu-2024).</w:t>
      </w:r>
    </w:p>
    <w:p>
      <w:pPr>
        <w:pStyle w:val="Normal"/>
        <w:bidi w:val="0"/>
        <w:jc w:val="left"/>
        <w:rPr>
          <w:lang w:val="pt-PT"/>
        </w:rPr>
      </w:pPr>
      <w:r>
        <w:rPr>
          <w:lang w:val="pt-PT"/>
        </w:rPr>
        <w:t>Esta leitura é coerente com a arquitetura da plataforma descrita no capítulo anterior. O sistema separa a camada de interface, a lógica paramétrica, a renderização local em WebAssembly e a comunicação controlada com serviços externos de IA. Tal organização é metodologicamente relevante porque preserva uma continuidade verificável entre a entrada inicial, a sugestão produzida pela IA e o resultado geométrico gerado pelo modelo. Em vez de encerrar o processo num modelo generativo pouco transparente, o sistema mantém a IA supervisionado e num estado de apoio: sugere, mas não determina autonomamente; apoia, mas não valida; acelera, mas não substitui o julgamento técnico. Esta opção é importante, considerando que a supervisão clínica ou técnica permanece limitada em vários estudos que já articulam modelação digital, CAD, IA, co-design assistido ou impressão 3D (Romero et al., 2025 (#ref-da-silveira-romero-2025); Elbreki et al., 2022 (#ref-elbreki-2022); Idris et al., 2024 (#ref-idris-2024)). O valor da IA reside na sua capacidade de reforçar um processo de personalização já estruturado por lógica paramétrica explícita, por requisitos de fabrico e por responsabilidade humana e menos na promessa de automatização total.</w:t>
      </w:r>
    </w:p>
    <w:p>
      <w:pPr>
        <w:pStyle w:val="Normal"/>
        <w:bidi w:val="0"/>
        <w:jc w:val="left"/>
        <w:rPr>
          <w:lang w:val="pt-PT"/>
        </w:rPr>
      </w:pPr>
      <w:r>
        <w:rPr>
          <w:lang w:val="pt-PT"/>
        </w:rPr>
      </w:r>
    </w:p>
    <w:p>
      <w:pPr>
        <w:pStyle w:val="Heading3"/>
        <w:bidi w:val="0"/>
        <w:jc w:val="left"/>
        <w:rPr>
          <w:lang w:val="pt-PT"/>
        </w:rPr>
      </w:pPr>
      <w:r>
        <w:rPr>
          <w:lang w:val="pt-PT"/>
        </w:rPr>
        <w:t>6.2 IA na parametrização, personalização e apoio à decisão</w:t>
      </w:r>
    </w:p>
    <w:p>
      <w:pPr>
        <w:pStyle w:val="Heading3"/>
        <w:bidi w:val="0"/>
        <w:jc w:val="left"/>
        <w:rPr>
          <w:lang w:val="pt-PT"/>
        </w:rPr>
      </w:pPr>
      <w:r>
        <w:rPr>
          <w:lang w:val="pt-PT"/>
        </w:rPr>
      </w:r>
    </w:p>
    <w:p>
      <w:pPr>
        <w:pStyle w:val="Normal"/>
        <w:bidi w:val="0"/>
        <w:jc w:val="left"/>
        <w:rPr>
          <w:lang w:val="pt-PT"/>
        </w:rPr>
      </w:pPr>
      <w:r>
        <w:rPr>
          <w:lang w:val="pt-PT"/>
        </w:rPr>
        <w:t xml:space="preserve">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customização eficaz depende de relações explícitas entre medidas, proporções e componentes geométricos, e não apenas da introdução isolada de valores numéricos (Saldarriaga et al., 2024 (#ref-saldarriaga-2024); da Silveira Romero et al., 2025 (#ref-da-silveira-romero-2025)). </w:t>
      </w:r>
      <w:r>
        <w:rPr/>
        <w:t>Neste enquadramento, a IA amplia a capacidade de utilização do modelo paramétrico, ajudando a propor intervalos plausíveis, combinações coerentes entre variáveis e pontos de partida mais ajustados ao caso específico.</w:t>
      </w:r>
    </w:p>
    <w:p>
      <w:pPr>
        <w:pStyle w:val="Normal"/>
        <w:bidi w:val="0"/>
        <w:jc w:val="left"/>
        <w:rPr>
          <w:lang w:val="pt-PT"/>
        </w:rPr>
      </w:pPr>
      <w:r>
        <w:rPr>
          <w:lang w:val="pt-PT"/>
        </w:rPr>
        <w:t xml:space="preserve">No plano da personalização, esta mediação é importante porque a adaptação de uma prótese exige o controlo independente de diferentes parâmetros anatómicos, funcionais e construtivos, ultrapassando a simples alteração proporcional da escala do modelo. A literatura indica que diferentes parâmetros podem ter de ser controlados de forma independente para respeitar as proporções anatómicas, o conforto, a mobilidade e os requisitos de montagem. </w:t>
      </w:r>
      <w:r>
        <w:rPr/>
        <w:t>O estudo de Lim et al. (2018) (#ref-lim-2018), por exemplo, demonstra que o comprimento e a largura de um dedo protésico podem exigir ajustamentos independentes, uma vez que não evoluem necessariamente segundo uma relação linear e proporcional. Este resultado reforça a necessidade de parametrizações mais precisas do que simples operações de escala.</w:t>
      </w:r>
    </w:p>
    <w:p>
      <w:pPr>
        <w:pStyle w:val="Normal"/>
        <w:bidi w:val="0"/>
        <w:jc w:val="left"/>
        <w:rPr>
          <w:lang w:val="pt-PT"/>
        </w:rPr>
      </w:pPr>
      <w:r>
        <w:rPr>
          <w:lang w:val="pt-PT"/>
        </w:rPr>
      </w:r>
    </w:p>
    <w:p>
      <w:pPr>
        <w:pStyle w:val="Normal"/>
        <w:bidi w:val="0"/>
        <w:jc w:val="left"/>
        <w:rPr>
          <w:lang w:val="pt-PT"/>
        </w:rPr>
      </w:pPr>
      <w:r>
        <w:rPr>
          <w:lang w:val="pt-PT"/>
        </w:rPr>
        <w:t>De forma convergente, Gu et al. (2024) (#ref-gu-2024) mostram que abordagens orientadas por dados podem apoiar a adaptação estrutural e a qualidade do ajuste ao corpo, sugerindo que métodos inteligentes podem ajudar a antecipar relações entre geometria, desempenho e conforto. No sistema proposto, a IA funciona, assim, como uma camada de inferência preliminar sobre um espaço paramétrico já estruturado, orientando a exploração inicial das configurações.</w:t>
      </w:r>
    </w:p>
    <w:p>
      <w:pPr>
        <w:pStyle w:val="Normal"/>
        <w:bidi w:val="0"/>
        <w:jc w:val="left"/>
        <w:rPr>
          <w:lang w:val="pt-PT"/>
        </w:rPr>
      </w:pPr>
      <w:r>
        <w:rPr>
          <w:lang w:val="pt-PT"/>
        </w:rP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Normal"/>
        <w:bidi w:val="0"/>
        <w:jc w:val="left"/>
        <w:rPr>
          <w:lang w:val="pt-PT"/>
        </w:rPr>
      </w:pPr>
      <w:r>
        <w:rPr>
          <w:lang w:val="pt-PT"/>
        </w:rPr>
        <w:t>No protótipo implementado, esta separação é materializada pela construção dinâmica do pedido enviado ao modelo de linguagem. O pedido inclui a descrição livre do utilizador,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Normal"/>
        <w:bidi w:val="0"/>
        <w:jc w:val="left"/>
        <w:rPr>
          <w:lang w:val="pt-PT"/>
        </w:rPr>
      </w:pPr>
      <w:r>
        <w:rPr>
          <w:lang w:val="pt-PT"/>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(#ref-da-silveira-romero-2025),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Normal"/>
        <w:bidi w:val="0"/>
        <w:jc w:val="left"/>
        <w:rPr>
          <w:lang w:val="pt-PT"/>
        </w:rPr>
      </w:pPr>
      <w:r>
        <w:rPr>
          <w:lang w:val="pt-PT"/>
        </w:rPr>
        <w:t xml:space="preserve">É por isso que, nesta investigação, a personalização assistida por IA deve ser entendida como uma prática de </w:t>
      </w:r>
      <w:commentRangeStart w:id="23"/>
      <w:r>
        <w:rPr>
          <w:i/>
          <w:iCs/>
          <w:lang w:val="pt-PT"/>
        </w:rPr>
        <w:t>human-in-the-loop.</w:t>
      </w:r>
      <w:r>
        <w:rPr>
          <w:i/>
          <w:iCs/>
          <w:lang w:val="pt-PT"/>
        </w:rPr>
      </w:r>
      <w:commentRangeEnd w:id="23"/>
      <w:r>
        <w:commentReference w:id="23"/>
      </w:r>
      <w:r>
        <w:rPr/>
        <w:t xml:space="preserve">O sistema procura ampliar a capacidade de análise e de exploração do protesista, do designer ou do utilizador informado. A IA pode sugerir configurações iniciais, organizar alternativas, sinalizar dependências entre parâmetros e tornar mais claras certas consequências de projeto, </w:t>
      </w:r>
      <w:r>
        <w:rPr>
          <w:lang w:val="pt-PT"/>
        </w:rPr>
        <w:t xml:space="preserve">a aceitação final, porém, continua dependente de verificação técnica e de julgamento contextual. </w:t>
      </w:r>
      <w:r>
        <w:rPr/>
        <w:t>Deste modo, a parametrização assistida por IA não corresponde a uma automatização cega da personalização, mas a um mecanismo de apoio à decisão que atua sobre uma base geométrica explícita, documentada e tecnicamente verificável.</w:t>
      </w:r>
    </w:p>
    <w:p>
      <w:pPr>
        <w:pStyle w:val="Normal"/>
        <w:bidi w:val="0"/>
        <w:jc w:val="left"/>
        <w:rPr>
          <w:lang w:val="pt-PT"/>
        </w:rPr>
      </w:pPr>
      <w:r>
        <w:rPr>
          <w:lang w:val="pt-PT"/>
        </w:rPr>
      </w:r>
    </w:p>
    <w:p>
      <w:pPr>
        <w:pStyle w:val="Heading3"/>
        <w:bidi w:val="0"/>
        <w:jc w:val="left"/>
        <w:rPr>
          <w:lang w:val="pt-PT"/>
        </w:rPr>
      </w:pPr>
      <w:r>
        <w:rPr>
          <w:lang w:val="pt-PT"/>
        </w:rPr>
        <w:t>6.3 Validação antropométrica assistida por IA no sistema</w:t>
      </w:r>
    </w:p>
    <w:p>
      <w:pPr>
        <w:pStyle w:val="Heading3"/>
        <w:bidi w:val="0"/>
        <w:jc w:val="left"/>
        <w:rPr>
          <w:lang w:val="pt-PT"/>
        </w:rPr>
      </w:pPr>
      <w:r>
        <w:rPr>
          <w:lang w:val="pt-PT"/>
        </w:rPr>
      </w:r>
    </w:p>
    <w:p>
      <w:pPr>
        <w:pStyle w:val="Normal"/>
        <w:bidi w:val="0"/>
        <w:jc w:val="left"/>
        <w:rPr>
          <w:lang w:val="pt-PT"/>
        </w:rPr>
      </w:pPr>
      <w:r>
        <w:rPr>
          <w:lang w:val="pt-PT"/>
        </w:rPr>
        <w:t xml:space="preserve">A validação antropométrica assistida por IA realizada no sistema deve ser entendida como validação interna de plausibilidade e de coerência paramétrica, não como validação clínica da prótese final.  </w:t>
      </w:r>
      <w:r>
        <w:rPr/>
        <w:t>O objetivo consistiu em avaliar se uma descrição em linguagem natural, produzida por uma pessoa sem conhecimento especializado sobre medições da mão, poderia ser convertida num conjunto inicial de parâmetros anatómica e tecnicamente plausível. Esta formulação delimita o alcance da validação realizada: a plataforma permite verificar a conformidade com o esquema de parâmetros, os intervalos declarados, a proporcionalidade digital e a coerência de lateralidade, mas a demonstração de conforto, segurança, desempenho funcional ou adequação terapêutica exige avaliação técnica e clínica posterior.</w:t>
      </w:r>
    </w:p>
    <w:p>
      <w:pPr>
        <w:pStyle w:val="Normal"/>
        <w:bidi w:val="0"/>
        <w:jc w:val="left"/>
        <w:rPr>
          <w:lang w:val="pt-PT"/>
        </w:rPr>
      </w:pPr>
      <w:r>
        <w:rPr>
          <w:lang w:val="pt-PT"/>
        </w:rPr>
        <w:t xml:space="preserve">O ensaio foi estruturado a partir da cadeia funcional implementada na plataforma: descrição livre do caso, construção do pedido no </w:t>
      </w:r>
      <w:r>
        <w:rPr>
          <w:i/>
          <w:iCs/>
          <w:lang w:val="pt-PT"/>
        </w:rPr>
        <w:t>frontend</w:t>
      </w:r>
      <w:r>
        <w:rPr>
          <w:lang w:val="pt-PT"/>
        </w:rPr>
        <w:t xml:space="preserve">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Normal"/>
        <w:bidi w:val="0"/>
        <w:jc w:val="left"/>
        <w:rPr>
          <w:lang w:val="pt-PT"/>
        </w:rPr>
      </w:pPr>
      <w:r>
        <w:rPr>
          <w:lang w:val="pt-PT"/>
        </w:rPr>
        <w:t xml:space="preserve">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O terceiro foi a plausibilidade adulta, usando como referência os intervalos antropométricos canónicos já adotados no sistema. O quarto foi a adequação etária, sobretudo em perfis infantis ou adolescentes. </w:t>
      </w:r>
      <w:r>
        <w:rPr/>
        <w:t>O quinto critério foi a lateralidade em casos de amputação unilateral, verificando se o parâmetro responsável pela inversão lateral gerava a mão correspondente ao lado amputado, e não uma réplica da mão medida.</w:t>
      </w:r>
    </w:p>
    <w:p>
      <w:pPr>
        <w:pStyle w:val="Normal"/>
        <w:bidi w:val="0"/>
        <w:jc w:val="left"/>
        <w:rPr>
          <w:lang w:val="pt-PT"/>
        </w:rPr>
      </w:pPr>
      <w:commentRangeStart w:id="24"/>
      <w:r>
        <w:rPr>
          <w:lang w:val="pt-PT"/>
        </w:rPr>
        <w:t>O primeiro conjunto experimental usou cinco perfis sintéticos descritos apenas por indicadores populacionais indiretos, como idade, sexo, altura, peso, país, envergadura ou constituição física, sem qualquer medição direta da mão. E</w:t>
      </w:r>
      <w:r>
        <w:rPr>
          <w:lang w:val="pt-PT"/>
        </w:rPr>
      </w:r>
      <w:commentRangeEnd w:id="24"/>
      <w:r>
        <w:commentReference w:id="24"/>
      </w:r>
      <w:r>
        <w:rPr>
          <w:lang w:val="pt-PT"/>
        </w:rPr>
        <w:t xml:space="preserve">ste cenário corresponde ao caso de menor literacia técnica: o utilizador não sabe medir o membro superior e/ou mão com rigor, mas consegue fornecer informação demográfica geral. Nas cinco situações, a IA produziu valores dentro dos limites do modelo, manteve a ordem anatómica dos dedos e gerou dimensões compatíveis com a idade e a constituição descritas. </w:t>
      </w:r>
      <w:r>
        <w:rPr/>
        <w:t>A redução espontânea dos parâmetros relativos aos componentes mecânicos num perfil infantil também mostrou que o modelo de linguagem utilizou as legendas do esquema, e não apenas os nomes técnicos dos parâmetros.</w:t>
      </w:r>
    </w:p>
    <w:p>
      <w:pPr>
        <w:pStyle w:val="Normal"/>
        <w:bidi w:val="0"/>
        <w:jc w:val="left"/>
        <w:rPr>
          <w:lang w:val="pt-PT"/>
        </w:rPr>
      </w:pPr>
      <w:r>
        <w:rPr>
          <w:lang w:val="pt-PT"/>
        </w:rPr>
        <w:t>O segundo conjunto experimental avaliou três graus de detalhe dos dados de entrada em cenários de amputação unilateral. Num caso com medições completas da mão intacta, os valores fornecidos foram preservados e o sistema sugeriu a mão correspondente ao lado amputado.</w:t>
      </w:r>
    </w:p>
    <w:p>
      <w:pPr>
        <w:pStyle w:val="Normal"/>
        <w:bidi w:val="0"/>
        <w:jc w:val="left"/>
        <w:rPr>
          <w:lang w:val="pt-PT"/>
        </w:rPr>
      </w:pPr>
      <w:r>
        <w:rPr>
          <w:lang w:val="pt-PT"/>
        </w:rPr>
        <w:t xml:space="preserve">Num caso parcial, com apenas a largura da palma e dados demográficos, a medida fornecida foi mantida e as dimensões em falta foram estimadas de modo proporcional. Num caso apenas demográfico, a IA gerou um conjunto completo de medidas plausíveis. Nos três casos, a lateralidade sugerida foi correta. </w:t>
      </w:r>
      <w:r>
        <w:rPr/>
        <w:t>Este resultado é relevante porque mostra que a IA consegue ajustar a resposta à informação disponível: usa medições diretas quando existem, estima valores a partir de dados parciais e recorre a referências populacionais quando apenas existe uma descrição geral.</w:t>
      </w:r>
    </w:p>
    <w:p>
      <w:pPr>
        <w:pStyle w:val="Normal"/>
        <w:bidi w:val="0"/>
        <w:jc w:val="left"/>
        <w:rPr>
          <w:lang w:val="pt-PT"/>
        </w:rPr>
      </w:pPr>
      <w:r>
        <w:rPr>
          <w:lang w:val="pt-PT"/>
        </w:rPr>
        <w:t>Numa etapa posterior, a validação foi prolongada para além da resposta numérica, acompanhando o percurso completo até à exportação dos modelos nos formatos STL e 3MF, utilizados na preparação de ficheiros para impressão 3D.</w:t>
      </w:r>
    </w:p>
    <w:p>
      <w:pPr>
        <w:pStyle w:val="Normal"/>
        <w:bidi w:val="0"/>
        <w:jc w:val="left"/>
        <w:rPr>
          <w:lang w:val="pt-PT"/>
        </w:rPr>
      </w:pPr>
      <w:r>
        <w:rPr>
          <w:lang w:val="pt-PT"/>
        </w:rPr>
        <w:t>Nesta etapa, foram testadas descrições de utilizadores em três mãos ativas na plataforma — Flexy Beast, Paraglider Hand e UnLimbited Phoenix —, utilizando o fluxo real de sugestão por IA. O procedimento incluiu a aplicação dos parâmetros sugeridos, a exportação das geometrias e a medição das malhas resultantes.</w:t>
      </w:r>
    </w:p>
    <w:p>
      <w:pPr>
        <w:pStyle w:val="Normal"/>
        <w:bidi w:val="0"/>
        <w:jc w:val="left"/>
        <w:rPr>
          <w:lang w:val="pt-PT"/>
        </w:rPr>
      </w:pPr>
      <w:r>
        <w:rPr>
          <w:lang w:val="pt-PT"/>
        </w:rPr>
        <w:t>O objetivo d</w:t>
      </w:r>
      <w:r>
        <w:rPr/>
        <w:commentReference w:id="25"/>
      </w:r>
      <w:r>
        <w:rPr>
          <w:lang w:val="pt-PT"/>
        </w:rPr>
        <w:t>esta etapa foi confirmar se a coerência paramétrica observada no JSON chegava efetivamente à geometria imprimível e se diferentes modelos respondiam de forma previsível aos mesmos perfis antropométricos.</w:t>
      </w:r>
    </w:p>
    <w:p>
      <w:pPr>
        <w:pStyle w:val="Normal"/>
        <w:bidi w:val="0"/>
        <w:jc w:val="left"/>
        <w:rPr>
          <w:lang w:val="pt-PT"/>
        </w:rPr>
      </w:pPr>
      <w:r>
        <w:rPr>
          <w:lang w:val="pt-PT"/>
        </w:rPr>
        <w:t>Os resultados devem, contudo, ser lidos com cautela. A execução documentada corresponde a uma amostra representativa, não a uma caracterização estatística completa da distribuição de saídas.</w:t>
      </w:r>
    </w:p>
    <w:p>
      <w:pPr>
        <w:pStyle w:val="Normal"/>
        <w:bidi w:val="0"/>
        <w:jc w:val="left"/>
        <w:rPr>
          <w:lang w:val="pt-PT"/>
        </w:rPr>
      </w:pPr>
      <w:r>
        <w:rPr>
          <w:lang w:val="pt-PT"/>
        </w:rPr>
        <w:t>A repetição do mesmo perfil produziu pequenas variações, na ordem de poucos milímetros, preservando as relações anatómicas essenciais e os limites do modelo. Esta variação confirma a natureza estocástica da componente de IA: mesmo perante o mesmo perfil, o sistema pode produzir respostas ligeiramente diferentes entre execuções sucessivas.</w:t>
      </w:r>
    </w:p>
    <w:p>
      <w:pPr>
        <w:pStyle w:val="Normal"/>
        <w:bidi w:val="0"/>
        <w:jc w:val="left"/>
        <w:rPr>
          <w:lang w:val="pt-PT"/>
        </w:rPr>
      </w:pPr>
      <w:r>
        <w:rPr/>
        <w:t>Observou-se também uma forma de variabilidade estrutural: em algumas execuções, certos parâmetros relativos aos componentes mecânicos foram devolvidos explicitamente; noutras, foram omitidos, mantendo-se o valor corrente do modelo. Ambas as respostas são aceitáveis segundo a especificação atual do sistema, mas reforçam a necessidade de avaliar propriedades estáveis, e não valores exatos isolados.</w:t>
      </w:r>
    </w:p>
    <w:p>
      <w:pPr>
        <w:pStyle w:val="Normal"/>
        <w:bidi w:val="0"/>
        <w:jc w:val="left"/>
        <w:rPr>
          <w:lang w:val="pt-PT"/>
        </w:rPr>
      </w:pPr>
      <w:r>
        <w:rPr>
          <w:lang w:val="pt-PT"/>
        </w:rPr>
        <w:t>A principal fragilidade identificada nas validações posteriores relaciona-se com a lateralidade da configuração protésica. Nos primeiros testes, baseados em descrições de casos de amputação unilateral, o sistema gerou corretamente a mão correspondente à situação descrita. Contudo, numa verificação posterior centrada no utilizador, com pedidos explícitos para uma mão esquerda, observou-se que a IA tendia a devolver sistematicamente o valor correspondente à mão direita.</w:t>
      </w:r>
    </w:p>
    <w:p>
      <w:pPr>
        <w:pStyle w:val="Normal"/>
        <w:bidi w:val="0"/>
        <w:jc w:val="left"/>
        <w:rPr>
          <w:lang w:val="pt-PT"/>
        </w:rPr>
      </w:pPr>
      <w:r>
        <w:rPr>
          <w:lang w:val="pt-PT"/>
        </w:rPr>
        <w:t>Esta fragilidade foi tratada como um risco de configuração com implicações na adequação funcional do modelo. Para a corrigir, a lateralidade passou a ser definida diretamente pela interface como uma condição determinística do sistema. O parâmetro correspondente foi identificado no esquema com a função role: "laterality", retirado do conjunto de valores que a IA pode sugerir e incluído no pedido como informação fixa. Caso a resposta da IA inclua novamente esse parâmetro, o sistema ignora-o durante a validação da resposta. Desta forma, a lateralidade da configuração protésica passa a ser controlada pela plataforma, em vez de depender da interpretação textual realizada pelo modelo de linguagem.</w:t>
      </w:r>
      <w:r>
        <w:rPr/>
        <w:t>A principal conclusão desta validação é que a IA pode facilitar o acesso à configuração paramétrica, ao transformar descrições incompletas e não técnicas em pontos de partida editáveis, coerentes e passíveis de verificação. Esta função só se torna metodologicamente defensável quando a sugestão permanece ancorada no esquema do modelo, limitada por intervalos definidos, filtrada pela interface e sujeita a revisão humana.</w:t>
      </w:r>
    </w:p>
    <w:p>
      <w:pPr>
        <w:pStyle w:val="Normal"/>
        <w:bidi w:val="0"/>
        <w:jc w:val="left"/>
        <w:rPr>
          <w:lang w:val="pt-PT"/>
        </w:rPr>
      </w:pPr>
      <w:r>
        <w:rPr>
          <w:lang w:val="pt-PT"/>
        </w:rPr>
        <w:t>Deste modo, a validação antropométrica assistida por IA contribui para reduzir a barreira inicial de configuração e para tornar a parametrização mais acessível, mas não substitui medição direta, avaliação técnica, prototipagem física nem validação clínica.</w:t>
      </w:r>
    </w:p>
    <w:p>
      <w:pPr>
        <w:pStyle w:val="Normal"/>
        <w:bidi w:val="0"/>
        <w:jc w:val="left"/>
        <w:rPr>
          <w:lang w:val="pt-PT"/>
        </w:rPr>
      </w:pPr>
      <w:r>
        <w:rPr>
          <w:lang w:val="pt-PT"/>
        </w:rPr>
      </w:r>
    </w:p>
    <w:p>
      <w:pPr>
        <w:pStyle w:val="Heading3"/>
        <w:bidi w:val="0"/>
        <w:jc w:val="left"/>
        <w:rPr>
          <w:lang w:val="pt-PT"/>
        </w:rPr>
      </w:pPr>
      <w:r>
        <w:rPr>
          <w:lang w:val="pt-PT"/>
        </w:rPr>
        <w:t>6.4 Ajuste, validação e limitações éticas e técnicas</w:t>
      </w:r>
    </w:p>
    <w:p>
      <w:pPr>
        <w:pStyle w:val="Heading3"/>
        <w:bidi w:val="0"/>
        <w:jc w:val="left"/>
        <w:rPr>
          <w:lang w:val="pt-PT"/>
        </w:rPr>
      </w:pPr>
      <w:r>
        <w:rPr>
          <w:lang w:val="pt-PT"/>
        </w:rPr>
      </w:r>
    </w:p>
    <w:p>
      <w:pPr>
        <w:pStyle w:val="Normal"/>
        <w:bidi w:val="0"/>
        <w:jc w:val="left"/>
        <w:rPr>
          <w:lang w:val="pt-PT"/>
        </w:rPr>
      </w:pPr>
      <w:r>
        <w:rPr>
          <w:lang w:val="pt-PT"/>
        </w:rPr>
        <w:t xml:space="preserve">A introdução de IA num sistema como o proposto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w:t>
      </w:r>
      <w:r>
        <w:rPr/>
        <w:t>Por essa razão, os valores sugeridos pela IA devem ser entendidos como hipóteses operativas sujeitas a validação posterior, e não como prescrições definitivas.</w:t>
      </w:r>
    </w:p>
    <w:p>
      <w:pPr>
        <w:pStyle w:val="Normal"/>
        <w:bidi w:val="0"/>
        <w:jc w:val="left"/>
        <w:rPr>
          <w:lang w:val="pt-PT"/>
        </w:rPr>
      </w:pPr>
      <w:r>
        <w:rPr>
          <w:lang w:val="pt-PT"/>
        </w:rPr>
        <w:t xml:space="preserve">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w:t>
      </w:r>
      <w:r>
        <w:rPr/>
        <w:t>Assim, a integração robusta da IA depende da existência de salvaguardas incorporadas no próprio sistema, incluindo limites paramétricos, validação de intervalos, verificação de coerência entre módulos, comparação entre alternativas e supervisão humana capaz de identificar sugestões tecnicamente infundadas ou insuficientemente justificadas. Esta necessidade de enquadramento crítico é coerente com a literatura sobre responsabilidade no design assistido por IA, que sublinha a importância de compreender os dados considerados, os critérios aplicados e os limites das sugestões produzidas pelo modelo.</w:t>
      </w:r>
      <w:r>
        <w:rPr>
          <w:lang w:val="pt-PT"/>
        </w:rPr>
        <w:t>(Panchal et al., 2019 (#ref-panchal-2019); Yüksel et al., 2023 (#ref-yuksel-2023)).</w:t>
      </w:r>
    </w:p>
    <w:p>
      <w:pPr>
        <w:pStyle w:val="Normal"/>
        <w:bidi w:val="0"/>
        <w:jc w:val="left"/>
        <w:rPr>
          <w:lang w:val="pt-PT"/>
        </w:rPr>
      </w:pPr>
      <w:r>
        <w:rPr>
          <w:lang w:val="pt-PT"/>
        </w:rPr>
        <w:t>A Figura 6.1 sintetiza esta tensão entre desafios de explicabilidade e princípios de IA responsável. No contexto desta investigação, a figura é útil porque torna explícito que a responsabilidade não depende apenas de desempenho preditivo, mas de condições como transparência, auditabilidade, privacidade, justiça e prestação de contas. Estes princípios reforçam a opção do sistema por uma IA assistiva, limitada por regras e sujeita a revisão humana (Barredo Arrieta et al., 2020 (#ref-arrieta-2020)).</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000250"/>
            <wp:effectExtent l="0" t="0" r="0" b="0"/>
            <wp:docPr id="18"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7" descr="Image 17"/>
                    <pic:cNvPicPr>
                      <a:picLocks noChangeAspect="1" noChangeArrowheads="1"/>
                    </pic:cNvPicPr>
                  </pic:nvPicPr>
                  <pic:blipFill>
                    <a:blip r:embed="rId29"/>
                    <a:stretch>
                      <a:fillRect/>
                    </a:stretch>
                  </pic:blipFill>
                  <pic:spPr bwMode="auto">
                    <a:xfrm>
                      <a:off x="0" y="0"/>
                      <a:ext cx="5715000" cy="200025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6.1 — Relação entre desafios de explicabilidade e princípios de IA responsável.</w:t>
      </w:r>
    </w:p>
    <w:p>
      <w:pPr>
        <w:pStyle w:val="Normal"/>
        <w:bidi w:val="0"/>
        <w:jc w:val="left"/>
        <w:rPr>
          <w:lang w:val="pt-PT"/>
        </w:rPr>
      </w:pPr>
      <w:r>
        <w:rPr>
          <w:lang w:val="pt-PT"/>
        </w:rPr>
        <w:t xml:space="preserve">Adaptação de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30">
        <w:r>
          <w:rPr>
            <w:rStyle w:val="Hyperlink"/>
            <w:lang w:val="pt-PT"/>
          </w:rPr>
          <w:t>https://doi.org/10.1016/j.inffus.2019.12.012</w:t>
        </w:r>
      </w:hyperlink>
    </w:p>
    <w:p>
      <w:pPr>
        <w:pStyle w:val="Normal"/>
        <w:bidi w:val="0"/>
        <w:jc w:val="left"/>
        <w:rPr>
          <w:lang w:val="pt-PT"/>
        </w:rPr>
      </w:pPr>
      <w:r>
        <w:rPr>
          <w:lang w:val="pt-PT"/>
        </w:rPr>
      </w:r>
    </w:p>
    <w:p>
      <w:pPr>
        <w:pStyle w:val="Normal"/>
        <w:bidi w:val="0"/>
        <w:jc w:val="left"/>
        <w:rPr>
          <w:lang w:val="pt-PT"/>
        </w:rPr>
      </w:pPr>
      <w:r>
        <w:rPr>
          <w:lang w:val="pt-PT"/>
        </w:rPr>
        <w:t>As limitações éticas assumem particular relevância num domínio associado a dispositivos personalizados e potencialmente sensíveis, exigindo atenção à recolha excessiva de dados, à exposição desnecessária de informação pessoal e ao risco de aceitar sugestões algorítmicas como se fossem neutras ou automaticamente válidas.</w:t>
      </w:r>
    </w:p>
    <w:p>
      <w:pPr>
        <w:pStyle w:val="Normal"/>
        <w:bidi w:val="0"/>
        <w:jc w:val="left"/>
        <w:rPr>
          <w:lang w:val="pt-PT"/>
        </w:rPr>
      </w:pPr>
      <w:r>
        <w:rPr>
          <w:lang w:val="pt-PT"/>
        </w:rPr>
        <w:t>Mesmo quando a plataforma utiliza apenas dados antropométricos não clínicos ou cenários experimentais, a sua arquitetura deve limitar a recolha ao necessário, controlar quem pode aceder às configurações e explicitar que a IA atua como apoio à configuração, e não como autoridade técnica ou clínica.</w:t>
      </w:r>
    </w:p>
    <w:p>
      <w:pPr>
        <w:pStyle w:val="Normal"/>
        <w:bidi w:val="0"/>
        <w:jc w:val="left"/>
        <w:rPr>
          <w:lang w:val="pt-PT"/>
        </w:rPr>
      </w:pPr>
      <w:r>
        <w:rPr>
          <w:lang w:val="pt-PT"/>
        </w:rPr>
        <w:t>A plataforma deve comunicar de forma clara que a IA desempenha uma função de apoio à decisão no processo de configuração, sem assumir autoridade clínica ou validar autonomamente a adequação da prótese. Esta delimitação é essencial para evitar deslocamentos indevidos de responsabilidade e para definir corretamente o âmbito da ferramenta</w:t>
      </w:r>
    </w:p>
    <w:p>
      <w:pPr>
        <w:pStyle w:val="Normal"/>
        <w:bidi w:val="0"/>
        <w:jc w:val="left"/>
        <w:rPr>
          <w:lang w:val="pt-PT"/>
        </w:rPr>
      </w:pPr>
      <w:r>
        <w:rPr>
          <w:lang w:val="pt-PT"/>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Heading2"/>
        <w:bidi w:val="0"/>
        <w:jc w:val="left"/>
        <w:rPr>
          <w:lang w:val="pt-PT"/>
        </w:rPr>
      </w:pPr>
      <w:r>
        <w:rPr>
          <w:lang w:val="pt-PT"/>
        </w:rPr>
      </w:r>
    </w:p>
    <w:p>
      <w:pPr>
        <w:pStyle w:val="Heading2"/>
        <w:bidi w:val="0"/>
        <w:jc w:val="left"/>
        <w:rPr>
          <w:lang w:val="pt-PT"/>
        </w:rPr>
      </w:pPr>
      <w:r>
        <w:rPr>
          <w:lang w:val="pt-PT"/>
        </w:rPr>
        <w:t>Capítulo 7 — Interface, Interação e Experiência de Utilização</w:t>
      </w:r>
    </w:p>
    <w:p>
      <w:pPr>
        <w:pStyle w:val="Heading3"/>
        <w:bidi w:val="0"/>
        <w:jc w:val="left"/>
        <w:rPr>
          <w:lang w:val="pt-PT"/>
        </w:rPr>
      </w:pPr>
      <w:r>
        <w:rPr>
          <w:lang w:val="pt-PT"/>
        </w:rPr>
      </w:r>
    </w:p>
    <w:p>
      <w:pPr>
        <w:pStyle w:val="Heading3"/>
        <w:bidi w:val="0"/>
        <w:jc w:val="left"/>
        <w:rPr>
          <w:lang w:val="pt-PT"/>
        </w:rPr>
      </w:pPr>
      <w:r>
        <w:rPr>
          <w:lang w:val="pt-PT"/>
        </w:rPr>
        <w:t>7.1 Estratégia de interação e decisões de UI/UX</w:t>
      </w:r>
    </w:p>
    <w:p>
      <w:pPr>
        <w:pStyle w:val="Heading3"/>
        <w:bidi w:val="0"/>
        <w:jc w:val="left"/>
        <w:rPr>
          <w:lang w:val="pt-PT"/>
        </w:rPr>
      </w:pPr>
      <w:r>
        <w:rPr>
          <w:lang w:val="pt-PT"/>
        </w:rPr>
      </w:r>
    </w:p>
    <w:p>
      <w:pPr>
        <w:pStyle w:val="Normal"/>
        <w:bidi w:val="0"/>
        <w:jc w:val="left"/>
        <w:rPr>
          <w:lang w:val="pt-PT"/>
        </w:rPr>
      </w:pPr>
      <w:r>
        <w:rPr>
          <w:lang w:val="pt-PT"/>
        </w:rPr>
        <w:t>O ponto de partida desta secção é a necessidade de tornar acessível, através da interface, um sistema de modelação paramétrica baseado em código. A plataforma procura traduzir essa complexidade técnica em operações compreensíveis, permitindo selecionar modelos, introduzir dados antropométricos, ajustar parâmetros, observar resultados e guardar configurações sem exigir contacto direto com a estrutura interna do código.</w:t>
      </w:r>
      <w:r>
        <w:rPr/>
        <w:t>Em vez de exigir contacto direto com a estrutura interna do modelo, a aplicação organiza a interação em torno de ações reconhecíveis e progressivas, como selecionar um modelo, introduzir dados antropométricos, ajustar parâmetros, observar o resultado e guardar configurações.</w:t>
      </w:r>
    </w:p>
    <w:p>
      <w:pPr>
        <w:pStyle w:val="Normal"/>
        <w:bidi w:val="0"/>
        <w:jc w:val="left"/>
        <w:rPr>
          <w:lang w:val="pt-PT"/>
        </w:rPr>
      </w:pPr>
      <w:r>
        <w:rPr>
          <w:lang w:val="pt-PT"/>
        </w:rPr>
        <w:t>Esta opção traduz uma decisão deliberada de desenho da interface: a plataforma não procura ocultar a natureza técnica do sistema, mas reorganizá-la em operações compreensíveis, sequenciais e verificáveis. Esta abordagem aproxima-se de modelos que valorizam a orientação inicial do utilizador no contacto com a plataforma, a navegação guiada e a redução da carga interpretativa em processos de personalização protésica (Colombo et al., 2015 (#ref-colombo-2015); Peixoto et al., 2025 (#ref-peixoto-2025)).</w:t>
      </w:r>
    </w:p>
    <w:p>
      <w:pPr>
        <w:pStyle w:val="Normal"/>
        <w:bidi w:val="0"/>
        <w:jc w:val="left"/>
        <w:rPr>
          <w:lang w:val="pt-PT"/>
        </w:rPr>
      </w:pPr>
      <w:r>
        <w:rPr>
          <w:lang w:val="pt-PT"/>
        </w:rPr>
        <w:t xml:space="preserve">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w:t>
      </w:r>
      <w:r>
        <w:rPr>
          <w:i/>
          <w:iCs/>
          <w:lang w:val="pt-PT"/>
        </w:rPr>
        <w:t>feedback</w:t>
      </w:r>
      <w:r>
        <w:rPr>
          <w:lang w:val="pt-PT"/>
        </w:rPr>
        <w:t xml:space="preserve">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w:t>
      </w:r>
      <w:r>
        <w:rPr/>
        <w:t>Os estudos analisados sugerem que os sistemas de configuração mais eficazes distinguem visualização, ajuste e validação em camadas de interação claras, tanto em plataformas web orientadas para o utilizador final como em interfaces destinadas a profissionais responsáveis pelo ajuste protésico (Peixoto et al., 2025 (#ref-peixoto-2025); Quintero et al., 2018 (#ref-quintero-2018)).</w:t>
      </w:r>
    </w:p>
    <w:p>
      <w:pPr>
        <w:pStyle w:val="Normal"/>
        <w:bidi w:val="0"/>
        <w:jc w:val="left"/>
        <w:rPr>
          <w:lang w:val="pt-PT"/>
        </w:rPr>
      </w:pPr>
      <w:r>
        <w:rPr>
          <w:lang w:val="pt-PT"/>
        </w:rPr>
        <w:t xml:space="preserve">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w:t>
      </w:r>
      <w:commentRangeStart w:id="26"/>
      <w:r>
        <w:rPr>
          <w:lang w:val="pt-PT"/>
        </w:rPr>
        <w:t>UI/UX</w:t>
      </w:r>
      <w:r>
        <w:rPr>
          <w:lang w:val="pt-PT"/>
        </w:rPr>
      </w:r>
      <w:commentRangeEnd w:id="26"/>
      <w:r>
        <w:commentReference w:id="26"/>
      </w:r>
      <w:r>
        <w:rPr>
          <w:lang w:val="pt-PT"/>
        </w:rPr>
        <w:t>,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Normal"/>
        <w:bidi w:val="0"/>
        <w:jc w:val="left"/>
        <w:rPr>
          <w:lang w:val="pt-PT"/>
        </w:rPr>
      </w:pPr>
      <w:r>
        <w:rPr>
          <w:lang w:val="pt-PT"/>
        </w:rPr>
        <w:t>A articulação entre edição paramétrica e pré-visualização constitui outra decisão relevante, pois a renderização local através de WebAssembly permite que a resposta visual resulte diretamente da geometria gerada pelo sistema, evitando o recurso a imagens estáticas ou a representações simplificadas desligadas do modelo.</w:t>
      </w:r>
    </w:p>
    <w:p>
      <w:pPr>
        <w:pStyle w:val="Normal"/>
        <w:bidi w:val="0"/>
        <w:jc w:val="left"/>
        <w:rPr>
          <w:lang w:val="pt-PT"/>
        </w:rPr>
      </w:pPr>
      <w:r>
        <w:rPr>
          <w:lang w:val="pt-PT"/>
        </w:rPr>
        <w:t>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(#ref-colombo-2015); Peixoto et al., 2025 (#ref-peixoto-2025)).</w:t>
      </w:r>
    </w:p>
    <w:p>
      <w:pPr>
        <w:pStyle w:val="Normal"/>
        <w:bidi w:val="0"/>
        <w:jc w:val="left"/>
        <w:rPr>
          <w:lang w:val="pt-PT"/>
        </w:rPr>
      </w:pPr>
      <w:r>
        <w:rPr>
          <w:lang w:val="pt-PT"/>
        </w:rPr>
        <w:t>A interface privilegia a clareza operacional em relação à exuberância formal, em coerência com o contexto do projeto: trata-se de uma ferramenta de configuração protésica, e não de um configurador lúdico ou promocional.</w:t>
      </w:r>
    </w:p>
    <w:p>
      <w:pPr>
        <w:pStyle w:val="Normal"/>
        <w:bidi w:val="0"/>
        <w:jc w:val="left"/>
        <w:rPr>
          <w:lang w:val="pt-PT"/>
        </w:rPr>
      </w:pPr>
      <w:r>
        <w:rPr>
          <w:lang w:val="pt-PT"/>
        </w:rPr>
        <w:t>As decisões de desenho da interface procuram, assim, favorecer a clareza operacional, a consistência entre controlos, a previsibilidade das ações e o registo das alterações, mediando a passagem entre os dados do utilizador, as regras paramétricas, a assistência algorítmica e o resultado tridimensional. Esta clareza é particularmente relevante em sistemas protésicos inteligentes, nos quais importa equilibrar autonomia do utilizador, supervisão técnica e diferenciação de permissões entre utilizadores e profissionais (Bai et al., 2024 (#ref-bai-2024); Quintero et al., 2018 (#ref-quintero-2018)).</w:t>
      </w:r>
    </w:p>
    <w:p>
      <w:pPr>
        <w:pStyle w:val="Normal"/>
        <w:bidi w:val="0"/>
        <w:jc w:val="left"/>
        <w:rPr>
          <w:lang w:val="pt-PT"/>
        </w:rPr>
      </w:pPr>
      <w:r>
        <w:rPr>
          <w:lang w:val="pt-PT"/>
        </w:rPr>
        <w:t>Deste modo, a estratégia de interação adotada não deve ser lida apenas como um conjunto de escolhas de interface, mas como uma decisão metodológica sobre a forma de tornar o processo de personalização observável, configurável e aberto à revisão crítica ao longo do desenvolvimento.</w:t>
      </w:r>
    </w:p>
    <w:p>
      <w:pPr>
        <w:pStyle w:val="Normal"/>
        <w:bidi w:val="0"/>
        <w:jc w:val="left"/>
        <w:rPr>
          <w:lang w:val="pt-PT"/>
        </w:rPr>
      </w:pPr>
      <w:r>
        <w:rPr>
          <w:lang w:val="pt-PT"/>
        </w:rPr>
        <w:t>A UI/UX participa diretamente na construção do sistema, atuando como infraestrutura de mediação entre o conhecimento técnico, os dados individuais e a decisão do projeto. O seu objetivo não é simplificar artificialmente o problema, mas organizar a complexidade de forma inteligível, preservando continuidade com a lógica paramétrica do modelo e com o enquadramento de apoio da IA discutido no capítulo anterior.</w:t>
      </w:r>
    </w:p>
    <w:p>
      <w:pPr>
        <w:pStyle w:val="Normal"/>
        <w:bidi w:val="0"/>
        <w:jc w:val="left"/>
        <w:rPr>
          <w:lang w:val="pt-PT"/>
        </w:rPr>
      </w:pPr>
      <w:r>
        <w:rPr>
          <w:lang w:val="pt-PT"/>
        </w:rPr>
      </w:r>
    </w:p>
    <w:p>
      <w:pPr>
        <w:pStyle w:val="Heading3"/>
        <w:bidi w:val="0"/>
        <w:jc w:val="left"/>
        <w:rPr>
          <w:lang w:val="pt-PT"/>
        </w:rPr>
      </w:pPr>
      <w:r>
        <w:rPr>
          <w:lang w:val="pt-PT"/>
        </w:rPr>
        <w:t>7.2 Experiência do designer e do utilizador final</w:t>
      </w:r>
    </w:p>
    <w:p>
      <w:pPr>
        <w:pStyle w:val="Normal"/>
        <w:bidi w:val="0"/>
        <w:jc w:val="left"/>
        <w:rPr>
          <w:lang w:val="pt-PT"/>
        </w:rPr>
      </w:pPr>
      <w:r>
        <w:rPr>
          <w:lang w:val="pt-PT"/>
        </w:rPr>
      </w:r>
    </w:p>
    <w:p>
      <w:pPr>
        <w:pStyle w:val="Normal"/>
        <w:bidi w:val="0"/>
        <w:jc w:val="left"/>
        <w:rPr>
          <w:lang w:val="pt-PT"/>
        </w:rPr>
      </w:pPr>
      <w:r>
        <w:rPr>
          <w:lang w:val="pt-PT"/>
        </w:rPr>
        <w:t>A plataforma foi estruturada para acomodar formas distintas de participação no processo de configuração, uma vez que designers, técnicos, clínicos e utilizadores finais não intervêm sobre os mesmos parâmetros nem assumem o mesmo grau de responsabilidade. Os estudos analisados sugerem que esta diferença não resulta apenas de níveis distintos de literacia técnica, mas também do tipo de decisão que cada interveniente é chamado a tomar.</w:t>
      </w:r>
    </w:p>
    <w:p>
      <w:pPr>
        <w:pStyle w:val="Normal"/>
        <w:bidi w:val="0"/>
        <w:jc w:val="left"/>
        <w:rPr>
          <w:lang w:val="pt-PT"/>
        </w:rPr>
      </w:pPr>
      <w:r>
        <w:rPr>
          <w:lang w:val="pt-PT"/>
        </w:rPr>
        <w:t xml:space="preserve">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w:t>
      </w:r>
      <w:r>
        <w:rPr/>
        <w:t>Em contrapartida, quando a configuração incide sobre preferências de controlo, clareza do sistema ou aspetos estéticos que o utilizador consegue avaliar diretamente, a sua participação torna-se mais substantiva.</w:t>
      </w:r>
    </w:p>
    <w:p>
      <w:pPr>
        <w:pStyle w:val="Normal"/>
        <w:bidi w:val="0"/>
        <w:jc w:val="left"/>
        <w:rPr>
          <w:lang w:val="pt-PT"/>
        </w:rPr>
      </w:pPr>
      <w:r>
        <w:rPr>
          <w:lang w:val="pt-PT"/>
        </w:rPr>
        <w:t>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(#ref-cordella-2016); Saldarriaga et al., 2024 (#ref-saldarriaga-2024)).</w:t>
      </w:r>
    </w:p>
    <w:p>
      <w:pPr>
        <w:pStyle w:val="Normal"/>
        <w:bidi w:val="0"/>
        <w:jc w:val="left"/>
        <w:rPr>
          <w:lang w:val="pt-PT"/>
        </w:rPr>
      </w:pPr>
      <w:r>
        <w:rPr>
          <w:lang w:val="pt-PT"/>
        </w:rPr>
        <w:t xml:space="preserve">Para o designer, técnico especialista de próteses e ortóteses. 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(#ref-colombo-2015); Quintero et al., 2018 (#ref-quintero-2018); Bai et al., 2024 (#ref-bai-2024)). </w:t>
      </w:r>
      <w:r>
        <w:rPr/>
        <w:t>Os estudos consultados mostram, contudo, que a digitalização só reforça a confiança profissional quando mantém continuidade com elementos relevantes do processo de ajuste. A redução de indícios tácteis, empíricos ou processuais pode limitar formas de saber prático associadas à experiência clínica e técnica, como sugerem os estudos sobre retificação digital e fluxos CAD/CAM.</w:t>
      </w:r>
    </w:p>
    <w:p>
      <w:pPr>
        <w:pStyle w:val="Normal"/>
        <w:bidi w:val="0"/>
        <w:jc w:val="left"/>
        <w:rPr>
          <w:lang w:val="pt-PT"/>
        </w:rPr>
      </w:pPr>
      <w:r>
        <w:rPr>
          <w:lang w:val="pt-PT"/>
        </w:rPr>
        <w:t xml:space="preserve">No caso do utilizador final, a experiência tende a concentrar-se na compreensão do processo, na construção de confiança e na perceção de participação. Mesmo quando nem todos os parâmetros são diretamente editáveis, a visualização do modelo, o reconhecimento das alterações e o acompanhamento da personalização contribuem para tornar a configuração menos opaca. </w:t>
      </w:r>
      <w:r>
        <w:rPr/>
        <w:t>A interface contribui, assim, para tornar a adaptação menos distante do utilizador, apresentando-a como um processo parcialmente observável, compreensível e passível de acompanhamento.</w:t>
      </w:r>
    </w:p>
    <w:p>
      <w:pPr>
        <w:pStyle w:val="Normal"/>
        <w:bidi w:val="0"/>
        <w:jc w:val="left"/>
        <w:rPr>
          <w:lang w:val="pt-PT"/>
        </w:rPr>
      </w:pPr>
      <w:r>
        <w:rPr>
          <w:lang w:val="pt-PT"/>
        </w:rPr>
        <w:t xml:space="preserve">Quando a aceitação de uma prótese não depende apenas do desempenho funcional, mas também da perceção de adequação, de participação e de controlo sobre o resultado, este aspecto assume relevância. </w:t>
      </w:r>
      <w:r>
        <w:rPr/>
        <w:t>Os estudos analisados sugerem, de forma consistente, que a clareza com que o sistema comunica o seu funcionamento influencia a experiência de utilização.</w:t>
      </w:r>
    </w:p>
    <w:p>
      <w:pPr>
        <w:pStyle w:val="Normal"/>
        <w:bidi w:val="0"/>
        <w:jc w:val="left"/>
        <w:rPr>
          <w:lang w:val="pt-PT"/>
        </w:rPr>
      </w:pPr>
      <w:r>
        <w:rPr/>
        <w:t>Quando a plataforma torna mais visíveis os efeitos das ações, os limites das escolhas e a relação entre os dados introduzidos e o comportamento do modelo, reforça a facilidade de utilização e a confiança subjetiva.</w:t>
      </w:r>
    </w:p>
    <w:p>
      <w:pPr>
        <w:pStyle w:val="Normal"/>
        <w:bidi w:val="0"/>
        <w:jc w:val="left"/>
        <w:rPr>
          <w:lang w:val="pt-PT"/>
        </w:rPr>
      </w:pPr>
      <w:r>
        <w:rPr/>
        <w:t>As plataformas de personalização estética e os sistemas com visualização explícita do espaço de decisão sugerem que a participação ativa do utilizador aumenta quando as opções editáveis são claras, compreensíveis e associadas a consequências de baixo risco.</w:t>
      </w:r>
      <w:r>
        <w:rPr>
          <w:lang w:val="pt-PT"/>
        </w:rPr>
        <w:t xml:space="preserve"> (Peixoto et al., 2025 (#ref-peixoto-2025)).</w:t>
      </w:r>
    </w:p>
    <w:p>
      <w:pPr>
        <w:pStyle w:val="Normal"/>
        <w:bidi w:val="0"/>
        <w:jc w:val="left"/>
        <w:rPr>
          <w:lang w:val="pt-PT"/>
        </w:rPr>
      </w:pPr>
      <w:r>
        <w:rPr>
          <w:lang w:val="pt-PT"/>
        </w:rPr>
        <w:t xml:space="preserve">A diferença entre estes níveis de participação torna-se mais clara quando se consideram três domínios de personalização que os estudos analisados abordam de forma diferenciada. </w:t>
      </w:r>
      <w:r>
        <w:rPr/>
        <w:t>O primeiro domínio diz respeito à geometria do encaixe e ao ajustamento biomecânico, predominando aqui uma lógica clínica. Neste caso, a pessoa pode fornecer feedback sobre conforto, tolerância ou preferência, mas a decisão permanece centrada no interveniente com competência técnica e responsabilidade pela validação. O segundo domínio corresponde à personalização do controlo e à afinação de sistemas interativos, nos quais a autoridade do utilizador tende a aumentar, uma vez que a sensação de controlo, a carga cognitiva e a adequação do comportamento do sistema em uso dependem da sua avaliação direta. O terceiro domínio relaciona-se com a personalização estética e identitária, em que a autonomia do utilizador pode ser mais ampla, dado que o risco clínico e biomecânico é menor e o critério de adequação depende mais diretamente da sua perceção.</w:t>
      </w:r>
    </w:p>
    <w:p>
      <w:pPr>
        <w:pStyle w:val="Normal"/>
        <w:bidi w:val="0"/>
        <w:jc w:val="left"/>
        <w:rPr>
          <w:lang w:val="pt-PT"/>
        </w:rPr>
      </w:pPr>
      <w:r>
        <w:rPr>
          <w:lang w:val="pt-PT"/>
        </w:rPr>
        <w:t xml:space="preserve">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w:t>
      </w:r>
      <w:r>
        <w:rPr/>
        <w:t>Os estudos recentes sobre próteses inteligentes e interfaces configuráveis reforçam esta leitura, ao defenderem modelos de controlo nos quais os parâmetros críticos permanecem sob supervisão profissional, enquanto ajustes mais delimitados podem ser acessíveis ao utilizador final (Bai et al., 2024 (#ref-bai-2024); Quintero et al., 2018 (#ref-quintero-2018)).</w:t>
      </w:r>
    </w:p>
    <w:p>
      <w:pPr>
        <w:pStyle w:val="Normal"/>
        <w:bidi w:val="0"/>
        <w:jc w:val="left"/>
        <w:rPr>
          <w:lang w:val="pt-PT"/>
        </w:rPr>
      </w:pPr>
      <w:r>
        <w:rPr>
          <w:lang w:val="pt-PT"/>
        </w:rPr>
        <w:t>A Figura 7.1 evidencia a importância de analisar a utilização concreta do dispositivo, para além da sua configuração digital. A avaliação com utilizadores permite identificar problemas relacionados com o ajuste ao corpo, o modo de ativação, o conforto e a adequação funcional, aspetos que dificilmente são detetados de forma suficiente apenas através do modelo digital. Para esta investigação, a imagem constitui um ponto de referência metodológico: embora a plataforma possa tornar o processo mais claro e configurável, a validação futura continua a depender da observação do uso em contexto real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038725" cy="4724400"/>
            <wp:effectExtent l="0" t="0" r="0" b="0"/>
            <wp:docPr id="19"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8" descr="Image 18"/>
                    <pic:cNvPicPr>
                      <a:picLocks noChangeAspect="1" noChangeArrowheads="1"/>
                    </pic:cNvPicPr>
                  </pic:nvPicPr>
                  <pic:blipFill>
                    <a:blip r:embed="rId31"/>
                    <a:stretch>
                      <a:fillRect/>
                    </a:stretch>
                  </pic:blipFill>
                  <pic:spPr bwMode="auto">
                    <a:xfrm>
                      <a:off x="0" y="0"/>
                      <a:ext cx="5038725" cy="4724400"/>
                    </a:xfrm>
                    <a:prstGeom prst="rect">
                      <a:avLst/>
                    </a:prstGeom>
                    <a:noFill/>
                  </pic:spPr>
                </pic:pic>
              </a:graphicData>
            </a:graphic>
          </wp:inline>
        </w:drawing>
      </w:r>
    </w:p>
    <w:p>
      <w:pPr>
        <w:pStyle w:val="Normal"/>
        <w:bidi w:val="0"/>
        <w:jc w:val="left"/>
        <w:rPr>
          <w:lang w:val="pt-PT"/>
        </w:rPr>
      </w:pPr>
      <w:r>
        <w:rPr>
          <w:lang w:val="pt-PT"/>
        </w:rPr>
        <w:t>Figura 7.1 — Teste de uma prótese impressa em 3D com utilizador em contexto aplicado.</w:t>
      </w:r>
    </w:p>
    <w:p>
      <w:pPr>
        <w:pStyle w:val="Normal"/>
        <w:bidi w:val="0"/>
        <w:jc w:val="left"/>
        <w:rPr>
          <w:lang w:val="pt-PT"/>
        </w:rPr>
      </w:pPr>
      <w:r>
        <w:rPr>
          <w:lang w:val="pt-PT"/>
        </w:rPr>
        <w:t>Fonte original: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r>
    </w:p>
    <w:p>
      <w:pPr>
        <w:pStyle w:val="Normal"/>
        <w:bidi w:val="0"/>
        <w:jc w:val="left"/>
        <w:rPr>
          <w:lang w:val="pt-PT"/>
        </w:rPr>
      </w:pPr>
      <w:r>
        <w:rPr>
          <w:lang w:val="pt-PT"/>
        </w:rPr>
        <w:t xml:space="preserve">Do ponto de vista da experiência global, a plataforma deve ser entendida como um espaço de colaboração assimétrica. Neste enquadramento, o designer ou técnico dispõe de uma ferramenta que acelera iterações, estrutura a exploração paramétrica e apoia decisões de maior responsabilidade, enquanto o utilizador final obtém maior transparência, compreensão do processo e possibilidade de acompanhamento. O sistema passa, assim, a articular de forma mais clara o conhecimento especializado e a necessidade individual. </w:t>
      </w:r>
      <w:r>
        <w:rPr/>
        <w:t>A utilização da plataforma deve ser entendida, por isso, como uma forma de organizar a intervenção dos diferentes participantes no processo de personalização, articulando decisões técnicas, acompanhamento pelo utilizador e mediação pela interface.</w:t>
      </w:r>
      <w:r>
        <w:rPr>
          <w:lang w:val="pt-PT"/>
        </w:rPr>
        <w:t xml:space="preserve">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(#ref-alili-2023); Oldfrey et al., 2024 (#ref-oldfrey-2024)). </w:t>
      </w:r>
      <w:r>
        <w:rPr/>
        <w:t>A distribuição diferenciada de acesso, interpretação e decisão conduz, assim, à questão seguinte: compreender de que modo a plataforma medeia o processo de design, para além de definir quem participa na sua utilização.</w:t>
      </w:r>
    </w:p>
    <w:p>
      <w:pPr>
        <w:pStyle w:val="Heading3"/>
        <w:bidi w:val="0"/>
        <w:jc w:val="left"/>
        <w:rPr>
          <w:lang w:val="pt-PT"/>
        </w:rPr>
      </w:pPr>
      <w:r>
        <w:rPr>
          <w:lang w:val="pt-PT"/>
        </w:rPr>
      </w:r>
    </w:p>
    <w:p>
      <w:pPr>
        <w:pStyle w:val="Heading3"/>
        <w:bidi w:val="0"/>
        <w:jc w:val="left"/>
        <w:rPr>
          <w:lang w:val="pt-PT"/>
        </w:rPr>
      </w:pPr>
      <w:r>
        <w:rPr>
          <w:lang w:val="pt-PT"/>
        </w:rPr>
        <w:t>7.3 Mediação do processo de design e reflexão crítica</w:t>
      </w:r>
    </w:p>
    <w:p>
      <w:pPr>
        <w:pStyle w:val="Heading3"/>
        <w:bidi w:val="0"/>
        <w:jc w:val="left"/>
        <w:rPr>
          <w:lang w:val="pt-PT"/>
        </w:rPr>
      </w:pPr>
      <w:r>
        <w:rPr>
          <w:lang w:val="pt-PT"/>
        </w:rPr>
      </w:r>
    </w:p>
    <w:p>
      <w:pPr>
        <w:pStyle w:val="Normal"/>
        <w:bidi w:val="0"/>
        <w:jc w:val="left"/>
        <w:rPr>
          <w:lang w:val="pt-PT"/>
        </w:rPr>
      </w:pPr>
      <w:r>
        <w:rPr>
          <w:lang w:val="pt-PT"/>
        </w:rPr>
        <w:t xml:space="preserve">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e porque explicita que a personalização não é um ato instantâneo: trata-se de uma dinâmica iterativa de leitura de dados, proposta de configuração, avaliação visual, revisão crítica e eventual exportação para fabrico. </w:t>
      </w:r>
      <w:r>
        <w:rPr/>
        <w:t>Os estudos analisados reforçam que esta dimensão processual é parte central do modo como sistemas digitais desta natureza distribuem trabalho, autoridade e visibilidade entre diferentes intervenientes. A plataforma atua, assim, como uma infraestrutura de mediação, organizando as condições em que determinadas decisões são formuladas, avaliadas e realizadas no processo de design.</w:t>
      </w:r>
    </w:p>
    <w:p>
      <w:pPr>
        <w:pStyle w:val="Normal"/>
        <w:bidi w:val="0"/>
        <w:jc w:val="left"/>
        <w:rPr>
          <w:lang w:val="pt-PT"/>
        </w:rPr>
      </w:pPr>
      <w:r>
        <w:rPr>
          <w:lang w:val="pt-PT"/>
        </w:rPr>
        <w:t>Neste sentido, a interface assume uma dimensão simultaneamente operacional e epistemológica, ao influenciar a forma como o problema é compreendido, como as alternativas são exploradas e como as decisões são justificadas.</w:t>
      </w:r>
    </w:p>
    <w:p>
      <w:pPr>
        <w:pStyle w:val="Normal"/>
        <w:bidi w:val="0"/>
        <w:jc w:val="left"/>
        <w:rPr>
          <w:lang w:val="pt-PT"/>
        </w:rPr>
      </w:pPr>
      <w:r>
        <w:rPr>
          <w:lang w:val="pt-PT"/>
        </w:rPr>
        <w:t xml:space="preserve">Ao disponibilizar parâmetros editáveis, visualização tridimensional, sugestões assistidas por IA e gestão de versões, a plataforma contribui para estruturar o trabalho de projeto e para documentar a evolução das decisões tomadas ao longo do processo. Contudo, essa mesma estrutura também estabelece limites: o utilizador explora o espaço de soluções que o modelo e a interface permitem. </w:t>
      </w:r>
      <w:r>
        <w:rPr/>
        <w:t>A mediação digital amplia a capacidade de ação, mas também define os limites dentro dos quais a personalização pode ocorrer. Os estudos analisados sugerem que as plataformas mais relevantes neste domínio recorrem a mecanismos concretos de mediação, como o controlo diferenciado de permissões, a exposição seletiva de variáveis, os pontos de partida algorítmicos, a visualização orientada pelo problema e a supervisão integrada na própria interface.</w:t>
      </w:r>
    </w:p>
    <w:p>
      <w:pPr>
        <w:pStyle w:val="Normal"/>
        <w:bidi w:val="0"/>
        <w:jc w:val="left"/>
        <w:rPr>
          <w:lang w:val="pt-PT"/>
        </w:rPr>
      </w:pPr>
      <w:r>
        <w:rPr>
          <w:lang w:val="pt-PT"/>
        </w:rPr>
        <w:t>A articulação entre maior capacidade de intervenção e delimitação do campo de decisão torna-se particularmente visível em sistemas que distinguem, de forma deliberada, os parâmetros acessíveis ao utilizador daqueles que permanecem reservados a profissionais ou a rotinas automáticas de ajuste. (Bai et al., 2024 (#ref-bai-2024); Alili et al., 2023 (#ref-alili-2023)).</w:t>
      </w:r>
    </w:p>
    <w:p>
      <w:pPr>
        <w:pStyle w:val="Normal"/>
        <w:bidi w:val="0"/>
        <w:jc w:val="left"/>
        <w:rPr>
          <w:lang w:val="pt-PT"/>
        </w:rPr>
      </w:pPr>
      <w:r>
        <w:rPr>
          <w:lang w:val="pt-PT"/>
        </w:rPr>
        <w:t>Uma implicação desta leitura é que a plataforma medeia tanto quem utiliza o sistema como aquilo que se torna visível no processo. A visualização tridimensional, os indicadores de estado, os limites paramétricos e os mecanismos de feedback participam ativamente na forma como o problema é compreendido, interpretado e avaliado.</w:t>
      </w:r>
    </w:p>
    <w:p>
      <w:pPr>
        <w:pStyle w:val="Normal"/>
        <w:bidi w:val="0"/>
        <w:jc w:val="left"/>
        <w:rPr>
          <w:lang w:val="pt-PT"/>
        </w:rPr>
      </w:pPr>
      <w:r>
        <w:rPr>
          <w:lang w:val="pt-PT"/>
        </w:rPr>
        <w:t>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w:t>
      </w:r>
    </w:p>
    <w:p>
      <w:pPr>
        <w:pStyle w:val="Normal"/>
        <w:bidi w:val="0"/>
        <w:jc w:val="left"/>
        <w:rPr>
          <w:highlight w:val="none"/>
          <w:shd w:fill="auto" w:val="clear"/>
          <w:lang w:val="pt-PT"/>
        </w:rPr>
      </w:pPr>
      <w:r>
        <w:rPr>
          <w:shd w:fill="auto" w:val="clear"/>
          <w:lang w:val="pt-PT"/>
        </w:rPr>
        <w:t>Nesta perspetiva, a mediação digital participa na forma como as decisões de projeto são preparadas, avaliadas e justificadas. Esta observação conduz a uma reflexão crítica sobre o papel da plataforma no próprio processo de design.</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 O facto de um parâmetro ser apresentado como controlo disponível, ou de uma sugestão surgir com aparência de plausibilidade técnica, não significa que a solução esteja validada ou que represente a melhor opção em todos os contextos. 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(#ref-peixoto-2025); Quintero et al., 2018 (#ref-quintero-2018); Bai et al., 2024 (#ref-bai-2024)).</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w:t>
      </w:r>
    </w:p>
    <w:p>
      <w:pPr>
        <w:pStyle w:val="Normal"/>
        <w:bidi w:val="0"/>
        <w:jc w:val="left"/>
        <w:rPr>
          <w:lang w:val="pt-PT"/>
        </w:rPr>
      </w:pPr>
      <w:r>
        <w:rPr>
          <w:lang w:val="pt-PT"/>
        </w:rPr>
        <w:t>A mediação do processo de design preserva a responsabilidade pelas decisões de projeto e a necessidade de validação técnica, reorganizando ambas num ambiente digital mais controlado e explícito.</w:t>
      </w:r>
    </w:p>
    <w:p>
      <w:pPr>
        <w:pStyle w:val="Normal"/>
        <w:bidi w:val="0"/>
        <w:jc w:val="left"/>
        <w:rPr>
          <w:lang w:val="pt-PT"/>
        </w:rPr>
      </w:pPr>
      <w:r>
        <w:rPr>
          <w:lang w:val="pt-PT"/>
        </w:rPr>
        <w:t>A plataforma distribui a capacidade de intervenção de forma diferenciada: concentra certas decisões em intervenientes tecnicamente qualificados, abre outras à participação informada do utilizador e enquadra outras através de sugestões produzidas por IA.</w:t>
      </w:r>
    </w:p>
    <w:p>
      <w:pPr>
        <w:pStyle w:val="Normal"/>
        <w:bidi w:val="0"/>
        <w:jc w:val="left"/>
        <w:rPr>
          <w:lang w:val="pt-PT"/>
        </w:rPr>
      </w:pPr>
      <w:r>
        <w:rPr>
          <w:lang w:val="pt-PT"/>
        </w:rPr>
        <w:t>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Heading2"/>
        <w:bidi w:val="0"/>
        <w:jc w:val="left"/>
        <w:rPr>
          <w:lang w:val="pt-PT"/>
        </w:rPr>
      </w:pPr>
      <w:r>
        <w:rPr>
          <w:lang w:val="pt-PT"/>
        </w:rPr>
      </w:r>
    </w:p>
    <w:p>
      <w:pPr>
        <w:pStyle w:val="Heading2"/>
        <w:bidi w:val="0"/>
        <w:jc w:val="left"/>
        <w:rPr>
          <w:lang w:val="pt-PT"/>
        </w:rPr>
      </w:pPr>
      <w:r>
        <w:rPr>
          <w:lang w:val="pt-PT"/>
        </w:rPr>
        <w:t>Capítulo 8 — Avaliação e Discussão</w:t>
      </w:r>
    </w:p>
    <w:p>
      <w:pPr>
        <w:pStyle w:val="Heading3"/>
        <w:bidi w:val="0"/>
        <w:jc w:val="left"/>
        <w:rPr>
          <w:lang w:val="pt-PT"/>
        </w:rPr>
      </w:pPr>
      <w:r>
        <w:rPr>
          <w:lang w:val="pt-PT"/>
        </w:rPr>
      </w:r>
    </w:p>
    <w:p>
      <w:pPr>
        <w:pStyle w:val="Heading3"/>
        <w:bidi w:val="0"/>
        <w:jc w:val="left"/>
        <w:rPr>
          <w:u w:val="double"/>
          <w:lang w:val="pt-PT"/>
        </w:rPr>
      </w:pPr>
      <w:r>
        <w:rPr>
          <w:lang w:val="pt-PT"/>
        </w:rPr>
        <w:t>8.1 Estratégia e critérios de avaliação</w:t>
      </w:r>
    </w:p>
    <w:p>
      <w:pPr>
        <w:pStyle w:val="Normal"/>
        <w:bidi w:val="0"/>
        <w:jc w:val="left"/>
        <w:rPr>
          <w:lang w:val="pt-PT"/>
        </w:rPr>
      </w:pPr>
      <w:r>
        <w:rPr>
          <w:lang w:val="pt-PT"/>
        </w:rPr>
      </w:r>
    </w:p>
    <w:p>
      <w:pPr>
        <w:pStyle w:val="Normal"/>
        <w:bidi w:val="0"/>
        <w:jc w:val="left"/>
        <w:rPr>
          <w:lang w:val="pt-PT"/>
        </w:rPr>
      </w:pPr>
      <w:r>
        <w:rPr>
          <w:lang w:val="pt-PT"/>
        </w:rPr>
        <w:t>A avaliação do sistema foi organizada em torno de três níveis complementares: coerência técnica do modelo paramétrico, funcionamento da plataforma digital e plausibilidade das sugestões assistidas por IA.</w:t>
      </w:r>
    </w:p>
    <w:p>
      <w:pPr>
        <w:pStyle w:val="Normal"/>
        <w:bidi w:val="0"/>
        <w:jc w:val="left"/>
        <w:rPr>
          <w:lang w:val="pt-PT"/>
        </w:rPr>
      </w:pPr>
      <w:r>
        <w:rPr>
          <w:lang w:val="pt-PT"/>
        </w:rPr>
        <w:t>Esta separação demonstrou-se necessária pois o projeto combina componentes de natureza distinta.</w:t>
      </w:r>
    </w:p>
    <w:p>
      <w:pPr>
        <w:pStyle w:val="Normal"/>
        <w:bidi w:val="0"/>
        <w:jc w:val="left"/>
        <w:rPr>
          <w:lang w:val="pt-PT"/>
        </w:rPr>
      </w:pPr>
      <w:r>
        <w:rPr>
          <w:lang w:val="pt-PT"/>
        </w:rPr>
        <w:t>Um modelo OpenSCAD pode ser parametricamente consistente e, ainda assim, a interface pode não tornar essa consistência compreensível; do mesmo modo, uma sugestão de IA pode ser plausível como ponto de partida e continuar insuficiente como validação final da prótese. Os critérios usados procuram avaliar o encadeamento entre dados, parâmetros, renderização, exportação e revisão humana, em vez de tratar qualquer componente como solução autónoma.</w:t>
      </w:r>
    </w:p>
    <w:p>
      <w:pPr>
        <w:pStyle w:val="Normal"/>
        <w:bidi w:val="0"/>
        <w:jc w:val="left"/>
        <w:rPr>
          <w:lang w:val="pt-PT"/>
        </w:rPr>
      </w:pPr>
      <w:r>
        <w:rPr>
          <w:lang w:val="pt-PT"/>
        </w:rPr>
        <w:t xml:space="preserve">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w:t>
        <w:br/>
        <w:t>Estes critérios foram escolhidos porque são verificáveis dentro do sistema e correspondem a riscos diretamente relacionados com a personalização inicial.</w:t>
      </w:r>
    </w:p>
    <w:p>
      <w:pPr>
        <w:pStyle w:val="Normal"/>
        <w:bidi w:val="0"/>
        <w:jc w:val="left"/>
        <w:rPr>
          <w:lang w:val="pt-PT"/>
        </w:rPr>
      </w:pPr>
      <w:r>
        <w:rPr/>
        <w:t>Estas validações incidem sobre a coerência preliminar do processo, permitindo verificar se a cadeia entre descrição livre, sugestão paramétrica e modelo renderizado preserva condições mínimas de plausibilidade antes de qualquer prototipagem. A avaliação de conforto, desempenho funcional e segurança clínica permanece dependente de testes posteriores com utilizadores e validação especializada.</w:t>
      </w:r>
    </w:p>
    <w:p>
      <w:pPr>
        <w:pStyle w:val="Normal"/>
        <w:bidi w:val="0"/>
        <w:jc w:val="left"/>
        <w:rPr>
          <w:lang w:val="pt-PT"/>
        </w:rPr>
      </w:pPr>
      <w:r>
        <w:rPr>
          <w:lang w:val="pt-PT"/>
        </w:rPr>
        <w:t>A avaliação geométrica prolongou estes critérios até à etapa de exportação do modelo para fabrico. Para isso, foram executados fluxos de ponta a ponta com a interface real, incluindo autenticação, introdução da descrição do paciente, chamada ao serviço de IA, aplicação dos valores sugeridos, renderização por OpenSCAD/WebAssembly, exportação em STL e medição das malhas resultantes.</w:t>
      </w:r>
    </w:p>
    <w:p>
      <w:pPr>
        <w:pStyle w:val="Normal"/>
        <w:bidi w:val="0"/>
        <w:jc w:val="left"/>
        <w:rPr>
          <w:lang w:val="pt-PT"/>
        </w:rPr>
      </w:pPr>
      <w:r>
        <w:rPr>
          <w:lang w:val="pt-PT"/>
        </w:rPr>
        <w:t>Esta etapa foi relevante porque a correção dos valores numéricos sugeridos não garante, por si só, que a geometria final responda de forma coerente aos parâmetros aplicados. A medição das peças exportadas permitiu verificar se as relações paramétricas definidas se preservavam desde a sugestão inicial até ao modelo gerado.</w:t>
      </w:r>
    </w:p>
    <w:p>
      <w:pPr>
        <w:pStyle w:val="Normal"/>
        <w:bidi w:val="0"/>
        <w:jc w:val="left"/>
        <w:rPr>
          <w:lang w:val="pt-PT"/>
        </w:rPr>
      </w:pPr>
      <w:r>
        <w:rPr>
          <w:lang w:val="pt-PT"/>
        </w:rP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 (#ref-romero-2025)).</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571875"/>
            <wp:effectExtent l="0" t="0" r="0" b="0"/>
            <wp:docPr id="20"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9" descr="Image 19"/>
                    <pic:cNvPicPr>
                      <a:picLocks noChangeAspect="1" noChangeArrowheads="1"/>
                    </pic:cNvPicPr>
                  </pic:nvPicPr>
                  <pic:blipFill>
                    <a:blip r:embed="rId32"/>
                    <a:stretch>
                      <a:fillRect/>
                    </a:stretch>
                  </pic:blipFill>
                  <pic:spPr bwMode="auto">
                    <a:xfrm>
                      <a:off x="0" y="0"/>
                      <a:ext cx="5715000" cy="3571875"/>
                    </a:xfrm>
                    <a:prstGeom prst="rect">
                      <a:avLst/>
                    </a:prstGeom>
                    <a:noFill/>
                  </pic:spPr>
                </pic:pic>
              </a:graphicData>
            </a:graphic>
          </wp:inline>
        </w:drawing>
      </w:r>
    </w:p>
    <w:p>
      <w:pPr>
        <w:pStyle w:val="Normal"/>
        <w:bidi w:val="0"/>
        <w:jc w:val="left"/>
        <w:rPr>
          <w:lang w:val="pt-PT"/>
        </w:rPr>
      </w:pPr>
      <w:r>
        <w:rPr>
          <w:lang w:val="pt-PT"/>
        </w:rPr>
        <w:t>Figura 8.1 — Tarefas funcionais usadas em avaliação de prótese personalizada de membro superior.</w:t>
      </w:r>
    </w:p>
    <w:p>
      <w:pPr>
        <w:pStyle w:val="Normal"/>
        <w:bidi w:val="0"/>
        <w:jc w:val="left"/>
        <w:rPr>
          <w:lang w:val="pt-PT"/>
        </w:rPr>
      </w:pPr>
      <w:r>
        <w:rPr>
          <w:lang w:val="pt-PT"/>
        </w:rPr>
        <w:t>Fonte original: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Heading3"/>
        <w:bidi w:val="0"/>
        <w:jc w:val="left"/>
        <w:rPr>
          <w:lang w:val="pt-PT"/>
        </w:rPr>
      </w:pPr>
      <w:r>
        <w:rPr>
          <w:lang w:val="pt-PT"/>
        </w:rPr>
      </w:r>
    </w:p>
    <w:p>
      <w:pPr>
        <w:pStyle w:val="Heading3"/>
        <w:bidi w:val="0"/>
        <w:jc w:val="left"/>
        <w:rPr>
          <w:lang w:val="pt-PT"/>
        </w:rPr>
      </w:pPr>
      <w:r>
        <w:rPr>
          <w:lang w:val="pt-PT"/>
        </w:rPr>
        <w:t>8.2 Validação antropométrica das sugestões de IA</w:t>
      </w:r>
    </w:p>
    <w:p>
      <w:pPr>
        <w:pStyle w:val="Heading3"/>
        <w:bidi w:val="0"/>
        <w:jc w:val="left"/>
        <w:rPr>
          <w:lang w:val="pt-PT"/>
        </w:rPr>
      </w:pPr>
      <w:r>
        <w:rPr>
          <w:lang w:val="pt-PT"/>
        </w:rPr>
      </w:r>
    </w:p>
    <w:p>
      <w:pPr>
        <w:pStyle w:val="Normal"/>
        <w:bidi w:val="0"/>
        <w:jc w:val="left"/>
        <w:rPr>
          <w:lang w:val="pt-PT"/>
        </w:rPr>
      </w:pPr>
      <w:r>
        <w:rPr>
          <w:lang w:val="pt-PT"/>
        </w:rPr>
        <w:t>O primeiro conjunto experimental incidiu sobre cinco perfis antropométricos simulados, construídos a partir de indicadores populacionais indiretos, incluindo idade, sexo, altura, peso, país, comprimento do braço e constituição física. Como estes perfis não incluíam medições diretas da mão, a avaliação centrou-se na capacidade do sistema para produzir sugestões paramétricas plausíveis a partir de informação contextual.</w:t>
      </w:r>
    </w:p>
    <w:p>
      <w:pPr>
        <w:pStyle w:val="Normal"/>
        <w:bidi w:val="0"/>
        <w:jc w:val="left"/>
        <w:rPr>
          <w:lang w:val="pt-PT"/>
        </w:rPr>
      </w:pPr>
      <w:r>
        <w:rPr>
          <w:lang w:val="pt-PT"/>
        </w:rPr>
        <w:t>Este cenário assume especial relevância para a acessibilidade do sistema, uma vez que representa o caso de um utilizador capaz de descrever a pessoa através de informação contextual, sem domínio dos procedimentos específicos de medição antropométrica.</w:t>
      </w:r>
    </w:p>
    <w:p>
      <w:pPr>
        <w:pStyle w:val="Normal"/>
        <w:bidi w:val="0"/>
        <w:jc w:val="left"/>
        <w:rPr>
          <w:lang w:val="pt-PT"/>
        </w:rPr>
      </w:pPr>
      <w:r>
        <w:rPr>
          <w:lang w:val="pt-PT"/>
        </w:rPr>
        <w:t>Nas cinco situações, a IA produziu JSON válido, usou apenas parâmetros existentes, respeitou os limites declarados do modelo e manteve a ordenação anatómica esperada entre os dedos.</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t>Tabela 8.1 — Entradas/prompt utilizadas para criação dos perfis de validação antropométrica por IA</w:t>
      </w:r>
    </w:p>
    <w:p>
      <w:pPr>
        <w:pStyle w:val="Normal"/>
        <w:bidi w:val="0"/>
        <w:jc w:val="left"/>
        <w:rPr>
          <w:lang w:val="pt-PT"/>
        </w:rPr>
      </w:pPr>
      <w:r>
        <w:rPr>
          <w:lang w:val="pt-PT"/>
        </w:rPr>
      </w:r>
    </w:p>
    <w:tbl>
      <w:tblPr>
        <w:tblW w:w="9026" w:type="dxa"/>
        <w:jc w:val="left"/>
        <w:tblInd w:w="28" w:type="dxa"/>
        <w:tblLayout w:type="fixed"/>
        <w:tblCellMar>
          <w:top w:w="28" w:type="dxa"/>
          <w:left w:w="28" w:type="dxa"/>
          <w:bottom w:w="28" w:type="dxa"/>
          <w:right w:w="28" w:type="dxa"/>
        </w:tblCellMar>
      </w:tblPr>
      <w:tblGrid>
        <w:gridCol w:w="1907"/>
        <w:gridCol w:w="1927"/>
        <w:gridCol w:w="2597"/>
        <w:gridCol w:w="2595"/>
      </w:tblGrid>
      <w:tr>
        <w:trPr>
          <w:tblHeader w:val="true"/>
        </w:trPr>
        <w:tc>
          <w:tcPr>
            <w:tcW w:w="1907" w:type="dxa"/>
            <w:tcBorders/>
            <w:vAlign w:val="center"/>
          </w:tcPr>
          <w:p>
            <w:pPr>
              <w:pStyle w:val="TableHeading"/>
              <w:rPr/>
            </w:pPr>
            <w:r>
              <w:rPr/>
              <w:t>Conjunto experimental</w:t>
            </w:r>
          </w:p>
        </w:tc>
        <w:tc>
          <w:tcPr>
            <w:tcW w:w="1927" w:type="dxa"/>
            <w:tcBorders/>
            <w:vAlign w:val="center"/>
          </w:tcPr>
          <w:p>
            <w:pPr>
              <w:pStyle w:val="TableHeading"/>
              <w:rPr/>
            </w:pPr>
            <w:r>
              <w:rPr/>
              <w:t>Tipo de perfil criado</w:t>
            </w:r>
          </w:p>
        </w:tc>
        <w:tc>
          <w:tcPr>
            <w:tcW w:w="2597" w:type="dxa"/>
            <w:tcBorders/>
            <w:vAlign w:val="center"/>
          </w:tcPr>
          <w:p>
            <w:pPr>
              <w:pStyle w:val="TableHeading"/>
              <w:rPr/>
            </w:pPr>
            <w:r>
              <w:rPr/>
              <w:t>Descrição usada como entrada</w:t>
            </w:r>
          </w:p>
        </w:tc>
        <w:tc>
          <w:tcPr>
            <w:tcW w:w="2595" w:type="dxa"/>
            <w:tcBorders/>
            <w:vAlign w:val="center"/>
          </w:tcPr>
          <w:p>
            <w:pPr>
              <w:pStyle w:val="TableHeading"/>
              <w:rPr/>
            </w:pPr>
            <w:r>
              <w:rPr/>
              <w:t>Finalidade da validação</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Adulto masculino com dados demográficos e regionais</w:t>
            </w:r>
          </w:p>
        </w:tc>
        <w:tc>
          <w:tcPr>
            <w:tcW w:w="2597" w:type="dxa"/>
            <w:tcBorders/>
            <w:vAlign w:val="center"/>
          </w:tcPr>
          <w:p>
            <w:pPr>
              <w:pStyle w:val="TableContents"/>
              <w:rPr/>
            </w:pPr>
            <w:r>
              <w:rPr/>
              <w:t>man, 28 years old, 82 kg, 180 cm height, Brazil, arm length 70 cm</w:t>
            </w:r>
          </w:p>
        </w:tc>
        <w:tc>
          <w:tcPr>
            <w:tcW w:w="2595" w:type="dxa"/>
            <w:tcBorders/>
            <w:vAlign w:val="center"/>
          </w:tcPr>
          <w:p>
            <w:pPr>
              <w:pStyle w:val="TableContents"/>
              <w:rPr/>
            </w:pPr>
            <w:r>
              <w:rPr/>
              <w:t>Testar a inferência paramétrica sem medições diretas da mão</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Criança do sexo feminino, com estrutura corporal pequena</w:t>
            </w:r>
          </w:p>
        </w:tc>
        <w:tc>
          <w:tcPr>
            <w:tcW w:w="2597" w:type="dxa"/>
            <w:tcBorders/>
            <w:vAlign w:val="center"/>
          </w:tcPr>
          <w:p>
            <w:pPr>
              <w:pStyle w:val="TableContents"/>
              <w:rPr/>
            </w:pPr>
            <w:r>
              <w:rPr/>
              <w:t>girl, 10 years old, 32 kg, 138 cm height, Japan, small frame</w:t>
            </w:r>
          </w:p>
        </w:tc>
        <w:tc>
          <w:tcPr>
            <w:tcW w:w="2595" w:type="dxa"/>
            <w:tcBorders/>
            <w:vAlign w:val="center"/>
          </w:tcPr>
          <w:p>
            <w:pPr>
              <w:pStyle w:val="TableContents"/>
              <w:rPr/>
            </w:pPr>
            <w:r>
              <w:rPr/>
              <w:t>Verificar o ajuste à idade e a redução das dimensões e dos componentes mecânicos</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Mulher idosa com dados demográficos e regionais</w:t>
            </w:r>
          </w:p>
        </w:tc>
        <w:tc>
          <w:tcPr>
            <w:tcW w:w="2597" w:type="dxa"/>
            <w:tcBorders/>
            <w:vAlign w:val="center"/>
          </w:tcPr>
          <w:p>
            <w:pPr>
              <w:pStyle w:val="TableContents"/>
              <w:rPr/>
            </w:pPr>
            <w:r>
              <w:rPr/>
              <w:t>woman, 65 years old, 68 kg, 160 cm height, Nigeria, arm length 62 cm</w:t>
            </w:r>
          </w:p>
        </w:tc>
        <w:tc>
          <w:tcPr>
            <w:tcW w:w="2595" w:type="dxa"/>
            <w:tcBorders/>
            <w:vAlign w:val="center"/>
          </w:tcPr>
          <w:p>
            <w:pPr>
              <w:pStyle w:val="TableContents"/>
              <w:rPr/>
            </w:pPr>
            <w:r>
              <w:rPr/>
              <w:t>Avaliar a plausibilidade dos parâmetros num perfil adulto feminino e sénior</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Adulto masculino com indicação qualitativa de mãos largas</w:t>
            </w:r>
          </w:p>
        </w:tc>
        <w:tc>
          <w:tcPr>
            <w:tcW w:w="2597" w:type="dxa"/>
            <w:tcBorders/>
            <w:vAlign w:val="center"/>
          </w:tcPr>
          <w:p>
            <w:pPr>
              <w:pStyle w:val="TableContents"/>
              <w:rPr/>
            </w:pPr>
            <w:r>
              <w:rPr/>
              <w:t>man, 50 years old, 95 kg, 175 cm height, Germany, broad hands, arm length 66 cm</w:t>
            </w:r>
          </w:p>
        </w:tc>
        <w:tc>
          <w:tcPr>
            <w:tcW w:w="2595" w:type="dxa"/>
            <w:tcBorders/>
            <w:vAlign w:val="center"/>
          </w:tcPr>
          <w:p>
            <w:pPr>
              <w:pStyle w:val="TableContents"/>
              <w:rPr/>
            </w:pPr>
            <w:r>
              <w:rPr/>
              <w:t>Verificar a resposta do sistema a uma característica anatómica descrita qualitativamente</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Adolescente masculino alto e magro</w:t>
            </w:r>
          </w:p>
        </w:tc>
        <w:tc>
          <w:tcPr>
            <w:tcW w:w="2597" w:type="dxa"/>
            <w:tcBorders/>
            <w:vAlign w:val="center"/>
          </w:tcPr>
          <w:p>
            <w:pPr>
              <w:pStyle w:val="TableContents"/>
              <w:rPr/>
            </w:pPr>
            <w:r>
              <w:rPr/>
              <w:t>teenage boy, 15 years old, 60 kg, 168 cm height, India, slim build, arm length 67 cm</w:t>
            </w:r>
          </w:p>
        </w:tc>
        <w:tc>
          <w:tcPr>
            <w:tcW w:w="2595" w:type="dxa"/>
            <w:tcBorders/>
            <w:vAlign w:val="center"/>
          </w:tcPr>
          <w:p>
            <w:pPr>
              <w:pStyle w:val="TableContents"/>
              <w:rPr/>
            </w:pPr>
            <w:r>
              <w:rPr/>
              <w:t>Testar a fronteira entre perfil pediátrico e dimensões próximas de adulto</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completa com medições da mão intacta</w:t>
            </w:r>
          </w:p>
        </w:tc>
        <w:tc>
          <w:tcPr>
            <w:tcW w:w="2597" w:type="dxa"/>
            <w:tcBorders/>
            <w:vAlign w:val="center"/>
          </w:tcPr>
          <w:p>
            <w:pPr>
              <w:pStyle w:val="TableContents"/>
              <w:rPr/>
            </w:pPr>
            <w:r>
              <w:rPr/>
              <w:t>Medições completas da mão esquerda intacta: palma 84 mm; indicador 72 mm; médio 78 mm; anelar 75 mm; mínimo 58 mm; polegar 64 mm; prótese necessária para a mão direita</w:t>
            </w:r>
          </w:p>
        </w:tc>
        <w:tc>
          <w:tcPr>
            <w:tcW w:w="2595" w:type="dxa"/>
            <w:tcBorders/>
            <w:vAlign w:val="center"/>
          </w:tcPr>
          <w:p>
            <w:pPr>
              <w:pStyle w:val="TableContents"/>
              <w:rPr/>
            </w:pPr>
            <w:r>
              <w:rPr/>
              <w:t>Confirmar a preservação dos valores fornecidos e a geração contralateral</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parcial com dados demográficos e uma medição direta</w:t>
            </w:r>
          </w:p>
        </w:tc>
        <w:tc>
          <w:tcPr>
            <w:tcW w:w="2597" w:type="dxa"/>
            <w:tcBorders/>
            <w:vAlign w:val="center"/>
          </w:tcPr>
          <w:p>
            <w:pPr>
              <w:pStyle w:val="TableContents"/>
              <w:rPr/>
            </w:pPr>
            <w:r>
              <w:rPr/>
              <w:t>Homem, 40 anos; mão direita intacta; largura da palma 90 mm; prótese necessária para a mão esquerda</w:t>
            </w:r>
          </w:p>
        </w:tc>
        <w:tc>
          <w:tcPr>
            <w:tcW w:w="2595" w:type="dxa"/>
            <w:tcBorders/>
            <w:vAlign w:val="center"/>
          </w:tcPr>
          <w:p>
            <w:pPr>
              <w:pStyle w:val="TableContents"/>
              <w:rPr/>
            </w:pPr>
            <w:r>
              <w:rPr/>
              <w:t>Confirmar a manutenção da medida fornecida e a estimativa proporcional dos campos em falta</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apenas demográfica</w:t>
            </w:r>
          </w:p>
        </w:tc>
        <w:tc>
          <w:tcPr>
            <w:tcW w:w="2597" w:type="dxa"/>
            <w:tcBorders/>
            <w:vAlign w:val="center"/>
          </w:tcPr>
          <w:p>
            <w:pPr>
              <w:pStyle w:val="TableContents"/>
              <w:rPr/>
            </w:pPr>
            <w:r>
              <w:rPr/>
              <w:t>Mulher, 30 anos, asiática oriental, 158 cm; prótese necessária para a mão direita</w:t>
            </w:r>
          </w:p>
        </w:tc>
        <w:tc>
          <w:tcPr>
            <w:tcW w:w="2595" w:type="dxa"/>
            <w:tcBorders/>
            <w:vAlign w:val="center"/>
          </w:tcPr>
          <w:p>
            <w:pPr>
              <w:pStyle w:val="TableContents"/>
              <w:rPr/>
            </w:pPr>
            <w:r>
              <w:rPr/>
              <w:t>Verificar a adaptação do sistema quando não existem medições diretas da mão</w:t>
            </w:r>
          </w:p>
        </w:tc>
      </w:tr>
    </w:tbl>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Fonte: elaboração própria a partir dos prompts registados no protocolo de validação antropométrica assistida por IA (</w:t>
      </w:r>
      <w:r>
        <w:rPr>
          <w:rFonts w:ascii="Consolas" w:hAnsi="Consolas"/>
          <w:sz w:val="20"/>
          <w:lang w:val="pt-PT"/>
        </w:rPr>
        <w:t>docs/ai</w:t>
      </w:r>
      <w:r>
        <w:rPr>
          <w:i/>
          <w:lang w:val="pt-PT"/>
        </w:rPr>
        <w:t>anthropometric</w:t>
      </w:r>
      <w:r>
        <w:rPr>
          <w:lang w:val="pt-PT"/>
        </w:rPr>
        <w:t>validation.md</w:t>
      </w:r>
      <w:r>
        <w:rPr>
          <w:rFonts w:ascii="Consolas" w:hAnsi="Consolas"/>
          <w:sz w:val="20"/>
          <w:lang w:val="pt-PT"/>
        </w:rPr>
        <w:t>) e nos metadados de execução dos ensaios (</w:t>
      </w:r>
      <w:r>
        <w:rPr>
          <w:lang w:val="pt-PT"/>
        </w:rPr>
        <w:t>docs/</w:t>
      </w:r>
      <w:r>
        <w:rPr>
          <w:i/>
          <w:lang w:val="pt-PT"/>
        </w:rPr>
        <w:t>-ai-sim/run-metadata.json</w:t>
      </w:r>
      <w:r>
        <w:rPr>
          <w:rFonts w:ascii="Consolas" w:hAnsi="Consolas"/>
          <w:sz w:val="20"/>
          <w:lang w:val="pt-PT"/>
        </w:rPr>
        <w:t>). A coluna apresenta a entrada de paciente usada no prompt; o prompt completo incluía ainda o schema vivo do modelo, os intervalos permitidos e a instrução de devolver apenas JSON válido.</w:t>
      </w:r>
    </w:p>
    <w:p>
      <w:pPr>
        <w:pStyle w:val="Normal"/>
        <w:bidi w:val="0"/>
        <w:jc w:val="left"/>
        <w:rPr>
          <w:lang w:val="pt-PT"/>
        </w:rPr>
      </w:pPr>
      <w:r>
        <w:rPr>
          <w:lang w:val="pt-PT"/>
        </w:rPr>
      </w:r>
    </w:p>
    <w:p>
      <w:pPr>
        <w:pStyle w:val="Normal"/>
        <w:bidi w:val="0"/>
        <w:jc w:val="left"/>
        <w:rPr>
          <w:lang w:val="pt-PT"/>
        </w:rPr>
      </w:pPr>
      <w:r>
        <w:rPr>
          <w:lang w:val="pt-PT"/>
        </w:rPr>
        <w:t>A leitura dos resultados mostra uma adaptação coerente ao grau de detalhe da informação disponível. Nos perfis adultos, as dimensões sugeridas permaneceram dentro dos intervalos antropométricos usados como referência no sistema. No perfil infantil, as dimensões foram reduzidas de forma consistente e os parâmetros relativos aos componentes mecânicos das articulações flexíveis foram também ajustados, com base na informação presente nas legendas do esquema.</w:t>
      </w:r>
    </w:p>
    <w:p>
      <w:pPr>
        <w:pStyle w:val="Normal"/>
        <w:bidi w:val="0"/>
        <w:jc w:val="left"/>
        <w:rPr>
          <w:lang w:val="pt-PT"/>
        </w:rPr>
      </w:pPr>
      <w:r>
        <w:rPr>
          <w:lang w:val="pt-PT"/>
        </w:rPr>
        <w:t>No perfil adolescente, um critério preliminar de verificação assinalou a dimensão da palma como potencialmente excessiva. Contudo, a análise posterior mostrou que o valor era compatível com um adolescente alto em fase intermédia da adolescência.</w:t>
      </w:r>
    </w:p>
    <w:p>
      <w:pPr>
        <w:pStyle w:val="Normal"/>
        <w:bidi w:val="0"/>
        <w:jc w:val="left"/>
        <w:rPr>
          <w:lang w:val="pt-PT"/>
        </w:rPr>
      </w:pPr>
      <w:r>
        <w:rPr>
          <w:lang w:val="pt-PT"/>
        </w:rPr>
        <w:t>A falha, neste caso, estava na regra de teste demasiado rígida, e não na sugestão da IA.</w:t>
      </w:r>
    </w:p>
    <w:p>
      <w:pPr>
        <w:pStyle w:val="Normal"/>
        <w:bidi w:val="0"/>
        <w:jc w:val="left"/>
        <w:rPr>
          <w:lang w:val="pt-PT"/>
        </w:rPr>
      </w:pPr>
      <w:r>
        <w:rPr>
          <w:lang w:val="pt-PT"/>
        </w:rPr>
        <w:t>O segundo conjunto experimental avaliou três cenários de amputação unilateral com riqueza variável de dados.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8.1 — Síntese da validação antropométrica assistida por IA</w:t>
      </w:r>
    </w:p>
    <w:p>
      <w:pPr>
        <w:pStyle w:val="Normal"/>
        <w:bidi w:val="0"/>
        <w:jc w:val="left"/>
        <w:rPr>
          <w:lang w:val="pt-PT"/>
        </w:rPr>
      </w:pPr>
      <w:r>
        <w:rPr>
          <w:lang w:val="pt-PT"/>
        </w:rPr>
      </w:r>
    </w:p>
    <w:tbl>
      <w:tblPr>
        <w:tblW w:w="9026" w:type="dxa"/>
        <w:jc w:val="left"/>
        <w:tblInd w:w="28" w:type="dxa"/>
        <w:tblLayout w:type="fixed"/>
        <w:tblCellMar>
          <w:top w:w="28" w:type="dxa"/>
          <w:left w:w="28" w:type="dxa"/>
          <w:bottom w:w="28" w:type="dxa"/>
          <w:right w:w="28" w:type="dxa"/>
        </w:tblCellMar>
      </w:tblPr>
      <w:tblGrid>
        <w:gridCol w:w="2298"/>
        <w:gridCol w:w="3719"/>
        <w:gridCol w:w="3009"/>
      </w:tblGrid>
      <w:tr>
        <w:trPr>
          <w:tblHeader w:val="true"/>
        </w:trPr>
        <w:tc>
          <w:tcPr>
            <w:tcW w:w="2298" w:type="dxa"/>
            <w:tcBorders/>
            <w:vAlign w:val="center"/>
          </w:tcPr>
          <w:p>
            <w:pPr>
              <w:pStyle w:val="TableHeading"/>
              <w:rPr/>
            </w:pPr>
            <w:r>
              <w:rPr/>
              <w:t>Eixo avaliado</w:t>
            </w:r>
          </w:p>
        </w:tc>
        <w:tc>
          <w:tcPr>
            <w:tcW w:w="3719" w:type="dxa"/>
            <w:tcBorders/>
            <w:vAlign w:val="center"/>
          </w:tcPr>
          <w:p>
            <w:pPr>
              <w:pStyle w:val="TableHeading"/>
              <w:rPr/>
            </w:pPr>
            <w:r>
              <w:rPr/>
              <w:t>Resultado observado</w:t>
            </w:r>
          </w:p>
        </w:tc>
        <w:tc>
          <w:tcPr>
            <w:tcW w:w="3009" w:type="dxa"/>
            <w:tcBorders/>
            <w:vAlign w:val="center"/>
          </w:tcPr>
          <w:p>
            <w:pPr>
              <w:pStyle w:val="TableHeading"/>
              <w:rPr/>
            </w:pPr>
            <w:r>
              <w:rPr/>
              <w:t>Interpretação</w:t>
            </w:r>
          </w:p>
        </w:tc>
      </w:tr>
      <w:tr>
        <w:trPr/>
        <w:tc>
          <w:tcPr>
            <w:tcW w:w="2298" w:type="dxa"/>
            <w:tcBorders/>
            <w:vAlign w:val="center"/>
          </w:tcPr>
          <w:p>
            <w:pPr>
              <w:pStyle w:val="TableContents"/>
              <w:rPr/>
            </w:pPr>
            <w:r>
              <w:rPr/>
              <w:t>Conformidade com o esquema</w:t>
            </w:r>
          </w:p>
        </w:tc>
        <w:tc>
          <w:tcPr>
            <w:tcW w:w="3719" w:type="dxa"/>
            <w:tcBorders/>
            <w:vAlign w:val="center"/>
          </w:tcPr>
          <w:p>
            <w:pPr>
              <w:pStyle w:val="TableContents"/>
              <w:rPr/>
            </w:pPr>
            <w:r>
              <w:rPr/>
              <w:t>Respostas interpretáveis, campos previstos e valores dentro dos limites definidos</w:t>
            </w:r>
          </w:p>
        </w:tc>
        <w:tc>
          <w:tcPr>
            <w:tcW w:w="3009" w:type="dxa"/>
            <w:tcBorders/>
            <w:vAlign w:val="center"/>
          </w:tcPr>
          <w:p>
            <w:pPr>
              <w:pStyle w:val="TableContents"/>
              <w:rPr/>
            </w:pPr>
            <w:r>
              <w:rPr/>
              <w:t>O esquema de parâmetros reduziu a ocorrência de sugestões inválidas</w:t>
            </w:r>
          </w:p>
        </w:tc>
      </w:tr>
      <w:tr>
        <w:trPr/>
        <w:tc>
          <w:tcPr>
            <w:tcW w:w="2298" w:type="dxa"/>
            <w:tcBorders/>
            <w:vAlign w:val="center"/>
          </w:tcPr>
          <w:p>
            <w:pPr>
              <w:pStyle w:val="TableContents"/>
              <w:rPr/>
            </w:pPr>
            <w:r>
              <w:rPr/>
              <w:t>Proporcionalidade digital</w:t>
            </w:r>
          </w:p>
        </w:tc>
        <w:tc>
          <w:tcPr>
            <w:tcW w:w="3719" w:type="dxa"/>
            <w:tcBorders/>
            <w:vAlign w:val="center"/>
          </w:tcPr>
          <w:p>
            <w:pPr>
              <w:pStyle w:val="TableContents"/>
              <w:rPr/>
            </w:pPr>
            <w:r>
              <w:rPr/>
              <w:t>Dedo médio mais longo, dedo mínimo mais curto e polegar inferior ao dedo médio</w:t>
            </w:r>
          </w:p>
        </w:tc>
        <w:tc>
          <w:tcPr>
            <w:tcW w:w="3009" w:type="dxa"/>
            <w:tcBorders/>
            <w:vAlign w:val="center"/>
          </w:tcPr>
          <w:p>
            <w:pPr>
              <w:pStyle w:val="TableContents"/>
              <w:rPr/>
            </w:pPr>
            <w:r>
              <w:rPr/>
              <w:t>As principais relações anatómicas entre os dedos foram preservadas</w:t>
            </w:r>
          </w:p>
        </w:tc>
      </w:tr>
      <w:tr>
        <w:trPr/>
        <w:tc>
          <w:tcPr>
            <w:tcW w:w="2298" w:type="dxa"/>
            <w:tcBorders/>
            <w:vAlign w:val="center"/>
          </w:tcPr>
          <w:p>
            <w:pPr>
              <w:pStyle w:val="TableContents"/>
              <w:rPr/>
            </w:pPr>
            <w:r>
              <w:rPr/>
              <w:t>Entradas completas</w:t>
            </w:r>
          </w:p>
        </w:tc>
        <w:tc>
          <w:tcPr>
            <w:tcW w:w="3719" w:type="dxa"/>
            <w:tcBorders/>
            <w:vAlign w:val="center"/>
          </w:tcPr>
          <w:p>
            <w:pPr>
              <w:pStyle w:val="TableContents"/>
              <w:rPr/>
            </w:pPr>
            <w:r>
              <w:rPr/>
              <w:t>Medições fornecidas mantidas sem alteração</w:t>
            </w:r>
          </w:p>
        </w:tc>
        <w:tc>
          <w:tcPr>
            <w:tcW w:w="3009" w:type="dxa"/>
            <w:tcBorders/>
            <w:vAlign w:val="center"/>
          </w:tcPr>
          <w:p>
            <w:pPr>
              <w:pStyle w:val="TableContents"/>
              <w:rPr/>
            </w:pPr>
            <w:r>
              <w:rPr/>
              <w:t>A IA preservou os valores diretamente declarados pelo utilizador</w:t>
            </w:r>
          </w:p>
        </w:tc>
      </w:tr>
      <w:tr>
        <w:trPr/>
        <w:tc>
          <w:tcPr>
            <w:tcW w:w="2298" w:type="dxa"/>
            <w:tcBorders/>
            <w:vAlign w:val="center"/>
          </w:tcPr>
          <w:p>
            <w:pPr>
              <w:pStyle w:val="TableContents"/>
              <w:rPr/>
            </w:pPr>
            <w:r>
              <w:rPr/>
              <w:t>Entradas parciais</w:t>
            </w:r>
          </w:p>
        </w:tc>
        <w:tc>
          <w:tcPr>
            <w:tcW w:w="3719" w:type="dxa"/>
            <w:tcBorders/>
            <w:vAlign w:val="center"/>
          </w:tcPr>
          <w:p>
            <w:pPr>
              <w:pStyle w:val="TableContents"/>
              <w:rPr/>
            </w:pPr>
            <w:r>
              <w:rPr/>
              <w:t>Campos em falta estimados a partir da medida fornecida</w:t>
            </w:r>
          </w:p>
        </w:tc>
        <w:tc>
          <w:tcPr>
            <w:tcW w:w="3009" w:type="dxa"/>
            <w:tcBorders/>
            <w:vAlign w:val="center"/>
          </w:tcPr>
          <w:p>
            <w:pPr>
              <w:pStyle w:val="TableContents"/>
              <w:rPr/>
            </w:pPr>
            <w:r>
              <w:rPr/>
              <w:t>O sistema combinou dados explícitos com referências populacionais</w:t>
            </w:r>
          </w:p>
        </w:tc>
      </w:tr>
      <w:tr>
        <w:trPr/>
        <w:tc>
          <w:tcPr>
            <w:tcW w:w="2298" w:type="dxa"/>
            <w:tcBorders/>
            <w:vAlign w:val="center"/>
          </w:tcPr>
          <w:p>
            <w:pPr>
              <w:pStyle w:val="TableContents"/>
              <w:rPr/>
            </w:pPr>
            <w:r>
              <w:rPr/>
              <w:t>Entradas apenas demográficas</w:t>
            </w:r>
          </w:p>
        </w:tc>
        <w:tc>
          <w:tcPr>
            <w:tcW w:w="3719" w:type="dxa"/>
            <w:tcBorders/>
            <w:vAlign w:val="center"/>
          </w:tcPr>
          <w:p>
            <w:pPr>
              <w:pStyle w:val="TableContents"/>
              <w:rPr/>
            </w:pPr>
            <w:r>
              <w:rPr/>
              <w:t>Conjunto completo e plausível de parâmetros</w:t>
            </w:r>
          </w:p>
        </w:tc>
        <w:tc>
          <w:tcPr>
            <w:tcW w:w="3009" w:type="dxa"/>
            <w:tcBorders/>
            <w:vAlign w:val="center"/>
          </w:tcPr>
          <w:p>
            <w:pPr>
              <w:pStyle w:val="TableContents"/>
              <w:rPr/>
            </w:pPr>
            <w:r>
              <w:rPr/>
              <w:t>O fluxo gerou um ponto de partida para utilizadores sem domínio técnico</w:t>
            </w:r>
          </w:p>
        </w:tc>
      </w:tr>
      <w:tr>
        <w:trPr/>
        <w:tc>
          <w:tcPr>
            <w:tcW w:w="2298" w:type="dxa"/>
            <w:tcBorders/>
            <w:vAlign w:val="center"/>
          </w:tcPr>
          <w:p>
            <w:pPr>
              <w:pStyle w:val="TableContents"/>
              <w:rPr/>
            </w:pPr>
            <w:r>
              <w:rPr/>
              <w:t>Lateralidade</w:t>
            </w:r>
          </w:p>
        </w:tc>
        <w:tc>
          <w:tcPr>
            <w:tcW w:w="3719" w:type="dxa"/>
            <w:tcBorders/>
            <w:vAlign w:val="center"/>
          </w:tcPr>
          <w:p>
            <w:pPr>
              <w:pStyle w:val="TableContents"/>
              <w:rPr/>
            </w:pPr>
            <w:r>
              <w:rPr/>
              <w:t>Correta nos cenários iniciais, mas inconsistente em pedidos explícitos de mão esquerda na avaliação centrada no utilizador</w:t>
            </w:r>
          </w:p>
        </w:tc>
        <w:tc>
          <w:tcPr>
            <w:tcW w:w="3009" w:type="dxa"/>
            <w:tcBorders/>
            <w:vAlign w:val="center"/>
          </w:tcPr>
          <w:p>
            <w:pPr>
              <w:pStyle w:val="TableContents"/>
              <w:rPr/>
            </w:pPr>
            <w:r>
              <w:rPr/>
              <w:t>A lateralidade passou a ser controlada pela interface e excluída das sugestões da IA</w:t>
            </w:r>
          </w:p>
        </w:tc>
      </w:tr>
    </w:tbl>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Esta variabilidade confirma que a avaliação deve privilegiar propriedades invariantes, taxas de aprovação e comportamento em cenários de baixo conhecimento, e não valores absolutos isolados.</w:t>
      </w:r>
    </w:p>
    <w:p>
      <w:pPr>
        <w:pStyle w:val="Heading3"/>
        <w:bidi w:val="0"/>
        <w:jc w:val="left"/>
        <w:rPr>
          <w:lang w:val="pt-PT"/>
        </w:rPr>
      </w:pPr>
      <w:r>
        <w:rPr>
          <w:lang w:val="pt-PT"/>
        </w:rPr>
      </w:r>
    </w:p>
    <w:p>
      <w:pPr>
        <w:pStyle w:val="Heading3"/>
        <w:bidi w:val="0"/>
        <w:jc w:val="left"/>
        <w:rPr>
          <w:lang w:val="pt-PT"/>
        </w:rPr>
      </w:pPr>
      <w:r>
        <w:rPr>
          <w:lang w:val="pt-PT"/>
        </w:rPr>
        <w:t>8.3 Validação geométrica entre modelos</w:t>
      </w:r>
    </w:p>
    <w:p>
      <w:pPr>
        <w:pStyle w:val="Heading3"/>
        <w:bidi w:val="0"/>
        <w:jc w:val="left"/>
        <w:rPr>
          <w:lang w:val="pt-PT"/>
        </w:rPr>
      </w:pPr>
      <w:r>
        <w:rPr>
          <w:lang w:val="pt-PT"/>
        </w:rPr>
      </w:r>
    </w:p>
    <w:p>
      <w:pPr>
        <w:pStyle w:val="Normal"/>
        <w:bidi w:val="0"/>
        <w:jc w:val="left"/>
        <w:rPr>
          <w:lang w:val="pt-PT"/>
        </w:rPr>
      </w:pPr>
      <w:r>
        <w:rPr>
          <w:lang w:val="pt-PT"/>
        </w:rP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Tabela 8.2 — Modelos e mecanismos de escala avaliados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Fiel ao modelo original, mas inadequado para mãos pequenas</w:t>
            </w:r>
          </w:p>
        </w:tc>
      </w:tr>
    </w:tbl>
    <w:p>
      <w:pPr>
        <w:pStyle w:val="Normal"/>
        <w:bidi w:val="0"/>
        <w:jc w:val="left"/>
        <w:rPr>
          <w:lang w:val="pt-PT"/>
        </w:rPr>
      </w:pPr>
      <w:r>
        <w:rPr>
          <w:lang w:val="pt-PT"/>
        </w:rPr>
      </w:r>
    </w:p>
    <w:p>
      <w:pPr>
        <w:pStyle w:val="Normal"/>
        <w:bidi w:val="0"/>
        <w:jc w:val="left"/>
        <w:rPr>
          <w:lang w:val="pt-PT"/>
        </w:rPr>
      </w:pPr>
      <w:r>
        <w:rPr>
          <w:lang w:val="pt-PT"/>
        </w:rPr>
        <w:t>Nota: os rácios apresentados são adimensionais. Um valor de 1,000 corresponde à dimensão do baseline; valores inferiores indicam redução e valores superiores indicam aumento face ao modelo de referência.</w:t>
      </w:r>
    </w:p>
    <w:p>
      <w:pPr>
        <w:pStyle w:val="Normal"/>
        <w:bidi w:val="0"/>
        <w:jc w:val="left"/>
        <w:rPr>
          <w:lang w:val="pt-PT"/>
        </w:rPr>
      </w:pPr>
      <w:r>
        <w:rPr>
          <w:lang w:val="pt-PT"/>
        </w:rPr>
      </w:r>
    </w:p>
    <w:p>
      <w:pPr>
        <w:pStyle w:val="Normal"/>
        <w:bidi w:val="0"/>
        <w:jc w:val="left"/>
        <w:rPr>
          <w:lang w:val="pt-PT"/>
        </w:rPr>
      </w:pPr>
      <w:r>
        <w:rPr>
          <w:lang w:val="pt-PT"/>
        </w:rP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Normal"/>
        <w:bidi w:val="0"/>
        <w:jc w:val="left"/>
        <w:rPr>
          <w:lang w:val="pt-PT"/>
        </w:rPr>
      </w:pPr>
      <w:r>
        <w:rPr>
          <w:lang w:val="pt-PT"/>
        </w:rPr>
      </w:r>
    </w:p>
    <w:p>
      <w:pPr>
        <w:pStyle w:val="Normal"/>
        <w:bidi w:val="0"/>
        <w:jc w:val="left"/>
        <w:rPr>
          <w:lang w:val="pt-PT"/>
        </w:rPr>
      </w:pPr>
      <w:r>
        <w:rPr>
          <w:lang w:val="pt-PT"/>
        </w:rPr>
        <w:t xml:space="preserve">Tabela 8.3 — </w:t>
      </w:r>
      <w:r>
        <w:rPr/>
        <w:t>Rácio adimensional da maior dimensão da palma exportada face ao baseline</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Baseline</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0,761</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0,747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0,932</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0,928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1,157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1,171</w:t>
            </w:r>
          </w:p>
        </w:tc>
      </w:tr>
    </w:tbl>
    <w:p>
      <w:pPr>
        <w:pStyle w:val="Normal"/>
        <w:bidi w:val="0"/>
        <w:jc w:val="left"/>
        <w:rPr>
          <w:lang w:val="pt-PT"/>
        </w:rPr>
      </w:pPr>
      <w:r>
        <w:rPr>
          <w:lang w:val="pt-PT"/>
        </w:rPr>
      </w:r>
    </w:p>
    <w:p>
      <w:pPr>
        <w:pStyle w:val="Normal"/>
        <w:bidi w:val="0"/>
        <w:jc w:val="left"/>
        <w:rPr>
          <w:lang w:val="pt-PT"/>
        </w:rPr>
      </w:pPr>
      <w:r>
        <w:rPr>
          <w:lang w:val="pt-PT"/>
        </w:rPr>
        <w:t>Esta validação revelou três fragilidades técnicas que não eram visíveis na análise numérica isolada. A primeira estava no mecanismo de correspondência populacional: a análise inicial de género e idade era demasiado frágil, e certas abreviaturas presentes no texto de entrada podiam ser interpretadas incorretamente, confundindo unidades de medida com indicação de sexo masculino.</w:t>
      </w:r>
    </w:p>
    <w:p>
      <w:pPr>
        <w:pStyle w:val="Normal"/>
        <w:bidi w:val="0"/>
        <w:jc w:val="left"/>
        <w:rPr>
          <w:lang w:val="pt-PT"/>
        </w:rPr>
      </w:pPr>
      <w:r>
        <w:rPr>
          <w:lang w:val="pt-PT"/>
        </w:rPr>
        <w:t>A correção passou por uma análise mais robusta do texto de entrada, capaz de reconhecer termos em diferentes línguas, respeitar fronteiras de palavra e classificar de forma mais fiável os grupos etários.</w:t>
      </w:r>
    </w:p>
    <w:p>
      <w:pPr>
        <w:pStyle w:val="Normal"/>
        <w:bidi w:val="0"/>
        <w:jc w:val="left"/>
        <w:rPr>
          <w:lang w:val="pt-PT"/>
        </w:rPr>
      </w:pPr>
      <w:r>
        <w:rPr>
          <w:lang w:val="pt-PT"/>
        </w:rPr>
        <w:t>A segunda fragilidade foi identificada no modelo Paraglider. Neste caso, a dimensão da palma da mão protésica não estava a responder corretamente aos valores sugeridos, porque permanecia associada a uma escala interna herdada da biblioteca original. A correção consistiu em aplicar novamente a escala no ponto do código responsável pela geração dessa geometria. A terceira fragilidade surgiu no modelo UnLimbited Phoenix, onde um parâmetro alternativo permitia ultrapassar o limite mínimo de escala definido para o modelo. A correção passou por aplicar esse mesmo limite também a esse percurso alternativo de geração.</w:t>
      </w:r>
    </w:p>
    <w:p>
      <w:pPr>
        <w:pStyle w:val="Normal"/>
        <w:bidi w:val="0"/>
        <w:jc w:val="left"/>
        <w:rPr>
          <w:lang w:val="pt-PT"/>
        </w:rPr>
      </w:pPr>
      <w:r>
        <w:rPr>
          <w:lang w:val="pt-PT"/>
        </w:rPr>
        <w:t>sta etapa confirmou que a validação das sugestões de IA deve prolongar-se para além da resposta em JSON, pois a geometria exportada pode revelar dependências internas, limites de escala e heranças de código invisíveis na análise numérica. Evidenciou ainda que os modelos integrados não são intercambiáveis, uma vez que cada um responde de forma distinta aos mesmos perfis antropométricos: o Flexy Beast é mais adequado a mãos pequenas, o Paraglider oferece uma escala ampla para perfis adultos e o Phoenix preserva elevada fidelidade ao original, mas apenas dentro de uma gama dimensional mais restrita.</w:t>
      </w:r>
    </w:p>
    <w:p>
      <w:pPr>
        <w:pStyle w:val="Heading3"/>
        <w:bidi w:val="0"/>
        <w:jc w:val="left"/>
        <w:rPr>
          <w:lang w:val="pt-PT"/>
        </w:rPr>
      </w:pPr>
      <w:r>
        <w:rPr>
          <w:lang w:val="pt-PT"/>
        </w:rPr>
      </w:r>
    </w:p>
    <w:p>
      <w:pPr>
        <w:pStyle w:val="Heading3"/>
        <w:bidi w:val="0"/>
        <w:jc w:val="left"/>
        <w:rPr>
          <w:lang w:val="pt-PT"/>
        </w:rPr>
      </w:pPr>
      <w:r>
        <w:rPr>
          <w:lang w:val="pt-PT"/>
        </w:rPr>
        <w:t>8.4 Discussão dos resultados face aos objetivos</w:t>
      </w:r>
    </w:p>
    <w:p>
      <w:pPr>
        <w:pStyle w:val="Heading3"/>
        <w:bidi w:val="0"/>
        <w:jc w:val="left"/>
        <w:rPr>
          <w:lang w:val="pt-PT"/>
        </w:rPr>
      </w:pPr>
      <w:r>
        <w:rPr>
          <w:lang w:val="pt-PT"/>
        </w:rPr>
      </w:r>
    </w:p>
    <w:p>
      <w:pPr>
        <w:pStyle w:val="Normal"/>
        <w:bidi w:val="0"/>
        <w:jc w:val="left"/>
        <w:rPr>
          <w:lang w:val="pt-PT"/>
        </w:rPr>
      </w:pPr>
      <w:r>
        <w:rPr>
          <w:lang w:val="pt-PT"/>
        </w:rP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de dimensões plausíveis, editável, visualizável e passível de revisão crítica.</w:t>
      </w:r>
    </w:p>
    <w:p>
      <w:pPr>
        <w:pStyle w:val="Normal"/>
        <w:bidi w:val="0"/>
        <w:jc w:val="left"/>
        <w:rPr>
          <w:lang w:val="pt-PT"/>
        </w:rPr>
      </w:pPr>
      <w:r>
        <w:rPr>
          <w:lang w:val="pt-PT"/>
        </w:rPr>
        <w:t>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Normal"/>
        <w:bidi w:val="0"/>
        <w:jc w:val="left"/>
        <w:rPr>
          <w:lang w:val="pt-PT"/>
        </w:rPr>
      </w:pPr>
      <w:r>
        <w:rPr>
          <w:lang w:val="pt-PT"/>
        </w:rPr>
        <w:t>A avaliação também delimita com clareza os limites do sistema. A variabilidade estocástica da IA impede tratar uma saída isolada como prescrição fixa; a ausência de uma referência clínica direta impede afirmar precisão individual; e a lateralidade revelou-se um parâmetro crítico que não deve ser delegado à inferência do modelo. A correção implementada resolve esse risco ao deslocar a decisão para a interface, mas exige ainda reforço de UX para tornar a escolha do lado suficientemente visível e obrigatória. Do mesmo modo, a validação geométrica demonstra que cada modelo transporta constrangimentos próprios: alguns aceitam escalas pequenas, outros impõem pisos mínimos ou preservam proporções globais herdadas do desenho original. Consequentemente, os resultados são promissores enquanto validação de coerência interna e de acessibilidade paramétrica, mas permanecem preliminares enquanto validação protésica.</w:t>
      </w:r>
    </w:p>
    <w:p>
      <w:pPr>
        <w:pStyle w:val="Normal"/>
        <w:bidi w:val="0"/>
        <w:jc w:val="left"/>
        <w:rPr>
          <w:lang w:val="pt-PT"/>
        </w:rPr>
      </w:pPr>
      <w:r>
        <w:rPr>
          <w:lang w:val="pt-PT"/>
        </w:rPr>
        <w:t>A principal conclusão metodológica é que a robustez do sistema depende menos da presença isolada da IA do que da qualidade das regras, limites e mecanismos de validação que enquadram a sua atuação. O esquema de parâmetros do modelo, os limites declarados, a filtragem dos campos devolvidos, a ancoragem em dados populacionais, a renderização por OpenSCAD/WebAssembly e a exportação em STL/3MF formam uma cadeia de verificações sucessivas.</w:t>
      </w:r>
    </w:p>
    <w:p>
      <w:pPr>
        <w:pStyle w:val="Normal"/>
        <w:bidi w:val="0"/>
        <w:jc w:val="left"/>
        <w:rPr>
          <w:lang w:val="pt-PT"/>
        </w:rPr>
      </w:pPr>
      <w:r>
        <w:rPr>
          <w:lang w:val="pt-PT"/>
        </w:rPr>
        <w:t>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Normal"/>
        <w:bidi w:val="0"/>
        <w:jc w:val="left"/>
        <w:rPr>
          <w:lang w:val="pt-PT"/>
        </w:rPr>
      </w:pPr>
      <w:r>
        <w:rPr>
          <w:lang w:val="pt-PT"/>
        </w:rPr>
      </w:r>
    </w:p>
    <w:p>
      <w:pPr>
        <w:pStyle w:val="Heading2"/>
        <w:bidi w:val="0"/>
        <w:jc w:val="left"/>
        <w:rPr>
          <w:lang w:val="pt-PT"/>
        </w:rPr>
      </w:pPr>
      <w:r>
        <w:rPr>
          <w:lang w:val="pt-PT"/>
        </w:rPr>
        <w:t>Capítulo 9 — Conclusões e Trabalhos Futuros</w:t>
      </w:r>
    </w:p>
    <w:p>
      <w:pPr>
        <w:pStyle w:val="Heading3"/>
        <w:bidi w:val="0"/>
        <w:jc w:val="left"/>
        <w:rPr>
          <w:lang w:val="pt-PT"/>
        </w:rPr>
      </w:pPr>
      <w:r>
        <w:rPr>
          <w:lang w:val="pt-PT"/>
        </w:rPr>
      </w:r>
    </w:p>
    <w:p>
      <w:pPr>
        <w:pStyle w:val="Heading3"/>
        <w:bidi w:val="0"/>
        <w:jc w:val="left"/>
        <w:rPr>
          <w:lang w:val="pt-PT"/>
        </w:rPr>
      </w:pPr>
      <w:r>
        <w:rPr>
          <w:lang w:val="pt-PT"/>
        </w:rPr>
        <w:t>9.1 Síntese dos principais contributos</w:t>
      </w:r>
    </w:p>
    <w:p>
      <w:pPr>
        <w:pStyle w:val="Normal"/>
        <w:bidi w:val="0"/>
        <w:jc w:val="left"/>
        <w:rPr>
          <w:lang w:val="pt-PT"/>
        </w:rPr>
      </w:pPr>
      <w:r>
        <w:rPr>
          <w:lang w:val="pt-PT"/>
        </w:rPr>
      </w:r>
    </w:p>
    <w:p>
      <w:pPr>
        <w:pStyle w:val="Normal"/>
        <w:bidi w:val="0"/>
        <w:jc w:val="left"/>
        <w:rPr>
          <w:lang w:val="pt-PT"/>
        </w:rPr>
      </w:pPr>
      <w:r>
        <w:rPr>
          <w:lang w:val="pt-PT"/>
        </w:rPr>
        <w:t xml:space="preserve">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w:t>
      </w:r>
      <w:r>
        <w:rPr/>
        <w:t>O contributo metodológico da investigação reside no desenvolvimento de uma infraestrutura de apoio à configuração protésica, capaz de tornar mais explícita, documentável e acessível a passagem entre dados do utilizador, parâmetros geométricos e geometria exportável, sem reivindicar validação clínica da prótese resultante.</w:t>
      </w:r>
    </w:p>
    <w:p>
      <w:pPr>
        <w:pStyle w:val="Normal"/>
        <w:bidi w:val="0"/>
        <w:jc w:val="left"/>
        <w:rPr>
          <w:lang w:val="pt-PT"/>
        </w:rPr>
      </w:pPr>
      <w:r>
        <w:rPr>
          <w:lang w:val="pt-PT"/>
        </w:rP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e 3MF.</w:t>
      </w:r>
    </w:p>
    <w:p>
      <w:pPr>
        <w:pStyle w:val="Normal"/>
        <w:bidi w:val="0"/>
        <w:jc w:val="left"/>
        <w:rPr>
          <w:lang w:val="pt-PT"/>
        </w:rPr>
      </w:pPr>
      <w:r>
        <w:rPr>
          <w:lang w:val="pt-PT"/>
        </w:rPr>
        <w:t>A integração da IA acrescentou uma camada de apoio à decisão, capaz de transformar descrições incompletas em pontos de partida plausíveis, desde que as sugestões sejam enquadradas pelo esquema de parâmetros do modelo, pelos limites definidos e por validação posterior.</w:t>
      </w:r>
    </w:p>
    <w:p>
      <w:pPr>
        <w:pStyle w:val="Normal"/>
        <w:bidi w:val="0"/>
        <w:jc w:val="left"/>
        <w:rPr>
          <w:lang w:val="pt-PT"/>
        </w:rPr>
      </w:pPr>
      <w:r>
        <w:rPr>
          <w:lang w:val="pt-PT"/>
        </w:rPr>
        <w:t>A validação realizada mostrou quatro resultados principais. Primeiro, as sugestões numéricas respeitaram os limites do modelo, preservaram proporções anatómicas e adaptaram-se de forma coerente à riqueza variável das entradas. Segundo, as medições diretamente fornecidas foram preservadas e os dados em falta foram estimados proporcionalmente.</w:t>
      </w:r>
    </w:p>
    <w:p>
      <w:pPr>
        <w:pStyle w:val="Normal"/>
        <w:bidi w:val="0"/>
        <w:jc w:val="left"/>
        <w:rPr>
          <w:lang w:val="pt-PT"/>
        </w:rPr>
      </w:pPr>
      <w:r>
        <w:rPr/>
        <w:t>Terceiro, a validação geométrica entre modelos demonstrou que a exportação em STL/3MF é indispensável para identificar constrangimentos que a resposta numérica não revela, como limites mínimos de escala, dependências herdadas do código original e diferenças efetivas entre modelos.</w:t>
      </w:r>
    </w:p>
    <w:p>
      <w:pPr>
        <w:pStyle w:val="Normal"/>
        <w:bidi w:val="0"/>
        <w:jc w:val="left"/>
        <w:rPr>
          <w:lang w:val="pt-PT"/>
        </w:rPr>
      </w:pPr>
      <w:r>
        <w:rPr>
          <w:lang w:val="pt-PT"/>
        </w:rPr>
        <w:t xml:space="preserve">Quarto, a avaliação centrada no utilizador revelou que a acessibilidade paramétrica depende tanto da qualidade da inferência - entendida como o processo através do qual a IA transforma informação incompleta, indireta ou descritiva em sugestões paramétricas plausíveis </w:t>
        <w:softHyphen/>
        <w:t>- como das salvaguardas incorporadas na interface: entradas vagas e formuladas em diferentes línguas foram tratadas com robustez, mas a lateralidade, a adequação do modelo escolhido e a proveniência das estimativas exigem controlos explícitos para evitar confiança excessiva no resultado.</w:t>
      </w:r>
    </w:p>
    <w:p>
      <w:pPr>
        <w:pStyle w:val="Normal"/>
        <w:bidi w:val="0"/>
        <w:jc w:val="left"/>
        <w:rPr>
          <w:lang w:val="pt-PT"/>
        </w:rPr>
      </w:pPr>
      <w:r>
        <w:rPr>
          <w:lang w:val="pt-PT"/>
        </w:rPr>
        <w:t>A mesma lógica sugere a possibilidade de extensão da arquitetura a outros segmentos corporais. A plataforma deixa de depender exclusivamente de pressupostos específicos da mão quando propriedades como lateralidade, tipo de membro e orientação antropométrica passam a ser declaradas no ficheiro de configuração do modelo.</w:t>
      </w:r>
    </w:p>
    <w:p>
      <w:pPr>
        <w:pStyle w:val="Normal"/>
        <w:bidi w:val="0"/>
        <w:jc w:val="left"/>
        <w:rPr>
          <w:lang w:val="pt-PT"/>
        </w:rPr>
      </w:pPr>
      <w:r>
        <w:rPr>
          <w:lang w:val="pt-PT"/>
        </w:rPr>
        <w:t>Este passo não valida automaticamente a plataforma para dispositivos destinados ao pé, à perna ou ao braço, uma vez que essa extensão exigiria novos conjuntos de dados, novos mapeamentos antropométricos e validação geométrica específica. Ainda assim, demonstra que a estrutura técnica pode evoluir de um configurador de membros superiores e mãos para uma plataforma paramétrica organizada por tipo de membro, desde que cada modelo declare a sua lógica dimensional, os parâmetros relevantes e os respetivos limites de fabrico.</w:t>
      </w:r>
    </w:p>
    <w:p>
      <w:pPr>
        <w:pStyle w:val="Normal"/>
        <w:bidi w:val="0"/>
        <w:jc w:val="left"/>
        <w:rPr>
          <w:lang w:val="pt-PT"/>
        </w:rPr>
      </w:pPr>
      <w:r>
        <w:rPr>
          <w:lang w:val="pt-PT"/>
        </w:rPr>
      </w:r>
    </w:p>
    <w:p>
      <w:pPr>
        <w:pStyle w:val="Heading3"/>
        <w:bidi w:val="0"/>
        <w:jc w:val="left"/>
        <w:rPr>
          <w:lang w:val="pt-PT"/>
        </w:rPr>
      </w:pPr>
      <w:r>
        <w:rPr>
          <w:lang w:val="pt-PT"/>
        </w:rPr>
        <w:t>9.2 Contributos para o Design Industrial</w:t>
      </w:r>
    </w:p>
    <w:p>
      <w:pPr>
        <w:pStyle w:val="Heading3"/>
        <w:bidi w:val="0"/>
        <w:jc w:val="left"/>
        <w:rPr>
          <w:lang w:val="pt-PT"/>
        </w:rPr>
      </w:pPr>
      <w:r>
        <w:rPr>
          <w:lang w:val="pt-PT"/>
        </w:rPr>
      </w:r>
    </w:p>
    <w:p>
      <w:pPr>
        <w:pStyle w:val="Normal"/>
        <w:bidi w:val="0"/>
        <w:jc w:val="left"/>
        <w:rPr>
          <w:lang w:val="pt-PT"/>
        </w:rPr>
      </w:pPr>
      <w:r>
        <w:rPr>
          <w:lang w:val="pt-PT"/>
        </w:rPr>
        <w:t>O contributo principal reside na demonstração de um processo em que o artefacto, a interface e a lógica paramétrica funcionam como instrumentos de investigação. A prótese é aqui entendida como sistema configurável, no qual requisitos anatómicos, funcionais, produtivos e de utilização são traduzidos em parâmetros passíveis de análise crítica.</w:t>
      </w:r>
    </w:p>
    <w:p>
      <w:pPr>
        <w:pStyle w:val="Normal"/>
        <w:bidi w:val="0"/>
        <w:jc w:val="left"/>
        <w:rPr>
          <w:lang w:val="pt-PT"/>
        </w:rPr>
      </w:pPr>
      <w:r>
        <w:rPr>
          <w:lang w:val="pt-PT"/>
        </w:rPr>
        <w:t>Esta abordagem reforça o papel do designer como mediador entre dados, tecnologia, fabrico e experiência humana.</w:t>
      </w:r>
    </w:p>
    <w:p>
      <w:pPr>
        <w:pStyle w:val="Normal"/>
        <w:bidi w:val="0"/>
        <w:jc w:val="left"/>
        <w:rPr>
          <w:lang w:val="pt-PT"/>
        </w:rPr>
      </w:pPr>
      <w:r>
        <w:rPr>
          <w:lang w:val="pt-PT"/>
        </w:rP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de apoio, nos quais a acessibilidade da configuração deve ser equilibrada com responsabilidade, segurança e coerência funcional.</w:t>
      </w:r>
    </w:p>
    <w:p>
      <w:pPr>
        <w:pStyle w:val="Normal"/>
        <w:bidi w:val="0"/>
        <w:jc w:val="left"/>
        <w:rPr>
          <w:lang w:val="pt-PT"/>
        </w:rPr>
      </w:pPr>
      <w:r>
        <w:rPr>
          <w:lang w:val="pt-PT"/>
        </w:rPr>
        <w:t xml:space="preserve">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w:t>
      </w:r>
      <w:r>
        <w:rPr>
          <w:i/>
          <w:iCs/>
          <w:lang w:val="pt-PT"/>
        </w:rPr>
        <w:t>human-in-the-loop</w:t>
      </w:r>
      <w:r>
        <w:rPr>
          <w:lang w:val="pt-PT"/>
        </w:rPr>
        <w:t>, articulada com regras explícitas, dados antropométricos, visualização, exportação e revisão técnica.</w:t>
      </w:r>
    </w:p>
    <w:p>
      <w:pPr>
        <w:pStyle w:val="Heading3"/>
        <w:bidi w:val="0"/>
        <w:jc w:val="left"/>
        <w:rPr>
          <w:lang w:val="pt-PT"/>
        </w:rPr>
      </w:pPr>
      <w:r>
        <w:rPr>
          <w:lang w:val="pt-PT"/>
        </w:rPr>
      </w:r>
    </w:p>
    <w:p>
      <w:pPr>
        <w:pStyle w:val="Heading3"/>
        <w:bidi w:val="0"/>
        <w:jc w:val="left"/>
        <w:rPr>
          <w:lang w:val="pt-PT"/>
        </w:rPr>
      </w:pPr>
      <w:r>
        <w:rPr>
          <w:lang w:val="pt-PT"/>
        </w:rPr>
        <w:t>9.3 Limitações e perspetivas de desenvolvimento futuro</w:t>
      </w:r>
    </w:p>
    <w:p>
      <w:pPr>
        <w:pStyle w:val="Heading3"/>
        <w:bidi w:val="0"/>
        <w:jc w:val="left"/>
        <w:rPr>
          <w:lang w:val="pt-PT"/>
        </w:rPr>
      </w:pPr>
      <w:r>
        <w:rPr>
          <w:lang w:val="pt-PT"/>
        </w:rPr>
      </w:r>
    </w:p>
    <w:p>
      <w:pPr>
        <w:pStyle w:val="Normal"/>
        <w:bidi w:val="0"/>
        <w:jc w:val="left"/>
        <w:rPr>
          <w:lang w:val="pt-PT"/>
        </w:rPr>
      </w:pPr>
      <w:r>
        <w:rPr>
          <w:lang w:val="pt-PT"/>
        </w:rPr>
        <w:t>O alcance das conclusões deve ser entendido a partir do caráter metodológico e técnico da validação realizada. A avaliação incidiu sobre perfis simulados, dados secundários e critérios internos de plausibilidade, deixando para investigação futura os testes com utilizadores reais, as avaliações clínicas, as medições diretas de conforto, os ensaios funcionais prolongados e a validação biomecânica completa. Assim, os resultados sustentam a validação do fluxo de personalização, sem constituírem demonstração de eficácia protésica em contexto de uso.</w:t>
      </w:r>
    </w:p>
    <w:p>
      <w:pPr>
        <w:pStyle w:val="Normal"/>
        <w:bidi w:val="0"/>
        <w:jc w:val="left"/>
        <w:rPr>
          <w:lang w:val="pt-PT"/>
        </w:rPr>
      </w:pPr>
      <w:r>
        <w:rPr>
          <w:lang w:val="pt-PT"/>
        </w:rPr>
        <w:t>A componente de IA exige desenvolvimento adicional, mesmo após a correção determinística da lateralidade. A saída deve ser validada por esquema JSON no servidor, prevendo-se a repetição automática do pedido sempre que a resposta se afaste da estrutura definida.</w:t>
      </w:r>
    </w:p>
    <w:p>
      <w:pPr>
        <w:pStyle w:val="Normal"/>
        <w:bidi w:val="0"/>
        <w:jc w:val="left"/>
        <w:rPr>
          <w:lang w:val="pt-PT"/>
        </w:rPr>
      </w:pPr>
      <w:r>
        <w:rPr>
          <w:lang w:val="pt-PT"/>
        </w:rPr>
        <w:t>A variabilidade estocástica deve ser quantificada com múltiplas extrações por perfil, reportando médias, dispersão e taxas de aprovação dos invariantes. A comparação com bases de dados antropométricas ou medições reais permitiria passar da plausibilidade para uma estimativa mais rigorosa de erro. 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Normal"/>
        <w:bidi w:val="0"/>
        <w:jc w:val="left"/>
        <w:rPr>
          <w:lang w:val="pt-PT"/>
        </w:rPr>
      </w:pPr>
      <w:r>
        <w:rPr>
          <w:lang w:val="pt-PT"/>
        </w:rPr>
        <w:t>Do ponto de vista geométrico e produtivo, o trabalho futuro deve aprofundar a validação por impressão física, montagem, tolerâncias, resistência, desgaste e adequação ao uso. 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e ao objetivo de fabrico.</w:t>
      </w:r>
    </w:p>
    <w:p>
      <w:pPr>
        <w:pStyle w:val="Normal"/>
        <w:bidi w:val="0"/>
        <w:jc w:val="left"/>
        <w:rPr>
          <w:lang w:val="pt-PT"/>
        </w:rPr>
      </w:pPr>
      <w:r>
        <w:rPr>
          <w:lang w:val="pt-PT"/>
        </w:rPr>
        <w:t>Por fim, a investigação abre espaço para estudos com utilizadores, técnicos e designers, avaliando não apenas a geometria exportada, mas também a inteligibilidade da interface, a confiança nas sugestões, a distribuição de responsabilidade e a utilidade real do fluxo em contextos de prototipagem. 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Heading2"/>
        <w:bidi w:val="0"/>
        <w:jc w:val="left"/>
        <w:rPr>
          <w:lang w:val="pt-PT"/>
        </w:rPr>
      </w:pPr>
      <w:r>
        <w:rPr>
          <w:lang w:val="pt-PT"/>
        </w:rPr>
      </w:r>
      <w:r>
        <w:br w:type="page"/>
      </w:r>
    </w:p>
    <w:p>
      <w:pPr>
        <w:pStyle w:val="Heading2"/>
        <w:bidi w:val="0"/>
        <w:spacing w:before="0" w:after="0"/>
        <w:jc w:val="left"/>
        <w:rPr>
          <w:lang w:val="pt-PT"/>
        </w:rPr>
      </w:pPr>
      <w:r>
        <w:rPr>
          <w:lang w:val="pt-PT"/>
        </w:rPr>
        <w:t>Bibliografia</w:t>
      </w:r>
    </w:p>
    <w:p>
      <w:pPr>
        <w:pStyle w:val="Normal"/>
        <w:bidi w:val="0"/>
        <w:jc w:val="left"/>
        <w:rPr>
          <w:lang w:val="pt-PT"/>
        </w:rPr>
      </w:pPr>
      <w:r>
        <w:rPr>
          <w:lang w:val="pt-PT"/>
        </w:rPr>
        <w:t>&lt;a id="ref-alili-2023"&gt;&lt;/a&gt; Alili, A., Nalam, V., Li, M., Liu, M., Feng, J., Si, J., &amp; Huang, H. (2023). A novel framework to facilitate user preferred tuning for a robotic knee prosthesis. IEEE Transactions on Neural Systems and Rehabilitation Engineering, 31, 895-903. https://doi.org/10.1109/TNSRE.2023.3236217</w:t>
      </w:r>
    </w:p>
    <w:p>
      <w:pPr>
        <w:pStyle w:val="Normal"/>
        <w:bidi w:val="0"/>
        <w:jc w:val="left"/>
        <w:rPr>
          <w:lang w:val="pt-PT"/>
        </w:rPr>
      </w:pPr>
      <w:r>
        <w:rPr>
          <w:lang w:val="pt-PT"/>
        </w:rPr>
        <w:t>&lt;a id="ref-albin-2023"&gt;&lt;/a&gt; Albin, T., &amp; Molenbroek, J. F. M. (2023). Introduction to the special issue, anthropometry in design. https://repository.tudelft.nl/file/Fileda5bfdc9-98bc-41d3-a402-553d5f0d0a63</w:t>
      </w:r>
    </w:p>
    <w:p>
      <w:pPr>
        <w:pStyle w:val="Normal"/>
        <w:bidi w:val="0"/>
        <w:jc w:val="left"/>
        <w:rPr>
          <w:lang w:val="pt-PT"/>
        </w:rPr>
      </w:pPr>
      <w:r>
        <w:rPr>
          <w:lang w:val="pt-PT"/>
        </w:rPr>
        <w:t>&lt;a id="ref-arrieta-2020"&gt;&lt;/a&gt;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Normal"/>
        <w:bidi w:val="0"/>
        <w:jc w:val="left"/>
        <w:rPr>
          <w:lang w:val="pt-PT"/>
        </w:rPr>
      </w:pPr>
      <w:r>
        <w:rPr>
          <w:lang w:val="pt-PT"/>
        </w:rPr>
        <w:t>&lt;a id="ref-astm-international-2024"&gt;&lt;/a&gt; ASTM International. (2024). Standard guide for assessing fit accommodation of exoskeletons for manufacturers and designers. https://www.astm.org/f3661-24.html</w:t>
      </w:r>
    </w:p>
    <w:p>
      <w:pPr>
        <w:pStyle w:val="Normal"/>
        <w:bidi w:val="0"/>
        <w:jc w:val="left"/>
        <w:rPr>
          <w:lang w:val="pt-PT"/>
        </w:rPr>
      </w:pPr>
      <w:r>
        <w:rPr>
          <w:lang w:val="pt-PT"/>
        </w:rPr>
        <w:t>&lt;a id="ref-bai-2024"&gt;&lt;/a&gt; 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Normal"/>
        <w:bidi w:val="0"/>
        <w:jc w:val="left"/>
        <w:rPr>
          <w:lang w:val="pt-PT"/>
        </w:rPr>
      </w:pPr>
      <w:r>
        <w:rPr>
          <w:lang w:val="pt-PT"/>
        </w:rPr>
        <w:t>&lt;a id="ref-bates-2020"&gt;&lt;/a&gt; Bates, T., Fergason, J., &amp; Pierrie, S. N. (2020). Technological advances in prosthesis design and rehabilitation following upper extremity limb loss. https://www.semanticscholar.org/paper/905056ffa9fa963e8df8b974d90b94c05a5f7e29</w:t>
      </w:r>
    </w:p>
    <w:p>
      <w:pPr>
        <w:pStyle w:val="Normal"/>
        <w:bidi w:val="0"/>
        <w:jc w:val="left"/>
        <w:rPr>
          <w:lang w:val="pt-PT"/>
        </w:rPr>
      </w:pPr>
      <w:r>
        <w:rPr>
          <w:lang w:val="pt-PT"/>
        </w:rPr>
        <w:t>&lt;a id="ref-bradtmiller-2022"&gt;&lt;/a&gt; Bradtmiller, B. (2022). Design for all, design for disabled: How important is anthropometry? https://researchonline.jcu.edu.au/76898/</w:t>
      </w:r>
    </w:p>
    <w:p>
      <w:pPr>
        <w:pStyle w:val="Normal"/>
        <w:bidi w:val="0"/>
        <w:jc w:val="left"/>
        <w:rPr>
          <w:lang w:val="pt-PT"/>
        </w:rPr>
      </w:pPr>
      <w:r>
        <w:rPr>
          <w:lang w:val="pt-PT"/>
        </w:rPr>
        <w:t>&lt;a id="ref-chainando-2025"&gt;&lt;/a&gt;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&lt;a id="ref-kaygan-2025"&gt;&lt;/a&gt; Kaygan, H., &amp; Kaygan, P. (2025). Clients and carers: Healthcare professionals’ roles in medical device development processes in SMEs. The Design Journal, 28(2), 213-231. https://doi.org/10.1080/14606925.2024.2420152</w:t>
      </w:r>
    </w:p>
    <w:p>
      <w:pPr>
        <w:pStyle w:val="Normal"/>
        <w:bidi w:val="0"/>
        <w:jc w:val="left"/>
        <w:rPr>
          <w:lang w:val="pt-PT"/>
        </w:rPr>
      </w:pPr>
      <w:r>
        <w:rPr>
          <w:lang w:val="pt-PT"/>
        </w:rPr>
        <w:t>&lt;a id="ref-kellam-2019"&gt;&lt;/a&gt;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Normal"/>
        <w:bidi w:val="0"/>
        <w:jc w:val="left"/>
        <w:rPr>
          <w:lang w:val="pt-PT"/>
        </w:rPr>
      </w:pPr>
      <w:r>
        <w:rPr>
          <w:lang w:val="pt-PT"/>
        </w:rPr>
        <w:t>&lt;a id="ref-colombo-2015"&gt;&lt;/a&gt; Colombo, G., Facoetti, G., Rizzi, C., &amp; Vitali, A. (2015). Low cost hand-tracking devices to design customized medical devices. Interacción. https://doi.org/10.1007/978-3-319-21067-436</w:t>
      </w:r>
    </w:p>
    <w:p>
      <w:pPr>
        <w:pStyle w:val="Normal"/>
        <w:bidi w:val="0"/>
        <w:jc w:val="left"/>
        <w:rPr>
          <w:lang w:val="pt-PT"/>
        </w:rPr>
      </w:pPr>
      <w:r>
        <w:rPr>
          <w:lang w:val="pt-PT"/>
        </w:rPr>
        <w:t>&lt;a id="ref-da-silveira-romero-2025"&gt;&lt;/a&gt; 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Normal"/>
        <w:bidi w:val="0"/>
        <w:jc w:val="left"/>
        <w:rPr>
          <w:lang w:val="pt-PT"/>
        </w:rPr>
      </w:pPr>
      <w:r>
        <w:rPr>
          <w:lang w:val="pt-PT"/>
        </w:rPr>
        <w:t>&lt;a id="ref-gu-2024"&gt;&lt;/a&gt; 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Normal"/>
        <w:bidi w:val="0"/>
        <w:jc w:val="left"/>
        <w:rPr>
          <w:lang w:val="pt-PT"/>
        </w:rPr>
      </w:pPr>
      <w:r>
        <w:rPr>
          <w:lang w:val="pt-PT"/>
        </w:rPr>
        <w:t>&lt;a id="ref-engdahl-2024"&gt;&lt;/a&gt; Engdahl, S., Gonzalez, M. A., Lee, C., &amp; Gates, D. H. (2024). Perspectives on the comparative benefits of body-powered and myoelectric upper limb prostheses. https://jneuroengrehab.biomedcentral.com/counter/pdf/10.1186/s12984-024-01436-4</w:t>
      </w:r>
    </w:p>
    <w:p>
      <w:pPr>
        <w:pStyle w:val="Normal"/>
        <w:bidi w:val="0"/>
        <w:jc w:val="left"/>
        <w:rPr>
          <w:lang w:val="pt-PT"/>
        </w:rPr>
      </w:pPr>
      <w:r>
        <w:rPr>
          <w:lang w:val="pt-PT"/>
        </w:rPr>
        <w:t>&lt;a id="ref-elbreki-2022"&gt;&lt;/a&gt; 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Normal"/>
        <w:bidi w:val="0"/>
        <w:jc w:val="left"/>
        <w:rPr>
          <w:lang w:val="pt-PT"/>
        </w:rPr>
      </w:pPr>
      <w:r>
        <w:rPr>
          <w:lang w:val="pt-PT"/>
        </w:rPr>
        <w:t>&lt;a id="ref-fink-2023"&gt;&lt;/a&gt; Fink, C., &amp; Diamond, Y. (2023). Prosthesis options and management in upper extremity amputation. https://www.semanticscholar.org/paper/3532a770446eb6144ef25a6b0162d1f98b61e0ff</w:t>
      </w:r>
    </w:p>
    <w:p>
      <w:pPr>
        <w:pStyle w:val="Normal"/>
        <w:bidi w:val="0"/>
        <w:jc w:val="left"/>
        <w:rPr>
          <w:lang w:val="pt-PT"/>
        </w:rPr>
      </w:pPr>
      <w:r>
        <w:rPr>
          <w:lang w:val="pt-PT"/>
        </w:rPr>
        <w:t>&lt;a id="ref-ibrahim-2024"&gt;&lt;/a&gt; 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Normal"/>
        <w:bidi w:val="0"/>
        <w:jc w:val="left"/>
        <w:rPr>
          <w:lang w:val="pt-PT"/>
        </w:rPr>
      </w:pPr>
      <w:r>
        <w:rPr>
          <w:lang w:val="pt-PT"/>
        </w:rPr>
        <w:t>&lt;a id="ref-kandikjan-2022"&gt;&lt;/a&gt; 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lang w:val="pt-PT"/>
        </w:rPr>
      </w:pPr>
      <w:r>
        <w:rPr>
          <w:lang w:val="pt-PT"/>
        </w:rPr>
        <w:t>&lt;a id="ref-kannenberg-2024"&gt;&lt;/a&gt; Kannenberg, A., Buis, A. W. P., Sengeh, D. M., &amp; Worsley, P. R. (2024). Insights into the spectrum of transtibial prosthetic socket design from expert clinicians and their digital records. Frontiers in Rehabilitation Sciences, 5. https://doi.org/10.3389/fresc.2024.1354069</w:t>
      </w:r>
    </w:p>
    <w:p>
      <w:pPr>
        <w:pStyle w:val="Normal"/>
        <w:bidi w:val="0"/>
        <w:jc w:val="left"/>
        <w:rPr>
          <w:lang w:val="pt-PT"/>
        </w:rPr>
      </w:pPr>
      <w:r>
        <w:rPr>
          <w:lang w:val="pt-PT"/>
        </w:rPr>
        <w:t>&lt;a id="ref-lei-2016"&gt;&lt;/a&gt; Lei, N., Yao, X., Moon, S. K., &amp; Bi, G. (2016). An additive manufacturing process model for product family design. https://dr.ntu.edu.sg/bitstream/10356/83735/1/An%20additive%20manufacturing%20process%20model%20for%20product%20family%20design.pdf</w:t>
      </w:r>
    </w:p>
    <w:p>
      <w:pPr>
        <w:pStyle w:val="Normal"/>
        <w:bidi w:val="0"/>
        <w:jc w:val="left"/>
        <w:rPr>
          <w:lang w:val="pt-PT"/>
        </w:rPr>
      </w:pPr>
      <w:r>
        <w:rPr>
          <w:lang w:val="pt-PT"/>
        </w:rPr>
        <w:t>&lt;a id="ref-lindell-2021"&gt;&lt;/a&gt; Lindell, E., Tingsvik, H., Guo, L., &amp; Peterson, J. (2021). 3D body scan as anthropometric tool for individualized prosthetic socks. https://sciendo.com/pdf/10.2478/aut-2021-0007</w:t>
      </w:r>
    </w:p>
    <w:p>
      <w:pPr>
        <w:pStyle w:val="Normal"/>
        <w:bidi w:val="0"/>
        <w:jc w:val="left"/>
        <w:rPr>
          <w:lang w:val="pt-PT"/>
        </w:rPr>
      </w:pPr>
      <w:r>
        <w:rPr>
          <w:lang w:val="pt-PT"/>
        </w:rPr>
        <w:t>&lt;a id="ref-lim-d-georgiou-t-bhardwaj"&gt;&lt;/a&gt;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Normal"/>
        <w:bidi w:val="0"/>
        <w:jc w:val="left"/>
        <w:rPr>
          <w:lang w:val="pt-PT"/>
        </w:rPr>
      </w:pPr>
      <w:r>
        <w:rPr>
          <w:lang w:val="pt-PT"/>
        </w:rPr>
        <w:t>&lt;a id="ref-ozdemir-2022"&gt;&lt;/a&gt; 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lang w:val="pt-PT"/>
        </w:rPr>
      </w:pPr>
      <w:r>
        <w:rPr>
          <w:lang w:val="pt-PT"/>
        </w:rPr>
        <w:t>&lt;a id="ref-peixoto-2025"&gt;&lt;/a&gt; Peixoto, S., Martins, N., Miranda, D., Matos, D., &amp; Carvalho, V. (2025). The design process in the development of an online platform for personalizing wearable prostheses: A preliminary approach. Designs, 9(2), 39. https://doi.org/10.3390/designs9020039</w:t>
      </w:r>
    </w:p>
    <w:p>
      <w:pPr>
        <w:pStyle w:val="Normal"/>
        <w:bidi w:val="0"/>
        <w:jc w:val="left"/>
        <w:rPr>
          <w:lang w:val="pt-PT"/>
        </w:rPr>
      </w:pPr>
      <w:r>
        <w:rPr>
          <w:lang w:val="pt-PT"/>
        </w:rPr>
        <w:t>&lt;a id="ref-parlamento-europeu-2017"&gt;&lt;/a&gt; Parlamento Europeu, &amp; Conselho da União Europeia. (2017). Regulation (EU) 2017/745 of the European Parliament and of the Council of 5 April 2017 on medical devices. https://eur-lex.europa.eu/eli/reg/2017/745/oj</w:t>
      </w:r>
    </w:p>
    <w:p>
      <w:pPr>
        <w:pStyle w:val="Normal"/>
        <w:bidi w:val="0"/>
        <w:jc w:val="left"/>
        <w:rPr>
          <w:lang w:val="pt-PT"/>
        </w:rPr>
      </w:pPr>
      <w:r>
        <w:rPr>
          <w:lang w:val="pt-PT"/>
        </w:rPr>
        <w:t>&lt;a id="ref-chapman-2025"&gt;&lt;/a&gt; Chapman, K., Allen, C., &amp; Kendall, E. (2025). Methods for co-designing health communication initiatives with people with disability: A scoping review. Health Communication. https://doi.org/10.1080/10810730.2025.2462679</w:t>
      </w:r>
    </w:p>
    <w:p>
      <w:pPr>
        <w:pStyle w:val="Normal"/>
        <w:bidi w:val="0"/>
        <w:jc w:val="left"/>
        <w:rPr>
          <w:lang w:val="pt-PT"/>
        </w:rPr>
      </w:pPr>
      <w:r>
        <w:rPr>
          <w:lang w:val="pt-PT"/>
        </w:rPr>
        <w:t>&lt;a id="ref-clarkson-2010"&gt;&lt;/a&gt; Clarkson, J., &amp; Coleman, R. (2010). Inclusive design. Design Studies. https://doi.org/10.1080/09544821003693689</w:t>
      </w:r>
    </w:p>
    <w:p>
      <w:pPr>
        <w:pStyle w:val="Normal"/>
        <w:bidi w:val="0"/>
        <w:jc w:val="left"/>
        <w:rPr>
          <w:lang w:val="pt-PT"/>
        </w:rPr>
      </w:pPr>
      <w:r>
        <w:rPr>
          <w:lang w:val="pt-PT"/>
        </w:rPr>
        <w:t>&lt;a id="ref-chtioui-2023"&gt;&lt;/a&gt; Chtioui, N., Gaha, R., &amp; Benamara, A. (2023). Design for additive manufacturing: Review and framework proposal. https://sei.ardascience.com/index.php/journal/article/download/185/169</w:t>
      </w:r>
    </w:p>
    <w:p>
      <w:pPr>
        <w:pStyle w:val="Normal"/>
        <w:bidi w:val="0"/>
        <w:jc w:val="left"/>
        <w:rPr>
          <w:lang w:val="pt-PT"/>
        </w:rPr>
      </w:pPr>
      <w:r>
        <w:rPr>
          <w:lang w:val="pt-PT"/>
        </w:rPr>
        <w:t>&lt;a id="ref-fisher-2020"&gt;&lt;/a&gt; Fisher, M., &amp; Johansen, E. (2020). Human-centered design for medical devices and diagnostics in global health. https://www.semanticscholar.org/paper/89c3c6bd56f4d0b54f5da3e3c96f18e815d9f5d4</w:t>
      </w:r>
    </w:p>
    <w:p>
      <w:pPr>
        <w:pStyle w:val="Normal"/>
        <w:bidi w:val="0"/>
        <w:jc w:val="left"/>
        <w:rPr>
          <w:lang w:val="pt-PT"/>
        </w:rPr>
      </w:pPr>
      <w:r>
        <w:rPr>
          <w:lang w:val="pt-PT"/>
        </w:rPr>
        <w:t>&lt;a id="ref-millet-2018"&gt;&lt;/a&gt; Millet, A., Akle, A. A., &amp; Legardeur, J. (2018). Human centred criteria for healthcare design. https://www.semanticscholar.org/paper/267b655f123f4f167f1f9e7e6c8a1f17f73a73d0</w:t>
      </w:r>
    </w:p>
    <w:p>
      <w:pPr>
        <w:pStyle w:val="Normal"/>
        <w:bidi w:val="0"/>
        <w:jc w:val="left"/>
        <w:rPr>
          <w:lang w:val="pt-PT"/>
        </w:rPr>
      </w:pPr>
      <w:r>
        <w:rPr>
          <w:lang w:val="pt-PT"/>
        </w:rPr>
        <w:t>&lt;a id="ref-oldfrey-2024"&gt;&lt;/a&gt; Oldfrey, B., Ramirez, D. Z. M., Miodownik, M., et al. (2024). A scoping review of digital fabrication techniques applied to prosthetics and orthotics: Part 1 of 2—Prosthetics. Prosthetics and Orthotics International. https://doi.org/10.1097/PXR.0000000000000351</w:t>
      </w:r>
    </w:p>
    <w:p>
      <w:pPr>
        <w:pStyle w:val="Normal"/>
        <w:bidi w:val="0"/>
        <w:jc w:val="left"/>
        <w:rPr>
          <w:lang w:val="pt-PT"/>
        </w:rPr>
      </w:pPr>
      <w:r>
        <w:rPr>
          <w:lang w:val="pt-PT"/>
        </w:rPr>
        <w:t>&lt;a id="ref-quintero-2018"&gt;&lt;/a&gt; 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Normal"/>
        <w:bidi w:val="0"/>
        <w:jc w:val="left"/>
        <w:rPr>
          <w:lang w:val="pt-PT"/>
        </w:rPr>
      </w:pPr>
      <w:r>
        <w:rPr>
          <w:lang w:val="pt-PT"/>
        </w:rPr>
        <w:t>&lt;a id="ref-resnik-2010"&gt;&lt;/a&gt; 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lang w:val="pt-PT"/>
        </w:rPr>
      </w:pPr>
      <w:r>
        <w:rPr>
          <w:lang w:val="pt-PT"/>
        </w:rPr>
        <w:t>&lt;a id="ref-romero-2025"&gt;&lt;/a&gt;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Normal"/>
        <w:bidi w:val="0"/>
        <w:jc w:val="left"/>
        <w:rPr>
          <w:lang w:val="pt-PT"/>
        </w:rPr>
      </w:pPr>
      <w:r>
        <w:rPr>
          <w:lang w:val="pt-PT"/>
        </w:rPr>
        <w:t>&lt;a id="ref-segura-2024"&gt;&lt;/a&gt; Segura, D., Romero, E., Abarca, V. E., &amp; Elías, D. A. (2024). Upper limb prostheses by the level of amputation: A systematic review. Prosthesis, 6(2), 22. https://www.mdpi.com/2673-1592/6/2/22/pdf?version=1710818539</w:t>
      </w:r>
    </w:p>
    <w:p>
      <w:pPr>
        <w:pStyle w:val="Normal"/>
        <w:bidi w:val="0"/>
        <w:jc w:val="left"/>
        <w:rPr>
          <w:lang w:val="pt-PT"/>
        </w:rPr>
      </w:pPr>
      <w:r>
        <w:rPr>
          <w:lang w:val="pt-PT"/>
        </w:rPr>
        <w:t>&lt;a id="ref-smail-2020"&gt;&lt;/a&gt; 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lang w:val="pt-PT"/>
        </w:rPr>
      </w:pPr>
      <w:r>
        <w:rPr>
          <w:lang w:val="pt-PT"/>
        </w:rPr>
        <w:t>&lt;a id="ref-soyer-2016"&gt;&lt;/a&gt; Soyer, K., Unver, B., Tamer, S., &amp; Ulger, O. (2016). The importance of rehabilitation concerning upper extremity amputees: A systematic review. https://pjms.com.pk/index.php/pjms/article/view/9922/4660</w:t>
      </w:r>
    </w:p>
    <w:p>
      <w:pPr>
        <w:pStyle w:val="Normal"/>
        <w:bidi w:val="0"/>
        <w:jc w:val="left"/>
        <w:rPr>
          <w:lang w:val="pt-PT"/>
        </w:rPr>
      </w:pPr>
      <w:r>
        <w:rPr>
          <w:lang w:val="pt-PT"/>
        </w:rPr>
        <w:t>&lt;a id="ref-saldarriaga-2024"&gt;&lt;/a&gt; 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Normal"/>
        <w:bidi w:val="0"/>
        <w:jc w:val="left"/>
        <w:rPr>
          <w:lang w:val="pt-PT"/>
        </w:rPr>
      </w:pPr>
      <w:r>
        <w:rPr>
          <w:lang w:val="pt-PT"/>
        </w:rPr>
        <w:t>&lt;a id="ref-shah-2006"&gt;&lt;/a&gt; Shah, S., &amp; Robinson, I. (2006). User involvement in healthcare technology development and assessment: Structured literature review. https://www.semanticscholar.org/paper/299d5b2c1d65791cc4c9f2db76edf20f479adcbc</w:t>
      </w:r>
    </w:p>
    <w:p>
      <w:pPr>
        <w:pStyle w:val="Normal"/>
        <w:bidi w:val="0"/>
        <w:jc w:val="left"/>
        <w:rPr>
          <w:lang w:val="pt-PT"/>
        </w:rPr>
      </w:pPr>
      <w:r>
        <w:rPr>
          <w:lang w:val="pt-PT"/>
        </w:rPr>
        <w:t>&lt;a id="ref-silva-alcara-2018"&gt;&lt;/a&gt;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t>&lt;a id="ref-silva-2024"&gt;&lt;/a&gt; Silva, R., Silva, B., Fernandes, C., Morouco, P., Alves, N., &amp; Veloso, A. (2024). A review on 3D scanners studies for producing customized orthoses. Sensors, 24(5), 1373. https://pmc.ncbi.nlm.nih.gov/articles/PMC10935386/pdf/sensors-24-01373.pdf</w:t>
      </w:r>
    </w:p>
    <w:p>
      <w:pPr>
        <w:pStyle w:val="Normal"/>
        <w:bidi w:val="0"/>
        <w:jc w:val="left"/>
        <w:rPr>
          <w:lang w:val="pt-PT"/>
        </w:rPr>
      </w:pPr>
      <w:r>
        <w:rPr>
          <w:lang w:val="pt-PT"/>
        </w:rPr>
        <w:t>&lt;a id="ref-story-2006"&gt;&lt;/a&gt; Story, M. (2006). Applying the principles of universal design to medical devices. https://www.semanticscholar.org/paper/d0d84425d517331607c9120290ed26d1bf2e1862</w:t>
      </w:r>
    </w:p>
    <w:p>
      <w:pPr>
        <w:pStyle w:val="Normal"/>
        <w:bidi w:val="0"/>
        <w:jc w:val="left"/>
        <w:rPr>
          <w:lang w:val="pt-PT"/>
        </w:rPr>
      </w:pPr>
      <w:r>
        <w:rPr>
          <w:lang w:val="pt-PT"/>
        </w:rPr>
        <w:t>&lt;a id="ref-stralen-2018"&gt;&lt;/a&gt; Stralen, M. V. (2018). Mass customization: A critical perspective on parametric design, digital fabrication and design democratization. https://www.semanticscholar.org/paper/a18f2c4d248e791d2a9b84f3cab268d5a377cc10</w:t>
      </w:r>
    </w:p>
    <w:p>
      <w:pPr>
        <w:pStyle w:val="Normal"/>
        <w:bidi w:val="0"/>
        <w:jc w:val="left"/>
        <w:rPr>
          <w:lang w:val="pt-PT"/>
        </w:rPr>
      </w:pPr>
      <w:r>
        <w:rPr>
          <w:lang w:val="pt-PT"/>
        </w:rPr>
        <w:t>&lt;a id="ref-squibb-2024"&gt;&lt;/a&gt; 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Normal"/>
        <w:bidi w:val="0"/>
        <w:jc w:val="left"/>
        <w:rPr>
          <w:lang w:val="pt-PT"/>
        </w:rPr>
      </w:pPr>
      <w:r>
        <w:rPr>
          <w:lang w:val="pt-PT"/>
        </w:rPr>
        <w:t>&lt;a id="ref-sunderland-2024"&gt;&lt;/a&gt; 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Normal"/>
        <w:bidi w:val="0"/>
        <w:jc w:val="left"/>
        <w:rPr>
          <w:lang w:val="pt-PT"/>
        </w:rPr>
      </w:pPr>
      <w:r>
        <w:rPr>
          <w:lang w:val="pt-PT"/>
        </w:rPr>
        <w:t>&lt;a id="ref-cklacandr-2022"&gt;&lt;/a&gt; 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lang w:val="pt-PT"/>
        </w:rPr>
      </w:pPr>
      <w:r>
        <w:rPr>
          <w:lang w:val="pt-PT"/>
        </w:rPr>
        <w:t>&lt;a id="ref-white-2022"&gt;&lt;/a&gt; White, J., &amp; Mosca, E. I. (2022). Developing innovative solutions for universal design in healthcare and other sectors. https://www.semanticscholar.org/paper/df2bb0d53af547bd89b2c716933c2a544bf422b1</w:t>
      </w:r>
    </w:p>
    <w:p>
      <w:pPr>
        <w:pStyle w:val="Normal"/>
        <w:bidi w:val="0"/>
        <w:jc w:val="left"/>
        <w:rPr>
          <w:lang w:val="pt-PT"/>
        </w:rPr>
      </w:pPr>
      <w:r>
        <w:rPr>
          <w:lang w:val="pt-PT"/>
        </w:rPr>
        <w:t>&lt;a id="ref-wiberg-2019"&gt;&lt;/a&gt; Wiberg, A., Persson, J., &amp; Ölvander, J. (2019). Design for additive manufacturing: A review of available design methods and software. https://www.semanticscholar.org/paper/e03bf769f344512519f1005baa1d6b83fe4fc8ed</w:t>
      </w:r>
    </w:p>
    <w:p>
      <w:pPr>
        <w:pStyle w:val="Normal"/>
        <w:bidi w:val="0"/>
        <w:jc w:val="left"/>
        <w:rPr>
          <w:lang w:val="pt-PT"/>
        </w:rPr>
      </w:pPr>
      <w:r>
        <w:rPr>
          <w:lang w:val="pt-PT"/>
        </w:rPr>
        <w:t>&lt;a id="ref-wilke-2020"&gt;&lt;/a&gt; Wilke, H., Badke-Schaub, P., &amp; Thoring, K. (2020). The healthcare design dilemma: Perils of a technology-driven design process for medical products. https://www.semanticscholar.org/paper/078781d9389d4618fc1b5db9347ab68ca7ef46d9</w:t>
      </w:r>
    </w:p>
    <w:p>
      <w:pPr>
        <w:pStyle w:val="Normal"/>
        <w:bidi w:val="0"/>
        <w:jc w:val="left"/>
        <w:rPr>
          <w:lang w:val="pt-PT"/>
        </w:rPr>
      </w:pPr>
      <w:r>
        <w:rPr>
          <w:lang w:val="pt-PT"/>
        </w:rPr>
        <w:t>&lt;a id="ref-walters-2025"&gt;&lt;/a&gt; Walters, S., Seminati, E., Metcalfe, B., Bailey, N. Y., &amp; Pegg, E. C. (2025). Demystifying upper limb hybrid prostheses: A scoping review. https://www.semanticscholar.org/paper/d659aff9bb182a3c92377571973e6e077a3b1838</w:t>
      </w:r>
    </w:p>
    <w:p>
      <w:pPr>
        <w:pStyle w:val="Normal"/>
        <w:bidi w:val="0"/>
        <w:jc w:val="left"/>
        <w:rPr>
          <w:lang w:val="pt-PT"/>
        </w:rPr>
      </w:pPr>
      <w:r>
        <w:rPr>
          <w:lang w:val="pt-PT"/>
        </w:rPr>
        <w:t>&lt;a id="ref-yao-2016"&gt;&lt;/a&gt; Yao, X., Moon, S. K., &amp; Bi, G. (2016). A cost-driven design methodology for additive manufactured variable platforms in product families. https://www.semanticscholar.org/paper/f7bc9dc2a80714c18ac068f45b99408b0f4fe65e</w:t>
      </w:r>
    </w:p>
    <w:p>
      <w:pPr>
        <w:pStyle w:val="Normal"/>
        <w:bidi w:val="0"/>
        <w:jc w:val="left"/>
        <w:rPr>
          <w:lang w:val="pt-PT"/>
        </w:rPr>
      </w:pPr>
      <w:r>
        <w:rPr>
          <w:lang w:val="pt-PT"/>
        </w:rPr>
        <w:t>&lt;a id="ref-young-2023"&gt;&lt;/a&gt; 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lang w:val="pt-PT"/>
        </w:rPr>
      </w:pPr>
      <w:r>
        <w:rPr>
          <w:lang w:val="pt-PT"/>
        </w:rPr>
        <w:t>&lt;a id="ref-ao-2025"&gt;&lt;/a&gt; Ao, Y., Li, S., &amp; Duan, H. (2025). Artificial intelligence-aided design (AIAD) for structures and engineering: A state-of-the-art review and future perspectives. Archives of Computational Methods in Engineering. https://link.springer.com/content/pdf/10.1007/s11831-025-10264-1.pdf</w:t>
      </w:r>
    </w:p>
    <w:p>
      <w:pPr>
        <w:pStyle w:val="Normal"/>
        <w:bidi w:val="0"/>
        <w:jc w:val="left"/>
        <w:rPr>
          <w:lang w:val="pt-PT"/>
        </w:rPr>
      </w:pPr>
      <w:r>
        <w:rPr>
          <w:lang w:val="pt-PT"/>
        </w:rPr>
        <w:t>&lt;a id="ref-burnap-2019"&gt;&lt;/a&gt; Burnap, A., Hauser, J., &amp; Timoshenko, A. (2019). Design and evaluation of product aesthetics: A human-machine hybrid approach. https://www.semanticscholar.org/paper/7a7994f2de74a61cbdeb3c230d1ee343a0d5e783</w:t>
      </w:r>
    </w:p>
    <w:p>
      <w:pPr>
        <w:pStyle w:val="Normal"/>
        <w:bidi w:val="0"/>
        <w:jc w:val="left"/>
        <w:rPr>
          <w:lang w:val="pt-PT"/>
        </w:rPr>
      </w:pPr>
      <w:r>
        <w:rPr>
          <w:lang w:val="pt-PT"/>
        </w:rPr>
        <w:t>&lt;a id="ref-choudhury-2025"&gt;&lt;/a&gt; 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lang w:val="pt-PT"/>
        </w:rPr>
      </w:pPr>
      <w:r>
        <w:rPr>
          <w:lang w:val="pt-PT"/>
        </w:rPr>
        <w:t>&lt;a id="ref-figoli-2022"&gt;&lt;/a&gt; Figoli, F. A., Mattioli, F., &amp; Rampino, L. (2022). AI in design idea development: A workshop on creativity and human-AI collaboration. https://dl.designresearchsociety.org/cgi/viewcontent.cgi?article=2915&amp;context=drs-conference-papers</w:t>
      </w:r>
    </w:p>
    <w:p>
      <w:pPr>
        <w:pStyle w:val="Normal"/>
        <w:bidi w:val="0"/>
        <w:jc w:val="left"/>
        <w:rPr>
          <w:lang w:val="pt-PT"/>
        </w:rPr>
      </w:pPr>
      <w:r>
        <w:rPr>
          <w:lang w:val="pt-PT"/>
        </w:rPr>
        <w:t>&lt;a id="ref-idris-2024"&gt;&lt;/a&gt; Idris, M. Z., Hashim, M. E. A. H. B., Albakry, N., &amp; Septian, N. (2024). Exploring the integration of artificial intelligence in co-design framework for designer. https://ebpj.e-iph.co.uk/index.php/EBProceedings/article/download/6348/3640</w:t>
      </w:r>
    </w:p>
    <w:p>
      <w:pPr>
        <w:pStyle w:val="Normal"/>
        <w:bidi w:val="0"/>
        <w:jc w:val="left"/>
        <w:rPr>
          <w:lang w:val="pt-PT"/>
        </w:rPr>
      </w:pPr>
      <w:r>
        <w:rPr>
          <w:lang w:val="pt-PT"/>
        </w:rPr>
        <w:t>&lt;a id="ref-kadenhe-2025"&gt;&lt;/a&gt; Kadenhe, N., Al Musleh, M., &amp; Lompot, A. (2025). Human-AI co-design and co-creation: A review of emerging approaches, challenges, and future directions. https://www.semanticscholar.org/paper/61c04706b7af0be5be4b0d15f595d4ab41874d12</w:t>
      </w:r>
    </w:p>
    <w:p>
      <w:pPr>
        <w:pStyle w:val="Normal"/>
        <w:bidi w:val="0"/>
        <w:jc w:val="left"/>
        <w:rPr>
          <w:lang w:val="pt-PT"/>
        </w:rPr>
      </w:pPr>
      <w:r>
        <w:rPr>
          <w:lang w:val="pt-PT"/>
        </w:rPr>
        <w:t>&lt;a id="ref-khanolkar-2023"&gt;&lt;/a&gt; 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lang w:val="pt-PT"/>
        </w:rPr>
      </w:pPr>
      <w:r>
        <w:rPr>
          <w:lang w:val="pt-PT"/>
        </w:rPr>
        <w:t>&lt;a id="ref-krahe-2020"&gt;&lt;/a&gt; Krahe, C., Bräunche, A., Jacob, A., Stricker, N., &amp; Lanza, G. (2020). Deep learning for automated product design. https://www.semanticscholar.org/paper/a5b9b4f63805f2b1773bc8214b29e38dbac27975</w:t>
      </w:r>
    </w:p>
    <w:p>
      <w:pPr>
        <w:pStyle w:val="Normal"/>
        <w:bidi w:val="0"/>
        <w:jc w:val="left"/>
        <w:rPr>
          <w:lang w:val="pt-PT"/>
        </w:rPr>
      </w:pPr>
      <w:r>
        <w:rPr>
          <w:lang w:val="pt-PT"/>
        </w:rPr>
        <w:t>&lt;a id="ref-li-2021"&gt;&lt;/a&gt; Li, X., Demirel, H., Goldstein, M., &amp; Sha, Z. (2021). Exploring generative design thinking for engineering design and design education. https://peer.asee.org/38349.pdf</w:t>
      </w:r>
    </w:p>
    <w:p>
      <w:pPr>
        <w:pStyle w:val="Normal"/>
        <w:bidi w:val="0"/>
        <w:jc w:val="left"/>
        <w:rPr>
          <w:lang w:val="pt-PT"/>
        </w:rPr>
      </w:pPr>
      <w:r>
        <w:rPr>
          <w:lang w:val="pt-PT"/>
        </w:rPr>
        <w:t>&lt;a id="ref-menaka-2025"&gt;&lt;/a&gt; 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lang w:val="pt-PT"/>
        </w:rPr>
      </w:pPr>
      <w:r>
        <w:rPr>
          <w:lang w:val="pt-PT"/>
        </w:rPr>
        <w:t>&lt;a id="ref-panchal-2019"&gt;&lt;/a&gt; Panchal, J. H., Fuge, M., Liu, Y., Missoum, S., &amp; Tucker, C. S. (2019). Special issue: Machine learning for engineering design. Journal of Mechanical Design. https://www.semanticscholar.org/paper/2c4f7ca9381db7debefe61d04da51f9e8e63d09d</w:t>
      </w:r>
    </w:p>
    <w:p>
      <w:pPr>
        <w:pStyle w:val="Normal"/>
        <w:bidi w:val="0"/>
        <w:jc w:val="left"/>
        <w:rPr>
          <w:lang w:val="pt-PT"/>
        </w:rPr>
      </w:pPr>
      <w:r>
        <w:rPr>
          <w:lang w:val="pt-PT"/>
        </w:rPr>
        <w:t>&lt;a id="ref-ramnath-2019"&gt;&lt;/a&gt; 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lang w:val="pt-PT"/>
        </w:rPr>
      </w:pPr>
      <w:r>
        <w:rPr>
          <w:lang w:val="pt-PT"/>
        </w:rPr>
        <w:t>&lt;a id="ref-rezwana-2022"&gt;&lt;/a&gt; Rezwana, J., &amp; Maher, M. (2022). Understanding user perceptions, collaborative experience, and user engagement in different human-AI interaction designs for co-creative systems. https://arxiv.org/pdf/2204.13217</w:t>
      </w:r>
    </w:p>
    <w:p>
      <w:pPr>
        <w:pStyle w:val="Normal"/>
        <w:bidi w:val="0"/>
        <w:jc w:val="left"/>
        <w:rPr>
          <w:lang w:val="pt-PT"/>
        </w:rPr>
      </w:pPr>
      <w:r>
        <w:rPr>
          <w:lang w:val="pt-PT"/>
        </w:rPr>
        <w:t>&lt;a id="ref-saeidnia-2024"&gt;&lt;/a&gt; 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lang w:val="pt-PT"/>
        </w:rPr>
      </w:pPr>
      <w:r>
        <w:rPr>
          <w:lang w:val="pt-PT"/>
        </w:rPr>
        <w:t>&lt;a id="ref-verganti-2020"&gt;&lt;/a&gt; Verganti, R., Vendraminelli, L., &amp; Iansiti, M. (2020). Innovation and design in the age of artificial intelligence. https://onlinelibrary.wiley.com/doi/pdfdirect/10.1111/jpim.12523</w:t>
      </w:r>
    </w:p>
    <w:p>
      <w:pPr>
        <w:pStyle w:val="Normal"/>
        <w:bidi w:val="0"/>
        <w:jc w:val="left"/>
        <w:rPr>
          <w:lang w:val="pt-PT"/>
        </w:rPr>
      </w:pPr>
      <w:r>
        <w:rPr>
          <w:lang w:val="pt-PT"/>
        </w:rPr>
        <w:t>&lt;a id="ref-viros-i-martin-2021"&gt;&lt;/a&gt; Virós-i-Martin, A., &amp; Selva, D. (2021). A framework to study human-AI collaborative design space exploration. https://www.semanticscholar.org/paper/716be148371af443169531b0856ae07dfe400869</w:t>
      </w:r>
    </w:p>
    <w:p>
      <w:pPr>
        <w:pStyle w:val="Normal"/>
        <w:bidi w:val="0"/>
        <w:jc w:val="left"/>
        <w:rPr>
          <w:lang w:val="pt-PT"/>
        </w:rPr>
      </w:pPr>
      <w:r>
        <w:rPr>
          <w:lang w:val="pt-PT"/>
        </w:rPr>
        <w:t>&lt;a id="ref-wang-2024"&gt;&lt;/a&gt; Wang, X., &amp; Hu, B. (2024). Machine learning algorithms for improved product design user experience. https://www.semanticscholar.org/paper/717e7ad25dcafec12f01b6732773bdf9c5a49661</w:t>
      </w:r>
    </w:p>
    <w:p>
      <w:pPr>
        <w:pStyle w:val="Normal"/>
        <w:bidi w:val="0"/>
        <w:jc w:val="left"/>
        <w:rPr>
          <w:lang w:val="pt-PT"/>
        </w:rPr>
      </w:pPr>
      <w:r>
        <w:rPr>
          <w:lang w:val="pt-PT"/>
        </w:rPr>
        <w:t>&lt;a id="ref-yuksel-2023"&gt;&lt;/a&gt; Yüksel, N., Börklü, H. R., Sezer, H. K., &amp; Canyurt, O. (2023). Review of artificial intelligence applications in engineering design perspective. https://www.semanticscholar.org/paper/cd38b58edf6690459767097aca745a3806824236</w:t>
      </w:r>
    </w:p>
    <w:p>
      <w:pPr>
        <w:pStyle w:val="Normal"/>
        <w:bidi w:val="0"/>
        <w:jc w:val="left"/>
        <w:rPr>
          <w:lang w:val="pt-PT"/>
        </w:rPr>
      </w:pPr>
      <w:r>
        <w:rPr>
          <w:lang w:val="pt-PT"/>
        </w:rPr>
        <w:t>&lt;a id="ref-akasaka-2022"&gt;&lt;/a&gt;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&lt;a id="ref-akyol-2021"&gt;&lt;/a&gt; Akyol, P., Barker, T., Hall, R., Morrissey, K., McCarthy, J., &amp; Mackley, K. L. (2021). DiaFit: Designing customizable wearables for Type 1 diabetes monitoring. https://www.semanticscholar.org/paper/ea18361f7564fb19db367899adb6295a07bfa05c</w:t>
      </w:r>
    </w:p>
    <w:p>
      <w:pPr>
        <w:pStyle w:val="Normal"/>
        <w:bidi w:val="0"/>
        <w:jc w:val="left"/>
        <w:rPr>
          <w:lang w:val="pt-PT"/>
        </w:rPr>
      </w:pPr>
      <w:r>
        <w:rPr>
          <w:lang w:val="pt-PT"/>
        </w:rPr>
        <w:t>&lt;a id="ref-cole-2011"&gt;&lt;/a&gt; Cole, E. (2011). Patient-centered design: Interface personalization for individuals with brain injury.</w:t>
      </w:r>
    </w:p>
    <w:p>
      <w:pPr>
        <w:pStyle w:val="Normal"/>
        <w:bidi w:val="0"/>
        <w:jc w:val="left"/>
        <w:rPr>
          <w:lang w:val="pt-PT"/>
        </w:rPr>
      </w:pPr>
      <w:r>
        <w:rPr>
          <w:lang w:val="pt-PT"/>
        </w:rPr>
        <w:t>&lt;a id="ref-costabile-2007"&gt;&lt;/a&gt; Costabile, M. F., Fogli, D., Lanzilotti, R., Marcante, A., Mussio, P., Provenza, L. P., &amp; Piccinno, A. (2007). Meta-design to face co-evolution and communication gaps between users and designers.</w:t>
      </w:r>
    </w:p>
    <w:p>
      <w:pPr>
        <w:pStyle w:val="Normal"/>
        <w:bidi w:val="0"/>
        <w:jc w:val="left"/>
        <w:rPr>
          <w:lang w:val="pt-PT"/>
        </w:rPr>
      </w:pPr>
      <w:r>
        <w:rPr>
          <w:lang w:val="pt-PT"/>
        </w:rPr>
        <w:t>&lt;a id="ref-dechev-2023"&gt;&lt;/a&gt; Dechev, N., Penner, A., Barlow, I., Vukovic, G., &amp; Lalji, M. (2023). Accessible prosthetic arms: Victoria Hand Project and the impact of 3D printing.</w:t>
      </w:r>
    </w:p>
    <w:p>
      <w:pPr>
        <w:pStyle w:val="Normal"/>
        <w:bidi w:val="0"/>
        <w:jc w:val="left"/>
        <w:rPr>
          <w:lang w:val="pt-PT"/>
        </w:rPr>
      </w:pPr>
      <w:r>
        <w:rPr>
          <w:lang w:val="pt-PT"/>
        </w:rPr>
        <w:t>&lt;a id="ref-dexter-2013"&gt;&lt;/a&gt; Dexter, M., Crooks, E., Davies, P., &amp; Simm, W. (2013). Open design and cystic fibrosis: Enabling participation in the design process.</w:t>
      </w:r>
    </w:p>
    <w:p>
      <w:pPr>
        <w:pStyle w:val="Normal"/>
        <w:bidi w:val="0"/>
        <w:jc w:val="left"/>
        <w:rPr>
          <w:lang w:val="pt-PT"/>
        </w:rPr>
      </w:pPr>
      <w:r>
        <w:rPr>
          <w:lang w:val="pt-PT"/>
        </w:rPr>
        <w:t>&lt;a id="ref-fischer-2004"&gt;&lt;/a&gt; Fischer, G., Giaccardi, E., Ye, Y., Sutcliffe, A. G., &amp; Mehandjiev, N. (2004). Meta-design.</w:t>
      </w:r>
    </w:p>
    <w:p>
      <w:pPr>
        <w:pStyle w:val="Normal"/>
        <w:bidi w:val="0"/>
        <w:jc w:val="left"/>
        <w:rPr>
          <w:lang w:val="pt-PT"/>
        </w:rPr>
      </w:pPr>
      <w:r>
        <w:rPr>
          <w:lang w:val="pt-PT"/>
        </w:rPr>
        <w:t>&lt;a id="ref-fischer-2017"&gt;&lt;/a&gt; Fischer, G., Fogli, D., &amp; Piccinno, A. (2017). Revisiting and broadening the meta-design framework for end-user development.</w:t>
      </w:r>
    </w:p>
    <w:p>
      <w:pPr>
        <w:pStyle w:val="Normal"/>
        <w:bidi w:val="0"/>
        <w:jc w:val="left"/>
        <w:rPr>
          <w:lang w:val="pt-PT"/>
        </w:rPr>
      </w:pPr>
      <w:r>
        <w:rPr>
          <w:lang w:val="pt-PT"/>
        </w:rPr>
        <w:t>&lt;a id="ref-frangos-2016"&gt;&lt;/a&gt; Frangos, P., Mierdel, S., &amp; Koirala, S. (2016). Democratising design in scientific innovation: Application of an open value network to open source hardware design.</w:t>
      </w:r>
    </w:p>
    <w:p>
      <w:pPr>
        <w:pStyle w:val="Normal"/>
        <w:bidi w:val="0"/>
        <w:jc w:val="left"/>
        <w:rPr>
          <w:lang w:val="pt-PT"/>
        </w:rPr>
      </w:pPr>
      <w:r>
        <w:rPr>
          <w:lang w:val="pt-PT"/>
        </w:rPr>
        <w:t>&lt;a id="ref-franke-2002"&gt;&lt;/a&gt; Franke, N., &amp; von Hippel, E. (2002). Satisfying heterogeneous user needs via innovation toolkits: The case of Apache security software.</w:t>
      </w:r>
    </w:p>
    <w:p>
      <w:pPr>
        <w:pStyle w:val="Normal"/>
        <w:bidi w:val="0"/>
        <w:jc w:val="left"/>
        <w:rPr>
          <w:lang w:val="pt-PT"/>
        </w:rPr>
      </w:pPr>
      <w:r>
        <w:rPr>
          <w:lang w:val="pt-PT"/>
        </w:rPr>
        <w:t>&lt;a id="ref-govender-2020"&gt;&lt;/a&gt; Govender, R., Abrahmsén-Alami, S., Larsson, A., Borde, A., Liljeblad, A., &amp; Folestad, S. (2020). Independent tailoring of dose and drug release via a modularized product design concept for mass customization. Pharmaceutics.</w:t>
      </w:r>
    </w:p>
    <w:p>
      <w:pPr>
        <w:pStyle w:val="Normal"/>
        <w:bidi w:val="0"/>
        <w:jc w:val="left"/>
        <w:rPr>
          <w:lang w:val="pt-PT"/>
        </w:rPr>
      </w:pPr>
      <w:r>
        <w:rPr>
          <w:lang w:val="pt-PT"/>
        </w:rPr>
        <w:t>&lt;a id="ref-howard-2022"&gt;&lt;/a&gt; Howard, D., Davies, L., Dwyer, A., &amp; Williams, J. (2022). Assessing the use of co-design to produce bespoke assistive technology solutions within a current healthcare service: A service evaluation.</w:t>
      </w:r>
    </w:p>
    <w:p>
      <w:pPr>
        <w:pStyle w:val="Normal"/>
        <w:bidi w:val="0"/>
        <w:jc w:val="left"/>
        <w:rPr>
          <w:lang w:val="pt-PT"/>
        </w:rPr>
      </w:pPr>
      <w:r>
        <w:rPr>
          <w:lang w:val="pt-PT"/>
        </w:rPr>
        <w:t>&lt;a id="ref-hippel-2002"&gt;&lt;/a&gt; Hippel, E. von, &amp; Katz, R. (2002). Shifting innovation to users via toolkits. Management Science, 48(7).</w:t>
      </w:r>
    </w:p>
    <w:p>
      <w:pPr>
        <w:pStyle w:val="Normal"/>
        <w:bidi w:val="0"/>
        <w:jc w:val="left"/>
        <w:rPr>
          <w:lang w:val="pt-PT"/>
        </w:rPr>
      </w:pPr>
      <w:r>
        <w:rPr>
          <w:lang w:val="pt-PT"/>
        </w:rPr>
        <w:t>&lt;a id="ref-hussaini-2023"&gt;&lt;/a&gt; Hussaini, A., Kyberd, P., Mulindwa, B., Ssekitoleko, R., Keeble, W., Kenney, L., &amp; Howard, D. (2023). 3D printing in LMICs: Functional design for upper limb prosthetics in Uganda.</w:t>
      </w:r>
    </w:p>
    <w:p>
      <w:pPr>
        <w:pStyle w:val="Normal"/>
        <w:bidi w:val="0"/>
        <w:jc w:val="left"/>
        <w:rPr>
          <w:lang w:val="pt-PT"/>
        </w:rPr>
      </w:pPr>
      <w:r>
        <w:rPr>
          <w:lang w:val="pt-PT"/>
        </w:rPr>
        <w:t>&lt;a id="ref-kerr-2024"&gt;&lt;/a&gt; Kerr, A., Del Din, S., Clarkson, P. J., &amp; Rochester, L. (2024). A participatory model for cocreating accessible rehabilitation technology for stroke survivors: User-centered design approach.</w:t>
      </w:r>
    </w:p>
    <w:p>
      <w:pPr>
        <w:pStyle w:val="Normal"/>
        <w:bidi w:val="0"/>
        <w:jc w:val="left"/>
        <w:rPr>
          <w:lang w:val="pt-PT"/>
        </w:rPr>
      </w:pPr>
      <w:r>
        <w:rPr>
          <w:lang w:val="pt-PT"/>
        </w:rPr>
        <w:t>&lt;a id="ref-kuhl-2020"&gt;&lt;/a&gt; Kuhl, M., Lutz, J., Krause, D., &amp; Vielhaber, M. (2020). Design of personalized devices: The tradeoff between individual value and personalization workload. Applied Sciences.</w:t>
      </w:r>
    </w:p>
    <w:p>
      <w:pPr>
        <w:pStyle w:val="Normal"/>
        <w:bidi w:val="0"/>
        <w:jc w:val="left"/>
        <w:rPr>
          <w:lang w:val="pt-PT"/>
        </w:rPr>
      </w:pPr>
      <w:r>
        <w:rPr>
          <w:lang w:val="pt-PT"/>
        </w:rPr>
        <w:t>&lt;a id="ref-mikoajewski-2023"&gt;&lt;/a&gt; Mikołajewski, D., Rojek, I., Kotlarz, P., Dorożyński, J., &amp; Kopowski, J. (2023). Personalization of the 3D-printed upper limb exoskeleton design: Mechanical and IT aspects. Applied Sciences.</w:t>
      </w:r>
    </w:p>
    <w:p>
      <w:pPr>
        <w:pStyle w:val="Normal"/>
        <w:bidi w:val="0"/>
        <w:jc w:val="left"/>
        <w:rPr>
          <w:lang w:val="pt-PT"/>
        </w:rPr>
      </w:pPr>
      <w:r>
        <w:rPr>
          <w:lang w:val="pt-PT"/>
        </w:rPr>
        <w:t>&lt;a id="ref-peters-2023"&gt;&lt;/a&gt; Peters, C., &amp; Richter, P. (2023). Individualizing patient pathways through modularization: Design and evaluation of healthcare-specific modularization parameters.</w:t>
      </w:r>
    </w:p>
    <w:p>
      <w:pPr>
        <w:pStyle w:val="Normal"/>
        <w:bidi w:val="0"/>
        <w:jc w:val="left"/>
        <w:rPr>
          <w:lang w:val="pt-PT"/>
        </w:rPr>
      </w:pPr>
      <w:r>
        <w:rPr>
          <w:lang w:val="pt-PT"/>
        </w:rPr>
        <w:t>&lt;a id="ref-seregni-2021"&gt;&lt;/a&gt; 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lang w:val="pt-PT"/>
        </w:rPr>
      </w:pPr>
      <w:r>
        <w:rPr>
          <w:lang w:val="pt-PT"/>
        </w:rPr>
        <w:t>&lt;a id="ref-sims-2017"&gt;&lt;/a&gt; Sims, T., Cranny, A., Metcalf, C., Chappell, P., &amp; Donovan-Hall, M. (2017). Participatory design of pediatric upper limb prostheses: Qualitative methods and prototyping.</w:t>
      </w:r>
    </w:p>
    <w:p>
      <w:pPr>
        <w:pStyle w:val="Normal"/>
        <w:bidi w:val="0"/>
        <w:jc w:val="left"/>
        <w:rPr>
          <w:lang w:val="pt-PT"/>
        </w:rPr>
      </w:pPr>
      <w:r>
        <w:rPr>
          <w:lang w:val="pt-PT"/>
        </w:rPr>
        <w:t>&lt;a id="ref-thorsen-2023"&gt;&lt;/a&gt; Thorsen, R., Hansen, A. H., &amp; Nilsen, E. R. (2023). From patient to maker: A workflow including people with cerebral palsy in co-creating assistive devices using 3D printing technologies.</w:t>
      </w:r>
    </w:p>
    <w:p>
      <w:pPr>
        <w:pStyle w:val="Normal"/>
        <w:bidi w:val="0"/>
        <w:jc w:val="left"/>
        <w:rPr>
          <w:lang w:val="pt-PT"/>
        </w:rPr>
      </w:pPr>
      <w:r>
        <w:rPr>
          <w:lang w:val="pt-PT"/>
        </w:rPr>
        <w:t>&lt;a id="ref-zhu-2022"&gt;&lt;/a&gt; Zhu, Z., &amp; Zhong, R. Y. (2022). A digital twin enabled wearable device for customized healthcare.</w:t>
      </w:r>
    </w:p>
    <w:p>
      <w:pPr>
        <w:pStyle w:val="Normal"/>
        <w:bidi w:val="0"/>
        <w:jc w:val="left"/>
        <w:rPr>
          <w:lang w:val="pt-PT"/>
        </w:rPr>
      </w:pPr>
      <w:r>
        <w:rPr>
          <w:lang w:val="pt-PT"/>
        </w:rPr>
        <w:t>&lt;a id="ref-alluhydan-2023"&gt;&lt;/a&gt; Alluhydan, A., Alsaadi, S., Almutairi, A., &amp; Alharbi, A. (2023). Functionality and comfort design of lower-limb prosthetics: A review.</w:t>
      </w:r>
    </w:p>
    <w:p>
      <w:pPr>
        <w:pStyle w:val="Normal"/>
        <w:bidi w:val="0"/>
        <w:jc w:val="left"/>
        <w:rPr>
          <w:lang w:val="pt-PT"/>
        </w:rPr>
      </w:pPr>
      <w:r>
        <w:rPr>
          <w:lang w:val="pt-PT"/>
        </w:rPr>
        <w:t>&lt;a id="ref-anderson-2024"&gt;&lt;/a&gt; Anderson, C. B., Stephens, A. R., Scully, A., Pasquina, P. F., &amp; Highsmith, M. J. (2024). A narrative review of prosthesis design decision making after lower-limb amputation for developing shared decision-making resources.</w:t>
      </w:r>
    </w:p>
    <w:p>
      <w:pPr>
        <w:pStyle w:val="Normal"/>
        <w:bidi w:val="0"/>
        <w:jc w:val="left"/>
        <w:rPr>
          <w:lang w:val="pt-PT"/>
        </w:rPr>
      </w:pPr>
      <w:r>
        <w:rPr>
          <w:lang w:val="pt-PT"/>
        </w:rPr>
        <w:t>&lt;a id="ref-andrysek-2010"&gt;&lt;/a&gt; Andrysek, J. (2010). Lower-limb prosthetic technologies in the developing world: A review of literature from 1994-2010.</w:t>
      </w:r>
    </w:p>
    <w:p>
      <w:pPr>
        <w:pStyle w:val="Normal"/>
        <w:bidi w:val="0"/>
        <w:jc w:val="left"/>
        <w:rPr>
          <w:lang w:val="pt-PT"/>
        </w:rPr>
      </w:pPr>
      <w:r>
        <w:rPr>
          <w:lang w:val="pt-PT"/>
        </w:rPr>
        <w:t>&lt;a id="ref-baldock-2023"&gt;&lt;/a&gt; Baldock, C., Greaves, M., Chockalingam, N., &amp; Kark, L. (2023). Adjustable prosthetic sockets: A systematic review of industrial and research design characteristics and their justifications.</w:t>
      </w:r>
    </w:p>
    <w:p>
      <w:pPr>
        <w:pStyle w:val="Normal"/>
        <w:bidi w:val="0"/>
        <w:jc w:val="left"/>
        <w:rPr>
          <w:lang w:val="pt-PT"/>
        </w:rPr>
      </w:pPr>
      <w:r>
        <w:rPr>
          <w:lang w:val="pt-PT"/>
        </w:rPr>
        <w:t>&lt;a id="ref-baumann-2023"&gt;&lt;/a&gt; Baumann, C., &amp; Maria, P. (2023). Improving access to prosthetic limbs in Germany: An explorative review.</w:t>
      </w:r>
    </w:p>
    <w:p>
      <w:pPr>
        <w:pStyle w:val="Normal"/>
        <w:bidi w:val="0"/>
        <w:jc w:val="left"/>
        <w:rPr>
          <w:lang w:val="pt-PT"/>
        </w:rPr>
      </w:pPr>
      <w:r>
        <w:rPr>
          <w:lang w:val="pt-PT"/>
        </w:rPr>
        <w:t>&lt;a id="ref-chadwell-2020"&gt;&lt;/a&gt; Chadwell, A., Kenney, L., Thies, S., Galpin, A., &amp; Head, J. (2020). Technology for monitoring everyday prosthesis use: A systematic review.</w:t>
      </w:r>
    </w:p>
    <w:p>
      <w:pPr>
        <w:pStyle w:val="Normal"/>
        <w:bidi w:val="0"/>
        <w:jc w:val="left"/>
        <w:rPr>
          <w:lang w:val="pt-PT"/>
        </w:rPr>
      </w:pPr>
      <w:r>
        <w:rPr>
          <w:lang w:val="pt-PT"/>
        </w:rPr>
        <w:t>&lt;a id="ref-cordella-2016"&gt;&lt;/a&gt; Cordella, F., Ciancio, A. L., Sacchetti, R., Davalli, A., Cutti, A. G., Guglielmelli, E., &amp; Zollo, L. (2016). Literature review on needs of upper limb prosthesis users.</w:t>
      </w:r>
    </w:p>
    <w:p>
      <w:pPr>
        <w:pStyle w:val="Normal"/>
        <w:bidi w:val="0"/>
        <w:jc w:val="left"/>
        <w:rPr>
          <w:lang w:val="pt-PT"/>
        </w:rPr>
      </w:pPr>
      <w:r>
        <w:rPr>
          <w:lang w:val="pt-PT"/>
        </w:rPr>
        <w:t>&lt;a id="ref-dominguez-ruiz-2023"&gt;&lt;/a&gt; Domínguez-Ruiz, M., Ráez-Ballesteros, E., &amp; Castillo-Castañeda, E. (2023). Low limb prostheses and complex human prosthetic interaction: A systematic literature review.</w:t>
      </w:r>
    </w:p>
    <w:p>
      <w:pPr>
        <w:pStyle w:val="Normal"/>
        <w:bidi w:val="0"/>
        <w:jc w:val="left"/>
        <w:rPr>
          <w:lang w:val="pt-PT"/>
        </w:rPr>
      </w:pPr>
      <w:r>
        <w:rPr>
          <w:lang w:val="pt-PT"/>
        </w:rPr>
        <w:t>&lt;a id="ref-ghillebert-2019"&gt;&lt;/a&gt; Ghillebert, J., Schoukens, J., &amp; Vanderborght, B. (2019). Guidelines and recommendations to investigate the efficacy of a lower-limb prosthetic device: A systematic review.</w:t>
      </w:r>
    </w:p>
    <w:p>
      <w:pPr>
        <w:pStyle w:val="Normal"/>
        <w:bidi w:val="0"/>
        <w:jc w:val="left"/>
        <w:rPr>
          <w:lang w:val="pt-PT"/>
        </w:rPr>
      </w:pPr>
      <w:r>
        <w:rPr>
          <w:lang w:val="pt-PT"/>
        </w:rPr>
        <w:t>&lt;a id="ref-hafner-2016"&gt;&lt;/a&gt; Hafner, B. J., &amp; Sawers, A. B. (2016). Issues affecting the level of prosthetics research evidence: Secondary analysis of a systematic review.</w:t>
      </w:r>
    </w:p>
    <w:p>
      <w:pPr>
        <w:pStyle w:val="Normal"/>
        <w:bidi w:val="0"/>
        <w:jc w:val="left"/>
        <w:rPr>
          <w:lang w:val="pt-PT"/>
        </w:rPr>
      </w:pPr>
      <w:r>
        <w:rPr>
          <w:lang w:val="pt-PT"/>
        </w:rPr>
        <w:t>&lt;a id="ref-manz-2022"&gt;&lt;/a&gt; Manz, S. M., Menges, M. M., Schaffernicht, E., Mattes, K., &amp; Kannenberg, A. (2022). A review of user needs to inform the development of lower-limb prostheses.</w:t>
      </w:r>
    </w:p>
    <w:p>
      <w:pPr>
        <w:pStyle w:val="Normal"/>
        <w:bidi w:val="0"/>
        <w:jc w:val="left"/>
        <w:rPr>
          <w:lang w:val="pt-PT"/>
        </w:rPr>
      </w:pPr>
      <w:r>
        <w:rPr>
          <w:lang w:val="pt-PT"/>
        </w:rPr>
        <w:t>&lt;a id="ref-marinelli-2022"&gt;&lt;/a&gt; Marinelli, M., Putrino, D., Stella, F., &amp; Guglielmelli, E. (2022). Active upper limb prostheses: A review on current state and upcoming breakthroughs.</w:t>
      </w:r>
    </w:p>
    <w:p>
      <w:pPr>
        <w:pStyle w:val="Normal"/>
        <w:bidi w:val="0"/>
        <w:jc w:val="left"/>
        <w:rPr>
          <w:lang w:val="pt-PT"/>
        </w:rPr>
      </w:pPr>
      <w:r>
        <w:rPr>
          <w:lang w:val="pt-PT"/>
        </w:rPr>
        <w:t>&lt;a id="ref-richardson-2017"&gt;&lt;/a&gt; Richardson, C., &amp; Dillon, M. P. (2017). User experience of transtibial prosthetic liners: A systematic review.</w:t>
      </w:r>
    </w:p>
    <w:p>
      <w:pPr>
        <w:pStyle w:val="Normal"/>
        <w:bidi w:val="0"/>
        <w:jc w:val="left"/>
        <w:rPr>
          <w:lang w:val="pt-PT"/>
        </w:rPr>
      </w:pPr>
      <w:r>
        <w:rPr>
          <w:lang w:val="pt-PT"/>
        </w:rPr>
        <w:t>&lt;a id="ref-samuelsson-2012"&gt;&lt;/a&gt; Samuelsson, K. A. M., Töytäri, O., Salminen, A.-L., &amp; Brandt, Å. (2012). Effects of lower limb prosthesis on activity, participation, and quality of life: A systematic review.</w:t>
      </w:r>
    </w:p>
    <w:p>
      <w:pPr>
        <w:pStyle w:val="Normal"/>
        <w:bidi w:val="0"/>
        <w:jc w:val="left"/>
        <w:rPr>
          <w:lang w:val="pt-PT"/>
        </w:rPr>
      </w:pPr>
      <w:r>
        <w:rPr>
          <w:lang w:val="pt-PT"/>
        </w:rPr>
        <w:t>&lt;a id="ref-walker-2019"&gt;&lt;/a&gt; Walker, M., Paras, A., Boonstra, N., &amp; Murrup-Stewart, C. (2019). Towards including end-users in the design of prosthetic hands: Ethical analysis of a survey of Australians with upper-limb difference.</w:t>
      </w:r>
    </w:p>
    <w:p>
      <w:pPr>
        <w:pStyle w:val="Normal"/>
        <w:bidi w:val="0"/>
        <w:jc w:val="left"/>
        <w:rPr>
          <w:lang w:val="pt-PT"/>
        </w:rPr>
      </w:pPr>
      <w:r>
        <w:rPr>
          <w:lang w:val="pt-PT"/>
        </w:rPr>
        <w:t>&lt;a id="ref-windrich-2016"&gt;&lt;/a&gt; Windrich, M., Grimmer, M., Christ, O., Rinderknecht, S., &amp; Beckerle, P. (2016). Active lower limb prosthetics: A systematic review of design issues and solutions.</w:t>
      </w:r>
    </w:p>
    <w:p>
      <w:pPr>
        <w:pStyle w:val="Normal"/>
        <w:bidi w:val="0"/>
        <w:jc w:val="left"/>
        <w:rPr>
          <w:lang w:val="pt-PT"/>
        </w:rPr>
      </w:pPr>
      <w:r>
        <w:rPr>
          <w:lang w:val="pt-PT"/>
        </w:rPr>
        <w:t>&lt;a id="ref-anacleto-filho-2023"&gt;&lt;/a&gt; 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Normal"/>
        <w:bidi w:val="0"/>
        <w:jc w:val="left"/>
        <w:rPr>
          <w:lang w:val="pt-PT"/>
        </w:rPr>
      </w:pPr>
      <w:r>
        <w:rPr>
          <w:lang w:val="pt-PT"/>
        </w:rPr>
        <w:t>&lt;a id="ref-chatzioglou-2024"&gt;&lt;/a&gt; Chatzioglou, G. N., Pinar, Y., &amp; Govsa, F. (2024). Biometric analysis hand parameters in young adults for prosthetic hand and ergonomic product applications. Anatomy &amp; Cell Biology, 57, 172-182. https://doi.org/10.5115/acb.23.310</w:t>
      </w:r>
    </w:p>
    <w:p>
      <w:pPr>
        <w:pStyle w:val="Normal"/>
        <w:bidi w:val="0"/>
        <w:jc w:val="left"/>
        <w:rPr>
          <w:lang w:val="pt-PT"/>
        </w:rPr>
      </w:pPr>
      <w:r>
        <w:rPr>
          <w:lang w:val="pt-PT"/>
        </w:rPr>
        <w:t>&lt;a id="ref-gordon-1989"&gt;&lt;/a&gt; 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Normal"/>
        <w:bidi w:val="0"/>
        <w:jc w:val="left"/>
        <w:rPr>
          <w:lang w:val="pt-PT"/>
        </w:rPr>
      </w:pPr>
      <w:r>
        <w:rPr>
          <w:lang w:val="pt-PT"/>
        </w:rPr>
        <w:t>&lt;a id="ref-gorski-2022"&gt;&lt;/a&gt; Górski, F., Zawadzki, P., Wichniarek, R., Kuczko, W., Słupińska, S., &amp; Żukowska, M. (2022). Automated design and rapid manufacturing of low-cost customized upper limb prostheses. Journal of Physics: Conference Series, 2198, 012040. https://doi.org/10.1088/1742-6596/2198/1/012040</w:t>
      </w:r>
    </w:p>
    <w:p>
      <w:pPr>
        <w:pStyle w:val="Normal"/>
        <w:bidi w:val="0"/>
        <w:jc w:val="left"/>
        <w:rPr>
          <w:lang w:val="pt-PT"/>
        </w:rPr>
      </w:pPr>
      <w:r>
        <w:rPr>
          <w:lang w:val="pt-PT"/>
        </w:rPr>
        <w:t>&lt;a id="ref-ibiwari-2025"&gt;&lt;/a&gt; 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Normal"/>
        <w:bidi w:val="0"/>
        <w:jc w:val="left"/>
        <w:rPr>
          <w:lang w:val="pt-PT"/>
        </w:rPr>
      </w:pPr>
      <w:r>
        <w:rPr>
          <w:lang w:val="pt-PT"/>
        </w:rPr>
        <w:t>&lt;a id="ref-nag-2003"&gt;&lt;/a&gt; Nag, A., Nag, P. K., &amp; Desai, H. (2003). Hand anthropometry of Indian women. Indian Journal of Medical Research, 117, 260-269.</w:t>
      </w:r>
    </w:p>
    <w:p>
      <w:pPr>
        <w:pStyle w:val="Normal"/>
        <w:bidi w:val="0"/>
        <w:jc w:val="left"/>
        <w:rPr>
          <w:lang w:val="pt-PT"/>
        </w:rPr>
      </w:pPr>
      <w:r>
        <w:rPr>
          <w:lang w:val="pt-PT"/>
        </w:rPr>
        <w:t>&lt;a id="ref-rodriguez-vega-2024"&gt;&lt;/a&gt; Rodríguez-Vega, G., &amp; Rodríguez-Vega, D. A. (2024). Normative data for the anthropometric hand dimensions of the Mexican population. European Public &amp; Social Innovation Review, 9, 1-15. https://doi.org/10.31637/epsir-2024-932</w:t>
      </w:r>
    </w:p>
    <w:p>
      <w:pPr>
        <w:pStyle w:val="Normal"/>
        <w:bidi w:val="0"/>
        <w:jc w:val="left"/>
        <w:rPr>
          <w:lang w:val="pt-PT"/>
        </w:rPr>
      </w:pPr>
      <w:r>
        <w:rPr>
          <w:lang w:val="pt-PT"/>
        </w:rPr>
        <w:t>&lt;a id="ref-gordon-2015"&gt;&lt;/a&gt; 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Normal"/>
        <w:bidi w:val="0"/>
        <w:jc w:val="left"/>
        <w:rPr>
          <w:lang w:val="pt-PT"/>
        </w:rPr>
      </w:pPr>
      <w:r>
        <w:rPr>
          <w:lang w:val="pt-PT"/>
        </w:rPr>
        <w:t>&lt;a id="ref-hu-2007"&gt;&lt;/a&gt; Hu, H., Li, Z., Yan, J., Wang, X., Xiao, H., Duan, J., &amp; Zheng, L. (2007). Anthropometric measurement of the Chinese elderly living in the Beijing area. International Journal of Industrial Ergonomics, 37(4), 303-311. https://doi.org/10.1016/j.ergon.2006.11.006</w:t>
      </w:r>
    </w:p>
    <w:p>
      <w:pPr>
        <w:pStyle w:val="Normal"/>
        <w:bidi w:val="0"/>
        <w:jc w:val="left"/>
        <w:rPr>
          <w:lang w:val="pt-PT"/>
        </w:rPr>
      </w:pPr>
      <w:r>
        <w:rPr>
          <w:lang w:val="pt-PT"/>
        </w:rPr>
        <w:t>&lt;a id="ref-mistarihi-2020"&gt;&lt;/a&gt; Mistarihi, M. Z. (2020). A data set on anthropometric measurements and degree of discomfort of physically disabled workers for ergonomic requirements in work space design. Data in Brief, 30, 105420. https://doi.org/10.1016/j.dib.2020.105420</w:t>
      </w:r>
    </w:p>
    <w:p>
      <w:pPr>
        <w:pStyle w:val="Normal"/>
        <w:bidi w:val="0"/>
        <w:jc w:val="left"/>
        <w:rPr>
          <w:lang w:val="pt-PT"/>
        </w:rPr>
      </w:pPr>
      <w:r>
        <w:rPr>
          <w:lang w:val="pt-PT"/>
        </w:rPr>
        <w:t>&lt;a id="ref-molenbroek-1998"&gt;&lt;/a&gt; Molenbroek, J. F. M. (1998). Geron study on Dutch elderly anthropometry. DINED database. Delft University of Technology. https://dined.io.tudelft.nl</w:t>
      </w:r>
    </w:p>
    <w:p>
      <w:pPr>
        <w:pStyle w:val="Normal"/>
        <w:bidi w:val="0"/>
        <w:jc w:val="left"/>
        <w:rPr>
          <w:lang w:val="pt-PT"/>
        </w:rPr>
      </w:pPr>
      <w:r>
        <w:rPr>
          <w:lang w:val="pt-PT"/>
        </w:rPr>
        <w:t>&lt;a id="ref-molenbroek-2003"&gt;&lt;/a&gt; Molenbroek, J. F. M., Kroon-Ramaekers, Y. M. T., &amp; Snijders, C. J. (2003). Revision of the Dutch standard for furniture in schools. Ergonomics, 46(5), 491-498. https://doi.org/10.1080/0014013031000085635</w:t>
      </w:r>
    </w:p>
    <w:p>
      <w:pPr>
        <w:pStyle w:val="Normal"/>
        <w:bidi w:val="0"/>
        <w:jc w:val="left"/>
        <w:rPr>
          <w:lang w:val="pt-PT"/>
        </w:rPr>
      </w:pPr>
      <w:r>
        <w:rPr>
          <w:lang w:val="pt-PT"/>
        </w:rPr>
        <w:t>&lt;a id="ref-steenbekkers-1998"&gt;&lt;/a&gt; Steenbekkers, L. P. A., &amp; van Beijsterveldt, C. E. M. (Eds.). (1998). Design-relevant characteristics of ageing users. Delft University Press.</w:t>
      </w:r>
    </w:p>
    <w:p>
      <w:pPr>
        <w:pStyle w:val="Normal"/>
        <w:bidi w:val="0"/>
        <w:jc w:val="left"/>
        <w:rPr>
          <w:lang w:val="pt-PT"/>
        </w:rPr>
      </w:pPr>
      <w:r>
        <w:rPr>
          <w:lang w:val="pt-PT"/>
        </w:rPr>
        <w:t>&lt;a id="ref-cross-1982"&gt;&lt;/a&gt; Cross, N. (1982). Designerly ways of knowing. Design Studies, 3(4), 221-227. https://doi.org/10.1016/0142-694X(82)90040-0</w:t>
      </w:r>
    </w:p>
    <w:p>
      <w:pPr>
        <w:pStyle w:val="Normal"/>
        <w:bidi w:val="0"/>
        <w:jc w:val="left"/>
        <w:rPr>
          <w:lang w:val="pt-PT"/>
        </w:rPr>
      </w:pPr>
      <w:r>
        <w:rPr>
          <w:lang w:val="pt-PT"/>
        </w:rPr>
        <w:t>&lt;a id="ref-design-council-2020"&gt;&lt;/a&gt; Design Council. (2020). Framework for innovation. https://www.designcouncil.org.uk/our-resources/framework-for-innovation/</w:t>
      </w:r>
    </w:p>
    <w:p>
      <w:pPr>
        <w:pStyle w:val="Normal"/>
        <w:bidi w:val="0"/>
        <w:jc w:val="left"/>
        <w:rPr>
          <w:lang w:val="pt-PT"/>
        </w:rPr>
      </w:pPr>
      <w:r>
        <w:rPr>
          <w:lang w:val="pt-PT"/>
        </w:rPr>
        <w:t>&lt;a id="ref-frayling-1994"&gt;&lt;/a&gt; Frayling, C. (1994). Research in art and design (Royal College of Art Research Papers, Vol. 1, No. 1, 1993/4). Royal College of Art.</w:t>
      </w:r>
    </w:p>
    <w:p>
      <w:pPr>
        <w:pStyle w:val="Normal"/>
        <w:bidi w:val="0"/>
        <w:jc w:val="left"/>
        <w:rPr>
          <w:lang w:val="pt-PT"/>
        </w:rPr>
      </w:pPr>
      <w:r>
        <w:rPr>
          <w:lang w:val="pt-PT"/>
        </w:rPr>
        <w:t>&lt;a id="ref-zimmerman-2007"&gt;&lt;/a&gt; Zimmerman, J., Forlizzi, J., &amp; Evenson, S. (2007). Research through design as a method for interaction design research in HCI. In Proceedings of the SIGCHI Conference on Human Factors in Computing Systems (pp. 493-502). ACM. https://doi.org/10.1145/1240624.1240704</w:t>
      </w:r>
    </w:p>
    <w:p>
      <w:pPr>
        <w:pStyle w:val="Normal"/>
        <w:bidi w:val="0"/>
        <w:jc w:val="left"/>
        <w:rPr>
          <w:lang w:val="pt-PT"/>
        </w:rPr>
      </w:pPr>
      <w:r>
        <w:rPr>
          <w:lang w:val="pt-PT"/>
        </w:rPr>
        <w:t>&lt;a id="ref-biddiss-2007"&gt;&lt;/a&gt; Biddiss, E., Beaton, D., &amp; Chau, T. (2007). Consumer design priorities for upper limb prosthetics. Disability and Rehabilitation: Assistive Technology, 2(6), 346-357. https://doi.org/10.1080/17483100701714733</w:t>
      </w:r>
    </w:p>
    <w:p>
      <w:pPr>
        <w:pStyle w:val="Normal"/>
        <w:bidi w:val="0"/>
        <w:jc w:val="left"/>
        <w:rPr>
          <w:lang w:val="pt-PT"/>
        </w:rPr>
      </w:pPr>
      <w:r>
        <w:rPr>
          <w:lang w:val="pt-PT"/>
        </w:rPr>
        <w:t>&lt;a id="ref-brack-2021"&gt;&lt;/a&gt; Brack, T., &amp; Amalu, E. H. (2021). A review of technology, materials and R&amp;D challenges of upper limb prosthesis for improved user suitability. Journal of Orthopaedics, 24, 88-96. https://doi.org/10.1016/j.jor.2021.03.011</w:t>
      </w:r>
    </w:p>
    <w:p>
      <w:pPr>
        <w:pStyle w:val="Normal"/>
        <w:bidi w:val="0"/>
        <w:jc w:val="left"/>
        <w:rPr>
          <w:lang w:val="pt-PT"/>
        </w:rPr>
      </w:pPr>
      <w:r>
        <w:rPr>
          <w:lang w:val="pt-PT"/>
        </w:rPr>
        <w:t>&lt;a id="ref-guo-2025"&gt;&lt;/a&gt; Guo, M. (2025). Human-centered design strategies for prosthetics based on user needs. Interdisciplinary Humanities and Communication Studies, 1(1), 39-48.</w:t>
      </w:r>
    </w:p>
    <w:p>
      <w:pPr>
        <w:pStyle w:val="Normal"/>
        <w:bidi w:val="0"/>
        <w:jc w:val="left"/>
        <w:rPr>
          <w:lang w:val="pt-PT"/>
        </w:rPr>
      </w:pPr>
      <w:r>
        <w:rPr>
          <w:lang w:val="pt-PT"/>
        </w:rPr>
        <w:t>&lt;a id="ref-henao-2025"&gt;&lt;/a&gt; 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Normal"/>
        <w:bidi w:val="0"/>
        <w:jc w:val="left"/>
        <w:rPr>
          <w:lang w:val="pt-PT"/>
        </w:rPr>
      </w:pPr>
      <w:r>
        <w:rPr>
          <w:lang w:val="pt-PT"/>
        </w:rPr>
        <w:t>&lt;a id="ref-herneth-2024"&gt;&lt;/a&gt; 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Normal"/>
        <w:bidi w:val="0"/>
        <w:jc w:val="left"/>
        <w:rPr>
          <w:lang w:val="pt-PT"/>
        </w:rPr>
      </w:pPr>
      <w:r>
        <w:rPr>
          <w:lang w:val="pt-PT"/>
        </w:rPr>
        <w:t>&lt;a id="ref-hofmann-2016"&gt;&lt;/a&gt; 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Normal"/>
        <w:bidi w:val="0"/>
        <w:jc w:val="left"/>
        <w:rPr>
          <w:lang w:val="pt-PT"/>
        </w:rPr>
      </w:pPr>
      <w:r>
        <w:rPr>
          <w:lang w:val="pt-PT"/>
        </w:rPr>
        <w:t>&lt;a id="ref-jones-2023"&gt;&lt;/a&gt; Jones, M. L. H., Vrieling, A. H., Steadman, J., &amp; Kyberd, P. J. (2023). Evidencing the effectiveness of upper limb prostheses: A multi-stakeholder perspective on study requirements. Frontiers in Health Services, 3, 1123682. https://doi.org/10.3389/frhs.2023.1123682</w:t>
      </w:r>
    </w:p>
    <w:p>
      <w:pPr>
        <w:pStyle w:val="Normal"/>
        <w:bidi w:val="0"/>
        <w:jc w:val="left"/>
        <w:rPr>
          <w:lang w:val="pt-PT"/>
        </w:rPr>
      </w:pPr>
      <w:r>
        <w:rPr>
          <w:lang w:val="pt-PT"/>
        </w:rPr>
        <w:t>&lt;a id="ref-peerdeman-2011"&gt;&lt;/a&gt; 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Normal"/>
        <w:bidi w:val="0"/>
        <w:jc w:val="left"/>
        <w:rPr>
          <w:lang w:val="pt-PT"/>
        </w:rPr>
      </w:pPr>
      <w:r>
        <w:rPr>
          <w:lang w:val="pt-PT"/>
        </w:rPr>
        <w:t>&lt;a id="ref-baron-2020"&gt;&lt;/a&gt; 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Normal"/>
        <w:bidi w:val="0"/>
        <w:jc w:val="left"/>
        <w:rPr>
          <w:lang w:val="pt-PT"/>
        </w:rPr>
      </w:pPr>
      <w:r>
        <w:rPr>
          <w:lang w:val="pt-PT"/>
        </w:rPr>
        <w:t>&lt;a id="ref-cabibihan-2018"&gt;&lt;/a&gt; Cabibihan, J.-J., Pattofatto, S., Jomaa, M., Benallal, A., &amp; Carrozza, M. C. (2018). A method for 3-D printing patient-specific prosthetic arms with high accuracy shape and size. IEEE Access, 6, 25029-25039. https://doi.org/10.1109/ACCESS.2018.2831907</w:t>
      </w:r>
    </w:p>
    <w:p>
      <w:pPr>
        <w:pStyle w:val="Normal"/>
        <w:bidi w:val="0"/>
        <w:jc w:val="left"/>
        <w:rPr>
          <w:lang w:val="pt-PT"/>
        </w:rPr>
      </w:pPr>
      <w:r>
        <w:rPr>
          <w:lang w:val="pt-PT"/>
        </w:rPr>
        <w:t>&lt;a id="ref-herbst-2021"&gt;&lt;/a&gt; 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Normal"/>
        <w:bidi w:val="0"/>
        <w:jc w:val="left"/>
        <w:rPr>
          <w:lang w:val="pt-PT"/>
        </w:rPr>
      </w:pPr>
      <w:r>
        <w:rPr>
          <w:lang w:val="pt-PT"/>
        </w:rPr>
        <w:t>&lt;a id="ref-lim-2018"&gt;&lt;/a&gt; 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Normal"/>
        <w:bidi w:val="0"/>
        <w:jc w:val="left"/>
        <w:rPr>
          <w:lang w:val="pt-PT"/>
        </w:rPr>
      </w:pPr>
      <w:r>
        <w:rPr>
          <w:lang w:val="pt-PT"/>
        </w:rPr>
        <w:t>&lt;a id="ref-li-aflatoony-2025"&gt;&lt;/a&gt; Li, M., &amp; Aflatoony, L. (2025). Parametric design and three-dimensional printing: Enabling occupational therapists to develop custom hand grips. Disability and Rehabilitation: Assistive Technology, 20(6), 1829-1837. https://doi.org/10.1080/17483107.2025.2483953</w:t>
      </w:r>
    </w:p>
    <w:p>
      <w:pPr>
        <w:pStyle w:val="Normal"/>
        <w:bidi w:val="0"/>
        <w:jc w:val="left"/>
        <w:rPr>
          <w:lang w:val="pt-PT"/>
        </w:rPr>
      </w:pPr>
      <w:r>
        <w:rPr>
          <w:lang w:val="pt-PT"/>
        </w:rPr>
        <w:t>&lt;a id="ref-moreo-2016"&gt;&lt;/a&gt; Moreo, A. M. (2016). Parametric design of a 3D printable hand prosthesis for children in developing countries [Master's thesis, Delft University of Technology].</w:t>
      </w:r>
    </w:p>
    <w:p>
      <w:pPr>
        <w:pStyle w:val="Normal"/>
        <w:bidi w:val="0"/>
        <w:jc w:val="left"/>
        <w:rPr>
          <w:lang w:val="pt-PT"/>
        </w:rPr>
      </w:pPr>
      <w:r>
        <w:rPr>
          <w:lang w:val="pt-PT"/>
        </w:rPr>
        <w:t>&lt;a id="ref-romero-2025"&gt;&lt;/a&gt; Romero, M., Sánchez, J., &amp; Álvarez, H. (2025). Development of parametric prostheses for different levels of human hand amputations manufactured through additive manufacturing. Applied Sciences, 15(3), 1124. https://doi.org/10.3390/app15031124</w:t>
      </w:r>
    </w:p>
    <w:p>
      <w:pPr>
        <w:pStyle w:val="Normal"/>
        <w:bidi w:val="0"/>
        <w:jc w:val="left"/>
        <w:rPr>
          <w:lang w:val="pt-PT"/>
        </w:rPr>
      </w:pPr>
      <w:r>
        <w:rPr>
          <w:lang w:val="pt-PT"/>
        </w:rPr>
        <w:t>&lt;a id="ref-machado-2019"&gt;&lt;/a&gt; Machado, F., Malpica, N., &amp; Borromeo, S. (2019). Parametric CAD modeling for open source scientific hardware: Comparing OpenSCAD and FreeCAD Python scripts. PLOS ONE, 14(12), e0225795. https://doi.org/10.1371/journal.pone.0225795</w:t>
      </w:r>
    </w:p>
    <w:p>
      <w:pPr>
        <w:pStyle w:val="Normal"/>
        <w:bidi w:val="0"/>
        <w:jc w:val="left"/>
        <w:rPr>
          <w:lang w:val="pt-PT"/>
        </w:rPr>
      </w:pPr>
      <w:r>
        <w:rPr>
          <w:lang w:val="pt-PT"/>
        </w:rPr>
        <w:t>&lt;a id="ref-manero-2019"&gt;&lt;/a&gt;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&lt;a id="ref-menaka-2025"&gt;&lt;/a&gt;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t>&lt;a id="ref-nilsiam-2017"&gt;&lt;/a&gt; Nilsiam, Y., &amp; Pearce, J. M. (2017). Free and open source 3-D model customizer for websites to democratize design with OpenSCAD. Designs, 1(1), 5. https://doi.org/10.3390/designs1010005</w:t>
      </w:r>
    </w:p>
    <w:p>
      <w:pPr>
        <w:pStyle w:val="Normal"/>
        <w:bidi w:val="0"/>
        <w:jc w:val="left"/>
        <w:rPr>
          <w:lang w:val="pt-PT"/>
        </w:rPr>
      </w:pPr>
      <w:r>
        <w:rPr>
          <w:lang w:val="pt-PT"/>
        </w:rPr>
        <w:t>&lt;a id="ref-nini-2024"&gt;&lt;/a&gt;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lang w:val="pt-PT"/>
        </w:rPr>
      </w:pPr>
      <w:r>
        <w:rPr>
          <w:lang w:val="pt-PT"/>
        </w:rPr>
        <w:t>&lt;a id="ref-ten-kate-2017"&gt;&lt;/a&gt; ten Kate, J., Smit, G., &amp; Breedveld, P. (2017). 3D-printed upper limb prostheses: A review. Disability and Rehabilitation: Assistive Technology, 12(3), 300-314. https://doi.org/10.1080/17483107.2016.1253117</w:t>
      </w:r>
    </w:p>
    <w:p>
      <w:pPr>
        <w:pStyle w:val="Normal"/>
        <w:bidi w:val="0"/>
        <w:jc w:val="left"/>
        <w:rPr>
          <w:lang w:val="pt-PT"/>
        </w:rPr>
      </w:pPr>
      <w:r>
        <w:rPr>
          <w:lang w:val="pt-PT"/>
        </w:rPr>
        <w:t>&lt;a id="ref-yu-2013"&gt;&lt;/a&gt; Yu, A., Yick, K. L., Ng, S. P., &amp; Yip, J. (2013). 2D and 3D anatomical analyses of hand dimensions for custom-made gloves. Applied Ergonomics, 44, 381-392.</w:t>
      </w:r>
    </w:p>
    <w:p>
      <w:pPr>
        <w:pStyle w:val="Normal"/>
        <w:bidi w:val="0"/>
        <w:jc w:val="left"/>
        <w:rPr>
          <w:lang w:val="pt-PT"/>
        </w:rPr>
      </w:pPr>
      <w:r>
        <w:rPr>
          <w:lang w:val="pt-PT"/>
        </w:rPr>
        <w:t xml:space="preserve">&lt;a id="ref-base-local-antropometrica-2026"&gt;&lt;/a&gt; Base local consolidada de dados antropométricos da mão e do membro superior distal. (2026). [Conjunto de dados]. Material de apoio da investigação, </w:t>
      </w:r>
      <w:r>
        <w:rPr>
          <w:rFonts w:ascii="Consolas" w:hAnsi="Consolas"/>
          <w:sz w:val="20"/>
          <w:lang w:val="pt-PT"/>
        </w:rPr>
        <w:t>material/antropometria/dados antropométricos/multi</w:t>
      </w:r>
      <w:r>
        <w:rPr>
          <w:i/>
          <w:lang w:val="pt-PT"/>
        </w:rPr>
        <w:t>population</w:t>
      </w:r>
      <w:r>
        <w:rPr>
          <w:lang w:val="pt-PT"/>
        </w:rPr>
        <w:t>hand.csv</w:t>
      </w:r>
      <w:r>
        <w:rPr>
          <w:rFonts w:ascii="Consolas" w:hAnsi="Consolas"/>
          <w:sz w:val="20"/>
          <w:lang w:val="pt-PT"/>
        </w:rPr>
        <w:t>.</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rPr>
          <w:rFonts w:ascii="Calibri" w:hAnsi="Calibri"/>
          <w:b w:val="false"/>
          <w:i w:val="false"/>
          <w:sz w:val="22"/>
        </w:rPr>
      </w:pPr>
      <w:r>
        <w:rPr>
          <w:b w:val="false"/>
          <w:i w:val="false"/>
          <w:sz w:val="22"/>
        </w:rPr>
      </w:r>
    </w:p>
    <w:p>
      <w:pPr>
        <w:pStyle w:val="Normal"/>
        <w:bidi w:val="0"/>
        <w:rPr>
          <w:rFonts w:ascii="Calibri" w:hAnsi="Calibri"/>
          <w:b w:val="false"/>
          <w:i w:val="false"/>
          <w:sz w:val="22"/>
        </w:rPr>
      </w:pPr>
      <w:r>
        <w:rPr>
          <w:b w:val="false"/>
          <w:i w:val="false"/>
          <w:sz w:val="22"/>
        </w:rPr>
        <w:t xml:space="preserve">   </w:t>
      </w:r>
      <w:r>
        <w:rPr>
          <w:b w:val="false"/>
          <w:i w:val="false"/>
          <w:sz w:val="22"/>
        </w:rPr>
        <w:t>Brack, R., &amp; Amalu, E. H. (2021). A review  of technology, materials and R&amp;D  challenges of upper limb prosthesis for  improved user suitability. Journal of</w:t>
      </w:r>
    </w:p>
    <w:p>
      <w:pPr>
        <w:pStyle w:val="Normal"/>
        <w:bidi w:val="0"/>
        <w:rPr>
          <w:rFonts w:ascii="Calibri" w:hAnsi="Calibri"/>
          <w:b w:val="false"/>
          <w:i w:val="false"/>
          <w:sz w:val="22"/>
        </w:rPr>
      </w:pPr>
      <w:r>
        <w:rPr>
          <w:b w:val="false"/>
          <w:i w:val="false"/>
          <w:sz w:val="22"/>
        </w:rPr>
        <w:t xml:space="preserve">   </w:t>
      </w:r>
      <w:r>
        <w:rPr>
          <w:b w:val="false"/>
          <w:i w:val="false"/>
          <w:sz w:val="22"/>
        </w:rPr>
        <w:t>Orthopaedics, 23, 88–96.  https://doi.org/10.1016/j.jor.2020.12.009</w:t>
      </w:r>
    </w:p>
    <w:p>
      <w:pPr>
        <w:pStyle w:val="Normal"/>
        <w:bidi w:val="0"/>
        <w:rPr>
          <w:rFonts w:ascii="Calibri" w:hAnsi="Calibri"/>
          <w:b w:val="false"/>
          <w:i w:val="false"/>
          <w:sz w:val="22"/>
        </w:rPr>
      </w:pPr>
      <w:r>
        <w:rPr>
          <w:b w:val="false"/>
          <w:i w:val="false"/>
          <w:sz w:val="22"/>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&lt;a id="ref-2-meter-este-link-na-bibliog"&gt;&lt;/a&gt;</w:t>
      </w:r>
    </w:p>
    <w:p>
      <w:pPr>
        <w:pStyle w:val="Normal"/>
        <w:bidi w:val="0"/>
        <w:jc w:val="left"/>
        <w:rPr>
          <w:lang w:val="pt-PT"/>
        </w:rPr>
      </w:pPr>
      <w:r>
        <w:rPr>
          <w:lang w:val="pt-PT"/>
        </w:rPr>
        <w:t>&lt;a id="ref-3-nao-e-bem-marcacao-ne-te"&gt;&lt;/a&gt;</w:t>
      </w:r>
    </w:p>
    <w:p>
      <w:pPr>
        <w:pStyle w:val="Normal"/>
        <w:bidi w:val="0"/>
        <w:jc w:val="left"/>
        <w:rPr>
          <w:lang w:val="pt-PT"/>
        </w:rPr>
      </w:pPr>
      <w:r>
        <w:rPr>
          <w:lang w:val="pt-PT"/>
        </w:rPr>
        <w:t>&lt;a id="ref-4-cool-mas-se-calhar-so-se"&gt;&lt;/a&gt;</w:t>
      </w:r>
    </w:p>
    <w:p>
      <w:pPr>
        <w:pStyle w:val="Normal"/>
        <w:bidi w:val="0"/>
        <w:jc w:val="left"/>
        <w:rPr>
          <w:lang w:val="pt-PT"/>
        </w:rPr>
      </w:pPr>
      <w:r>
        <w:rPr>
          <w:lang w:val="pt-PT"/>
        </w:rPr>
        <w:t>&lt;a id="ref-5-vamos-adicionar-a-citacao"&gt;&lt;/a&gt;</w:t>
      </w:r>
    </w:p>
    <w:p>
      <w:pPr>
        <w:pStyle w:val="Normal"/>
        <w:bidi w:val="0"/>
        <w:jc w:val="left"/>
        <w:rPr>
          <w:lang w:val="pt-PT"/>
        </w:rPr>
      </w:pPr>
      <w:r>
        <w:rPr>
          <w:lang w:val="pt-PT"/>
        </w:rPr>
        <w:t>&lt;a id="ref-6-explicar-oque-sao-todos-es"&gt;&lt;/a&gt;</w:t>
      </w:r>
    </w:p>
    <w:p>
      <w:pPr>
        <w:pStyle w:val="Normal"/>
        <w:bidi w:val="0"/>
        <w:jc w:val="left"/>
        <w:rPr>
          <w:lang w:val="pt-PT"/>
        </w:rPr>
      </w:pPr>
      <w:r>
        <w:rPr>
          <w:lang w:val="pt-PT"/>
        </w:rPr>
        <w:t>&lt;a id="ref-8-escalonados-amplicados-e"&gt;&lt;/a&gt;</w:t>
      </w:r>
    </w:p>
    <w:p>
      <w:pPr>
        <w:pStyle w:val="Normal"/>
        <w:bidi w:val="0"/>
        <w:jc w:val="left"/>
        <w:rPr>
          <w:lang w:val="pt-PT"/>
        </w:rPr>
      </w:pPr>
      <w:r>
        <w:rPr>
          <w:lang w:val="pt-PT"/>
        </w:rPr>
        <w:t>&lt;a id="ref-9-toda-esta-frase-podia-ser"&gt;&lt;/a&gt;</w:t>
      </w:r>
    </w:p>
    <w:p>
      <w:pPr>
        <w:pStyle w:val="Normal"/>
        <w:bidi w:val="0"/>
        <w:jc w:val="left"/>
        <w:rPr>
          <w:lang w:val="pt-PT"/>
        </w:rPr>
      </w:pPr>
      <w:r>
        <w:rPr>
          <w:lang w:val="pt-PT"/>
        </w:rPr>
        <w:t>&lt;a id="ref-10-posso-igualmente-aumentar"&gt;&lt;/a&gt;</w:t>
      </w:r>
    </w:p>
    <w:p>
      <w:pPr>
        <w:pStyle w:val="Normal"/>
        <w:bidi w:val="0"/>
        <w:jc w:val="left"/>
        <w:rPr>
          <w:lang w:val="pt-PT"/>
        </w:rPr>
      </w:pPr>
      <w:r>
        <w:rPr>
          <w:lang w:val="pt-PT"/>
        </w:rPr>
        <w:t>&lt;a id="ref-11-nao-me-soa-super-bem"&gt;&lt;/a&gt;</w:t>
      </w:r>
    </w:p>
    <w:p>
      <w:pPr>
        <w:pStyle w:val="Normal"/>
        <w:bidi w:val="0"/>
        <w:jc w:val="left"/>
        <w:rPr>
          <w:lang w:val="pt-PT"/>
        </w:rPr>
      </w:pPr>
      <w:r>
        <w:rPr>
          <w:lang w:val="pt-PT"/>
        </w:rPr>
        <w:t>&lt;a id="ref-12-estou-a-bater-mal-ou-ja-e"&gt;&lt;/a&gt;</w:t>
      </w:r>
    </w:p>
    <w:p>
      <w:pPr>
        <w:pStyle w:val="Normal"/>
        <w:bidi w:val="0"/>
        <w:jc w:val="left"/>
        <w:rPr>
          <w:lang w:val="pt-PT"/>
        </w:rPr>
      </w:pPr>
      <w:r>
        <w:rPr>
          <w:lang w:val="pt-PT"/>
        </w:rPr>
        <w:t>&lt;a id="ref-13-penalizacoes-e-um-pouco-f"&gt;&lt;/a&gt;</w:t>
      </w:r>
    </w:p>
    <w:p>
      <w:pPr>
        <w:pStyle w:val="Normal"/>
        <w:rPr/>
      </w:pPr>
      <w:r>
        <w:rPr/>
      </w:r>
      <w:r>
        <w:br w:type="page"/>
      </w:r>
    </w:p>
    <w:p>
      <w:pPr>
        <w:pStyle w:val="Heading2"/>
        <w:spacing w:before="0" w:after="0"/>
        <w:rPr/>
      </w:pPr>
      <w:r>
        <w:rPr/>
        <w:t>Anexo A — Metodologia de extração e codificação de dados antropométricos da mão</w:t>
      </w:r>
    </w:p>
    <w:p>
      <w:pPr>
        <w:pStyle w:val="Heading3"/>
        <w:rPr/>
      </w:pPr>
      <w:r>
        <w:rPr/>
        <w:t>A.1 Contexto e Objetivo</w:t>
      </w:r>
    </w:p>
    <w:p>
      <w:pPr>
        <w:pStyle w:val="Normal"/>
        <w:rPr/>
      </w:pPr>
      <w:r>
        <w:rPr/>
        <w:t>O desenvolvimento de um gerador paramétrico de próteses de mão requer dados antropométricos da mão humana que sejam suficientemente variados para cobrir diferentes populações, sexos e grupos etários. O objetivo deste processo foi construir uma base de dados estruturada em formato CSV que servisse de entrada direta ao modelo paramétrico, contendo medições reais retiradas de literatura científica publicada e de relatórios militares de referência.</w:t>
      </w:r>
    </w:p>
    <w:p>
      <w:pPr>
        <w:pStyle w:val="Normal"/>
        <w:rPr/>
      </w:pPr>
      <w:r>
        <w:rPr/>
        <w:t>Foram produzidos três ficheiros CSV complementares:</w:t>
      </w:r>
    </w:p>
    <w:p>
      <w:pPr>
        <w:pStyle w:val="ListBullet"/>
        <w:rPr/>
      </w:pPr>
      <w:r>
        <w:rPr/>
        <w:t xml:space="preserve">- </w:t>
      </w:r>
      <w:r>
        <w:rPr>
          <w:rFonts w:ascii="Consolas" w:hAnsi="Consolas"/>
          <w:sz w:val="20"/>
        </w:rPr>
        <w:t>ansur</w:t>
      </w:r>
      <w:r>
        <w:rPr>
          <w:i/>
        </w:rPr>
        <w:t>1988</w:t>
      </w:r>
      <w:r>
        <w:rPr/>
        <w:t>complete.csv</w:t>
      </w:r>
      <w:r>
        <w:rPr>
          <w:rFonts w:ascii="Consolas" w:hAnsi="Consolas"/>
          <w:sz w:val="20"/>
        </w:rPr>
        <w:t xml:space="preserve"> — 2.726 linhas, 47 dimensões corporais do estudo ANSUR 1988 (Gordon et al., 1989), população militar norte-americana</w:t>
      </w:r>
    </w:p>
    <w:p>
      <w:pPr>
        <w:pStyle w:val="ListBullet"/>
        <w:rPr/>
      </w:pPr>
      <w:r>
        <w:rPr/>
        <w:t xml:space="preserve">- </w:t>
      </w:r>
      <w:r>
        <w:rPr>
          <w:rFonts w:ascii="Consolas" w:hAnsi="Consolas"/>
          <w:sz w:val="20"/>
        </w:rPr>
        <w:t>ansur</w:t>
      </w:r>
      <w:r>
        <w:rPr>
          <w:i/>
        </w:rPr>
        <w:t>1988</w:t>
      </w:r>
      <w:r>
        <w:rPr/>
        <w:t>hand</w:t>
      </w:r>
      <w:r>
        <w:rPr>
          <w:i/>
        </w:rPr>
        <w:t>arm.csv</w:t>
      </w:r>
      <w:r>
        <w:rPr>
          <w:rFonts w:ascii="Consolas" w:hAnsi="Consolas"/>
          <w:sz w:val="20"/>
        </w:rPr>
        <w:t xml:space="preserve"> — 696 linhas, subconjunto do ANSUR restrito às medições da mão, antebraço e braço</w:t>
      </w:r>
    </w:p>
    <w:p>
      <w:pPr>
        <w:pStyle w:val="ListBullet"/>
        <w:rPr/>
      </w:pPr>
      <w:r>
        <w:rPr/>
        <w:t xml:space="preserve">- </w:t>
      </w:r>
      <w:r>
        <w:rPr>
          <w:rFonts w:ascii="Consolas" w:hAnsi="Consolas"/>
          <w:sz w:val="20"/>
        </w:rPr>
        <w:t>multi</w:t>
      </w:r>
      <w:r>
        <w:rPr>
          <w:i/>
        </w:rPr>
        <w:t>population</w:t>
      </w:r>
      <w:r>
        <w:rPr/>
        <w:t>hand.csv</w:t>
      </w:r>
      <w:r>
        <w:rPr>
          <w:rFonts w:ascii="Consolas" w:hAnsi="Consolas"/>
          <w:sz w:val="20"/>
        </w:rPr>
        <w:t xml:space="preserve"> — 1.790 linhas, dados de onze estudos populacionais independentes de nove países diferentes</w:t>
      </w:r>
    </w:p>
    <w:p>
      <w:pPr>
        <w:pStyle w:val="Normal"/>
        <w:pBdr>
          <w:bottom w:val="single" w:sz="6" w:space="1" w:color="808080"/>
        </w:pBdr>
        <w:rPr/>
      </w:pPr>
      <w:r>
        <w:rPr/>
      </w:r>
    </w:p>
    <w:p>
      <w:pPr>
        <w:pStyle w:val="Heading3"/>
        <w:rPr/>
      </w:pPr>
      <w:r>
        <w:rPr/>
        <w:t>A.2 Estratégia de Pesquisa Bibliográfica</w:t>
      </w:r>
    </w:p>
    <w:p>
      <w:pPr>
        <w:pStyle w:val="Heading3"/>
        <w:rPr/>
      </w:pPr>
      <w:r>
        <w:rPr/>
        <w:t>A.2.1 Pesquisa bibliográfica assistida e revisões sistemáticas</w:t>
      </w:r>
    </w:p>
    <w:p>
      <w:pPr>
        <w:pStyle w:val="Normal"/>
        <w:rPr/>
      </w:pPr>
      <w:r>
        <w:rPr/>
        <w:t>A pesquisa de literatura foi conduzida através de pesquisas bibliográficas orientadas por questões, complementadas por ferramentas de apoio à revisão e triagem, com o objetivo de identificar estudos de antropometria da mão com dados primários tabelados. As questões-chave incluíam variações de:</w:t>
      </w:r>
    </w:p>
    <w:p>
      <w:pPr>
        <w:pStyle w:val="Quote"/>
        <w:rPr/>
      </w:pPr>
      <w:r>
        <w:rPr>
          <w:i/>
        </w:rPr>
        <w:t>"hand anthropometry normative data population study percentiles"</w:t>
      </w:r>
      <w:r>
        <w:rPr/>
        <w:t xml:space="preserve"> </w:t>
      </w:r>
      <w:r>
        <w:rPr>
          <w:i/>
        </w:rPr>
        <w:t>"hand dimensions measurement ergonomics working population"</w:t>
      </w:r>
      <w:r>
        <w:rPr/>
        <w:t xml:space="preserve"> </w:t>
      </w:r>
      <w:r>
        <w:rPr>
          <w:i/>
        </w:rPr>
        <w:t>"anthropometric survey finger length breadth caliper"</w:t>
      </w:r>
    </w:p>
    <w:p>
      <w:pPr>
        <w:pStyle w:val="Normal"/>
        <w:rPr/>
      </w:pPr>
      <w:r>
        <w:rPr/>
        <w:t>As listas de referências resultantes foram guardadas localmente em pastas organizadas por capítulo da tese. Os ficheiros de trabalho, citações e listas bibliográficas foram cruzados com a coleção local de PDFs para identificar lacunas.</w:t>
      </w:r>
    </w:p>
    <w:p>
      <w:pPr>
        <w:pStyle w:val="Heading3"/>
        <w:rPr/>
      </w:pPr>
      <w:r>
        <w:rPr/>
        <w:t>A.2.2 Base ANSUR 1988</w:t>
      </w:r>
    </w:p>
    <w:p>
      <w:pPr>
        <w:pStyle w:val="Normal"/>
        <w:rPr/>
      </w:pPr>
      <w:r>
        <w:rPr/>
        <w:t>O relatório ANSUR 1988 (Gordon et al., 1989) foi identificado como fonte de referência fundamental por ser um dos estudos antropométricos com maior dimensão amostral disponíveis publicamente (n=9.068 militares norte-americanos). Os dados foram extraídos diretamente das tabelas estatísticas detalhadas do relatório (Appendix B), que fornece, para cada dimensão e por sexo, a média, o desvio-padrão, os percentis P5, P10, P25, P50, P75, P90, P95, o mínimo e o máximo.</w:t>
      </w:r>
    </w:p>
    <w:p>
      <w:pPr>
        <w:pStyle w:val="Normal"/>
        <w:pBdr>
          <w:bottom w:val="single" w:sz="6" w:space="1" w:color="808080"/>
        </w:pBdr>
        <w:rPr/>
      </w:pPr>
      <w:r>
        <w:rPr/>
      </w:r>
    </w:p>
    <w:p>
      <w:pPr>
        <w:pStyle w:val="Heading3"/>
        <w:rPr/>
      </w:pPr>
      <w:r>
        <w:rPr/>
        <w:t>A.3 Critérios de Inclusão e Exclusão de Estudos</w:t>
      </w:r>
    </w:p>
    <w:p>
      <w:pPr>
        <w:pStyle w:val="Normal"/>
        <w:rPr/>
      </w:pPr>
      <w:r>
        <w:rPr/>
        <w:t>Para cada estudo identificado, a decisão de incluir ou excluir os seus dados na base CSV seguiu critérios explícitos.</w:t>
      </w:r>
    </w:p>
    <w:p>
      <w:pPr>
        <w:pStyle w:val="Heading3"/>
        <w:rPr/>
      </w:pPr>
      <w:r>
        <w:rPr/>
        <w:t>A.3.1 Critérios de inclusão</w:t>
      </w:r>
    </w:p>
    <w:p>
      <w:pPr>
        <w:pStyle w:val="Normal"/>
        <w:rPr/>
      </w:pPr>
      <w:r>
        <w:rPr/>
        <w:t>Um estudo foi incluído se satisfazia simultaneamente as seguintes condições:</w:t>
      </w:r>
    </w:p>
    <w:p>
      <w:pPr>
        <w:pStyle w:val="ListNumber"/>
        <w:rPr/>
      </w:pPr>
      <w:r>
        <w:rPr/>
        <w:t xml:space="preserve">1. </w:t>
      </w:r>
      <w:r>
        <w:rPr>
          <w:b/>
        </w:rPr>
        <w:t>Dados primários</w:t>
      </w:r>
      <w:r>
        <w:rPr/>
        <w:t xml:space="preserve"> — o estudo apresenta medições recolhidas pelos seus próprios autores sobre participantes reais, não reutilizando tabelas de terceiros sem transformação.</w:t>
      </w:r>
    </w:p>
    <w:p>
      <w:pPr>
        <w:pStyle w:val="ListNumber"/>
        <w:rPr/>
      </w:pPr>
      <w:r>
        <w:rPr/>
        <w:t xml:space="preserve">2. </w:t>
      </w:r>
      <w:r>
        <w:rPr>
          <w:b/>
        </w:rPr>
        <w:t>Dimensões da mão ou do membro superior</w:t>
      </w:r>
      <w:r>
        <w:rPr/>
        <w:t xml:space="preserve"> — pelo menos uma medição refere-se à mão, dedos, palma, antebraço ou punho.</w:t>
      </w:r>
    </w:p>
    <w:p>
      <w:pPr>
        <w:pStyle w:val="ListNumber"/>
        <w:rPr/>
      </w:pPr>
      <w:r>
        <w:rPr/>
        <w:t xml:space="preserve">3. </w:t>
      </w:r>
      <w:r>
        <w:rPr>
          <w:b/>
        </w:rPr>
        <w:t>Estatística descritiva legível</w:t>
      </w:r>
      <w:r>
        <w:rPr/>
        <w:t xml:space="preserve"> — a tabela do artigo fornece, no mínimo, a média. A presença de desvio-padrão e/ou percentis constituía um critério de preferência.</w:t>
      </w:r>
    </w:p>
    <w:p>
      <w:pPr>
        <w:pStyle w:val="ListNumber"/>
        <w:rPr/>
      </w:pPr>
      <w:r>
        <w:rPr/>
        <w:t xml:space="preserve">4. </w:t>
      </w:r>
      <w:r>
        <w:rPr>
          <w:b/>
        </w:rPr>
        <w:t>Identificação clara da população</w:t>
      </w:r>
      <w:r>
        <w:rPr/>
        <w:t xml:space="preserve"> — o artigo especifica país, sexo, dimensão amostral e método de medição.</w:t>
      </w:r>
    </w:p>
    <w:p>
      <w:pPr>
        <w:pStyle w:val="Heading3"/>
        <w:rPr/>
      </w:pPr>
      <w:r>
        <w:rPr/>
      </w:r>
    </w:p>
    <w:p>
      <w:pPr>
        <w:pStyle w:val="Heading3"/>
        <w:rPr/>
      </w:pPr>
      <w:r>
        <w:rPr/>
        <w:t>A.3.2 Critérios de exclusão</w:t>
      </w:r>
    </w:p>
    <w:p>
      <w:pPr>
        <w:pStyle w:val="Normal"/>
        <w:rPr/>
      </w:pPr>
      <w:r>
        <w:rPr/>
        <w:t>Um estudo foi excluído nas seguintes situações:</w:t>
      </w:r>
    </w:p>
    <w:p>
      <w:pPr>
        <w:pStyle w:val="ListBullet"/>
        <w:rPr/>
      </w:pPr>
      <w:r>
        <w:rPr/>
        <w:t xml:space="preserve">- </w:t>
      </w:r>
      <w:r>
        <w:rPr>
          <w:b/>
        </w:rPr>
        <w:t>Dados secundários sem valor acrescentado</w:t>
      </w:r>
      <w:r>
        <w:rPr/>
        <w:t xml:space="preserve"> — por exemplo, o trabalho de Moreo (2016) apresenta valores percentílicos de comprimento de dedo extraídos da base de dados DINED (TU Delft, n=965 crianças neerlandesas), sem recolha própria. A Tabela 6.1 desse trabalho serve apenas para validar as escolhas de design do protótipo, não constituindo uma fonte primária codificável de forma independente.</w:t>
      </w:r>
    </w:p>
    <w:p>
      <w:pPr>
        <w:pStyle w:val="ListBullet"/>
        <w:rPr/>
      </w:pPr>
      <w:r>
        <w:rPr/>
        <w:t xml:space="preserve">- </w:t>
      </w:r>
      <w:r>
        <w:rPr>
          <w:b/>
        </w:rPr>
        <w:t>Artigos de engenharia sem tabelas antropométricas</w:t>
      </w:r>
      <w:r>
        <w:rPr/>
        <w:t xml:space="preserve"> — estudos centrados em materiais, análise de elementos finitos ou fabrico aditivo que referenciam dimensões da mão apenas de forma incidental e sem estatística descritiva.</w:t>
      </w:r>
    </w:p>
    <w:p>
      <w:pPr>
        <w:pStyle w:val="ListBullet"/>
        <w:rPr/>
      </w:pPr>
      <w:r>
        <w:rPr/>
        <w:t xml:space="preserve">- </w:t>
      </w:r>
      <w:r>
        <w:rPr>
          <w:b/>
        </w:rPr>
        <w:t>Dimensões não da mão em estudos mistos</w:t>
      </w:r>
      <w:r>
        <w:rPr/>
        <w:t xml:space="preserve"> — medições de outras regiões corporais presentes no mesmo artigo foram excluídas se não existia uma razão direta para a prótese de mão (exceção: comprimento cotovelo-ponta dos dedos, incluído por ser relevante para o encaixe do socket).</w:t>
      </w:r>
    </w:p>
    <w:p>
      <w:pPr>
        <w:pStyle w:val="Heading3"/>
        <w:rPr/>
      </w:pPr>
      <w:r>
        <w:rPr/>
      </w:r>
    </w:p>
    <w:p>
      <w:pPr>
        <w:pStyle w:val="Heading3"/>
        <w:rPr/>
      </w:pPr>
      <w:r>
        <w:rPr/>
        <w:t>A.4 Processo de Extração de Dados</w:t>
      </w:r>
    </w:p>
    <w:p>
      <w:pPr>
        <w:pStyle w:val="Heading3"/>
        <w:rPr/>
      </w:pPr>
      <w:r>
        <w:rPr/>
      </w:r>
    </w:p>
    <w:p>
      <w:pPr>
        <w:pStyle w:val="Heading3"/>
        <w:rPr/>
      </w:pPr>
      <w:r>
        <w:rPr/>
        <w:t>A.4.1 Leitura dos PDFs e localização das tabelas</w:t>
      </w:r>
    </w:p>
    <w:p>
      <w:pPr>
        <w:pStyle w:val="Normal"/>
        <w:rPr/>
      </w:pPr>
      <w:r>
        <w:rPr/>
        <w:t xml:space="preserve">Cada artigo foi lido integralmente, com foco nas secções de </w:t>
      </w:r>
      <w:r>
        <w:rPr>
          <w:i/>
        </w:rPr>
        <w:t>Methods</w:t>
      </w:r>
      <w:r>
        <w:rPr/>
        <w:t xml:space="preserve"> (para identificar o instrumento de medição, a mão medida, e a posição do participante) e </w:t>
      </w:r>
      <w:r>
        <w:rPr>
          <w:i/>
        </w:rPr>
        <w:t>Results</w:t>
      </w:r>
      <w:r>
        <w:rPr/>
        <w:t xml:space="preserve"> (para localizar as tabelas com estatística descritiva). A página exata de cada tabela foi registada no campo </w:t>
      </w:r>
      <w:r>
        <w:rPr>
          <w:rFonts w:ascii="Consolas" w:hAnsi="Consolas"/>
          <w:sz w:val="20"/>
        </w:rPr>
        <w:t>source</w:t>
      </w:r>
      <w:r>
        <w:rPr>
          <w:i/>
        </w:rPr>
        <w:t>page</w:t>
      </w:r>
      <w:r>
        <w:rPr>
          <w:rFonts w:ascii="Consolas" w:hAnsi="Consolas"/>
          <w:sz w:val="20"/>
        </w:rPr>
        <w:t xml:space="preserve"> do CSV.</w:t>
      </w:r>
    </w:p>
    <w:p>
      <w:pPr>
        <w:pStyle w:val="Normal"/>
        <w:rPr/>
      </w:pPr>
      <w:r>
        <w:rPr/>
        <w:t>Quando um artigo reportava medições em mais do que uma tabela (por exemplo, comprimentos numa tabela e larguras noutra), cada tabela foi processada separadamente.</w:t>
      </w:r>
    </w:p>
    <w:p>
      <w:pPr>
        <w:pStyle w:val="Heading3"/>
        <w:rPr/>
      </w:pPr>
      <w:r>
        <w:rPr/>
        <w:t>A.4.2 Identificação das unidades e conversão</w:t>
      </w:r>
    </w:p>
    <w:p>
      <w:pPr>
        <w:pStyle w:val="Normal"/>
        <w:rPr/>
      </w:pPr>
      <w:r>
        <w:rPr/>
        <w:t>Os artigos consultados reportam medições em milímetros (mm), centímetros (cm) ou, no caso do ANSUR, em polegadas (in). O CSV armazena sempre os três sistemas em simultâneo (</w:t>
      </w:r>
      <w:r>
        <w:rPr>
          <w:rFonts w:ascii="Consolas" w:hAnsi="Consolas"/>
          <w:sz w:val="20"/>
        </w:rPr>
        <w:t>value</w:t>
      </w:r>
      <w:r>
        <w:rPr>
          <w:i/>
        </w:rPr>
        <w:t>mm</w:t>
      </w:r>
      <w:r>
        <w:rPr>
          <w:rFonts w:ascii="Consolas" w:hAnsi="Consolas"/>
          <w:sz w:val="20"/>
        </w:rPr>
        <w:t xml:space="preserve">, </w:t>
      </w:r>
      <w:r>
        <w:rPr/>
        <w:t>value</w:t>
      </w:r>
      <w:r>
        <w:rPr>
          <w:i/>
        </w:rPr>
        <w:t>cm</w:t>
      </w:r>
      <w:r>
        <w:rPr>
          <w:rFonts w:ascii="Consolas" w:hAnsi="Consolas"/>
          <w:sz w:val="20"/>
        </w:rPr>
        <w:t xml:space="preserve">, </w:t>
      </w:r>
      <w:r>
        <w:rPr/>
        <w:t>value</w:t>
      </w:r>
      <w:r>
        <w:rPr>
          <w:i/>
        </w:rPr>
        <w:t>in</w:t>
      </w:r>
      <w:r>
        <w:rPr>
          <w:rFonts w:ascii="Consolas" w:hAnsi="Consolas"/>
          <w:sz w:val="20"/>
        </w:rPr>
        <w:t>), calculados a partir de uma única unidade-fonte:</w:t>
      </w:r>
    </w:p>
    <w:p>
      <w:pPr>
        <w:pStyle w:val="ListBullet"/>
        <w:rPr/>
      </w:pPr>
      <w:r>
        <w:rPr/>
        <w:t xml:space="preserve">- Se o artigo reporta em mm: </w:t>
      </w:r>
      <w:r>
        <w:rPr>
          <w:rFonts w:ascii="Consolas" w:hAnsi="Consolas"/>
          <w:sz w:val="20"/>
        </w:rPr>
        <w:t>value</w:t>
      </w:r>
      <w:r>
        <w:rPr>
          <w:i/>
        </w:rPr>
        <w:t>cm = value</w:t>
      </w:r>
      <w:r>
        <w:rPr/>
        <w:t>mm / 10</w:t>
      </w:r>
      <w:r>
        <w:rPr>
          <w:rFonts w:ascii="Consolas" w:hAnsi="Consolas"/>
          <w:sz w:val="20"/>
        </w:rPr>
        <w:t xml:space="preserve">; </w:t>
      </w:r>
      <w:r>
        <w:rPr/>
        <w:t>value</w:t>
      </w:r>
      <w:r>
        <w:rPr>
          <w:i/>
        </w:rPr>
        <w:t>in = value</w:t>
      </w:r>
      <w:r>
        <w:rPr/>
        <w:t>cm / 2.54</w:t>
      </w:r>
    </w:p>
    <w:p>
      <w:pPr>
        <w:pStyle w:val="ListBullet"/>
        <w:rPr/>
      </w:pPr>
      <w:r>
        <w:rPr/>
        <w:t xml:space="preserve">- Se o artigo reporta em cm: </w:t>
      </w:r>
      <w:r>
        <w:rPr>
          <w:rFonts w:ascii="Consolas" w:hAnsi="Consolas"/>
          <w:sz w:val="20"/>
        </w:rPr>
        <w:t>value</w:t>
      </w:r>
      <w:r>
        <w:rPr>
          <w:i/>
        </w:rPr>
        <w:t>mm = value</w:t>
      </w:r>
      <w:r>
        <w:rPr/>
        <w:t>cm × 10</w:t>
      </w:r>
      <w:r>
        <w:rPr>
          <w:rFonts w:ascii="Consolas" w:hAnsi="Consolas"/>
          <w:sz w:val="20"/>
        </w:rPr>
        <w:t xml:space="preserve">; </w:t>
      </w:r>
      <w:r>
        <w:rPr/>
        <w:t>value</w:t>
      </w:r>
      <w:r>
        <w:rPr>
          <w:i/>
        </w:rPr>
        <w:t>in = value</w:t>
      </w:r>
      <w:r>
        <w:rPr/>
        <w:t>cm / 2.54</w:t>
      </w:r>
    </w:p>
    <w:p>
      <w:pPr>
        <w:pStyle w:val="Normal"/>
        <w:rPr/>
      </w:pPr>
      <w:r>
        <w:rPr/>
        <w:t>Esta redundância elimina conversões em tempo de execução por parte do modelo paramétrico.</w:t>
      </w:r>
    </w:p>
    <w:p>
      <w:pPr>
        <w:pStyle w:val="Heading3"/>
        <w:rPr/>
      </w:pPr>
      <w:r>
        <w:rPr/>
      </w:r>
    </w:p>
    <w:p>
      <w:pPr>
        <w:pStyle w:val="Heading3"/>
        <w:rPr/>
      </w:pPr>
      <w:r>
        <w:rPr/>
        <w:t>A.4.3 Decomposição em linhas atómicas</w:t>
      </w:r>
    </w:p>
    <w:p>
      <w:pPr>
        <w:pStyle w:val="Normal"/>
        <w:rPr/>
      </w:pPr>
      <w:r>
        <w:rPr/>
      </w:r>
    </w:p>
    <w:p>
      <w:pPr>
        <w:pStyle w:val="Normal"/>
        <w:rPr/>
      </w:pPr>
      <w:r>
        <w:rPr/>
        <w:t xml:space="preserve">Cada célula de uma tabela estatística origina </w:t>
      </w:r>
      <w:r>
        <w:rPr>
          <w:b/>
        </w:rPr>
        <w:t>uma linha independente</w:t>
      </w:r>
      <w:r>
        <w:rPr/>
        <w:t xml:space="preserve"> no CSV. Assim, para uma dada dimensão, população e sexo, existem tantas linhas quantos os indicadores estatísticos disponíveis: por exemplo, se um artigo reporta média, desvio-padrão, P5, P50 e P95, são criadas cinco linhas — cada uma com o campo </w:t>
      </w:r>
      <w:r>
        <w:rPr>
          <w:rFonts w:ascii="Consolas" w:hAnsi="Consolas"/>
          <w:sz w:val="20"/>
        </w:rPr>
        <w:t>stat</w:t>
      </w:r>
      <w:r>
        <w:rPr>
          <w:i/>
        </w:rPr>
        <w:t>type</w:t>
      </w:r>
      <w:r>
        <w:rPr>
          <w:rFonts w:ascii="Consolas" w:hAnsi="Consolas"/>
          <w:sz w:val="20"/>
        </w:rPr>
        <w:t xml:space="preserve"> definido como </w:t>
      </w:r>
      <w:r>
        <w:rPr/>
        <w:t>mean</w:t>
      </w:r>
      <w:r>
        <w:rPr>
          <w:rFonts w:ascii="Consolas" w:hAnsi="Consolas"/>
          <w:sz w:val="20"/>
        </w:rPr>
        <w:t xml:space="preserve">, </w:t>
      </w:r>
      <w:r>
        <w:rPr/>
        <w:t>std</w:t>
      </w:r>
      <w:r>
        <w:rPr>
          <w:i/>
        </w:rPr>
        <w:t>dev</w:t>
      </w:r>
      <w:r>
        <w:rPr>
          <w:rFonts w:ascii="Consolas" w:hAnsi="Consolas"/>
          <w:sz w:val="20"/>
        </w:rPr>
        <w:t xml:space="preserve"> ou </w:t>
      </w:r>
      <w:r>
        <w:rPr/>
        <w:t>percentile</w:t>
      </w:r>
      <w:r>
        <w:rPr>
          <w:rFonts w:ascii="Consolas" w:hAnsi="Consolas"/>
          <w:sz w:val="20"/>
        </w:rPr>
        <w:t xml:space="preserve">, e o campo </w:t>
      </w:r>
      <w:r>
        <w:rPr/>
        <w:t>percentile</w:t>
      </w:r>
      <w:r>
        <w:rPr>
          <w:rFonts w:ascii="Consolas" w:hAnsi="Consolas"/>
          <w:sz w:val="20"/>
        </w:rPr>
        <w:t xml:space="preserve"> preenchido apenas nas linhas de tipo </w:t>
      </w:r>
      <w:r>
        <w:rPr/>
        <w:t>percentile</w:t>
      </w:r>
      <w:r>
        <w:rPr>
          <w:rFonts w:ascii="Consolas" w:hAnsi="Consolas"/>
          <w:sz w:val="20"/>
        </w:rPr>
        <w:t>.</w:t>
      </w:r>
    </w:p>
    <w:p>
      <w:pPr>
        <w:pStyle w:val="Normal"/>
        <w:rPr/>
      </w:pPr>
      <w:r>
        <w:rPr/>
        <w:t>Esta estrutura longa (</w:t>
      </w:r>
      <w:r>
        <w:rPr>
          <w:i/>
        </w:rPr>
        <w:t>long format</w:t>
      </w:r>
      <w:r>
        <w:rPr/>
        <w:t>) permite filtrar e agregar por qualquer combinação de variáveis sem necessidade de transformação prévia.</w:t>
      </w:r>
    </w:p>
    <w:p>
      <w:pPr>
        <w:pStyle w:val="Heading3"/>
        <w:rPr/>
      </w:pPr>
      <w:r>
        <w:rPr/>
      </w:r>
    </w:p>
    <w:p>
      <w:pPr>
        <w:pStyle w:val="Heading3"/>
        <w:rPr/>
      </w:pPr>
      <w:r>
        <w:rPr/>
        <w:t>A.4.4 Registo fiel do contexto da medição</w:t>
      </w:r>
    </w:p>
    <w:p>
      <w:pPr>
        <w:pStyle w:val="Normal"/>
        <w:rPr/>
      </w:pPr>
      <w:r>
        <w:rPr/>
      </w:r>
    </w:p>
    <w:p>
      <w:pPr>
        <w:pStyle w:val="Normal"/>
        <w:rPr/>
      </w:pPr>
      <w:r>
        <w:rPr/>
        <w:t xml:space="preserve">O campo </w:t>
      </w:r>
      <w:r>
        <w:rPr>
          <w:rFonts w:ascii="Consolas" w:hAnsi="Consolas"/>
          <w:sz w:val="20"/>
        </w:rPr>
        <w:t>measurement</w:t>
      </w:r>
      <w:r>
        <w:rPr>
          <w:i/>
        </w:rPr>
        <w:t>method</w:t>
      </w:r>
      <w:r>
        <w:rPr/>
        <w:t>note</w:t>
      </w:r>
      <w:r>
        <w:rPr>
          <w:rFonts w:ascii="Consolas" w:hAnsi="Consolas"/>
          <w:sz w:val="20"/>
        </w:rPr>
        <w:t xml:space="preserve"> regista, para cada estudo, informações sobre:</w:t>
      </w:r>
    </w:p>
    <w:p>
      <w:pPr>
        <w:pStyle w:val="ListBullet"/>
        <w:rPr/>
      </w:pPr>
      <w:r>
        <w:rPr/>
        <w:t>- O instrumento utilizado (e.g., "paquímetro digital Vernier 200 mm, resolução 0,01 mm")</w:t>
      </w:r>
    </w:p>
    <w:p>
      <w:pPr>
        <w:pStyle w:val="ListBullet"/>
        <w:rPr/>
      </w:pPr>
      <w:r>
        <w:rPr/>
        <w:t>- A mão medida (direita/esquerda/dominante)</w:t>
      </w:r>
    </w:p>
    <w:p>
      <w:pPr>
        <w:pStyle w:val="ListBullet"/>
        <w:rPr/>
      </w:pPr>
      <w:r>
        <w:rPr/>
        <w:t>- A posição da mão durante a medição (estendida e plana, em posição de repouso, sentado)</w:t>
      </w:r>
    </w:p>
    <w:p>
      <w:pPr>
        <w:pStyle w:val="ListBullet"/>
        <w:rPr/>
      </w:pPr>
      <w:r>
        <w:rPr/>
        <w:t>- O ponto de referência do comprimento (e.g., "da prega palmar proximal à ponta do dedo")</w:t>
      </w:r>
    </w:p>
    <w:p>
      <w:pPr>
        <w:pStyle w:val="Normal"/>
        <w:rPr/>
      </w:pPr>
      <w:r>
        <w:rPr/>
        <w:t>Esta informação é crítica porque estudos diferentes definem as mesmas dimensões com protocolos diferentes: por exemplo, "comprimento da mão" pode ser medido desde a prega do pulso até à ponta do dedo médio (Rodríguez-Vega et al., 2024) ou desde o processo estilóide até à mesma ponta (Anacleto Filho et al., 2023), produzindo valores não diretamente comparáveis.</w:t>
      </w:r>
    </w:p>
    <w:p>
      <w:pPr>
        <w:pStyle w:val="Heading3"/>
        <w:rPr/>
      </w:pPr>
      <w:r>
        <w:rPr/>
      </w:r>
    </w:p>
    <w:p>
      <w:pPr>
        <w:pStyle w:val="Heading3"/>
        <w:rPr/>
      </w:pPr>
      <w:r>
        <w:rPr/>
        <w:t>A.5 Decisões por Estudo</w:t>
      </w:r>
    </w:p>
    <w:p>
      <w:pPr>
        <w:pStyle w:val="Heading3"/>
        <w:rPr/>
      </w:pPr>
      <w:r>
        <w:rPr/>
      </w:r>
    </w:p>
    <w:p>
      <w:pPr>
        <w:pStyle w:val="Heading3"/>
        <w:rPr/>
      </w:pPr>
      <w:r>
        <w:rPr/>
        <w:t>A.5.1 ANSUR 1988 — EUA, militares (Gordon et al., 1989)</w:t>
      </w:r>
    </w:p>
    <w:p>
      <w:pPr>
        <w:pStyle w:val="Normal"/>
        <w:rPr>
          <w:b/>
        </w:rPr>
      </w:pPr>
      <w:r>
        <w:rPr>
          <w:b/>
        </w:rPr>
      </w:r>
    </w:p>
    <w:p>
      <w:pPr>
        <w:pStyle w:val="Normal"/>
        <w:rPr/>
      </w:pPr>
      <w:r>
        <w:rPr>
          <w:b/>
        </w:rPr>
        <w:t>Fonte:</w:t>
      </w:r>
      <w:r>
        <w:rPr/>
        <w:t xml:space="preserve"> Tabelas de dados detalhados do relatório técnico do U.S. Army Natick Research Center (março de 1989), 47 dimensões corporais, separadas por sexo (n=2.208 mulheres, n=6.682 homens). As dimensões da mão e do membro superior foram codificadas na íntegra: comprimento da mão, largura da mão, comprimentos dos dedos, circunferência do pulso, comprimento do antebraço, entre outras.</w:t>
      </w:r>
    </w:p>
    <w:p>
      <w:pPr>
        <w:pStyle w:val="Normal"/>
        <w:rPr/>
      </w:pPr>
      <w:r>
        <w:rPr>
          <w:b/>
        </w:rPr>
        <w:t>Decisão:</w:t>
      </w:r>
      <w:r>
        <w:rPr/>
        <w:t xml:space="preserve"> Incluição total. A dimensão amostral, a abrangência estatística (11 indicadores por dimensão) e a origem militar controlada tornam-no a âncora de referência da base de dados.</w:t>
      </w:r>
    </w:p>
    <w:p>
      <w:pPr>
        <w:pStyle w:val="Normal"/>
        <w:rPr/>
      </w:pPr>
      <w:r>
        <w:rPr>
          <w:b/>
        </w:rPr>
        <w:t>Notas:</w:t>
      </w:r>
      <w:r>
        <w:rPr/>
        <w:t xml:space="preserve"> Sete valores no relatório original apresentavam inconsistências tipográficas (e.g., percentil aparentemente invertido ou unidade suspeita); todos foram corrigidos com anotação inline no campo </w:t>
      </w:r>
      <w:r>
        <w:rPr>
          <w:rFonts w:ascii="Consolas" w:hAnsi="Consolas"/>
          <w:sz w:val="20"/>
        </w:rPr>
        <w:t>data</w:t>
      </w:r>
      <w:r>
        <w:rPr>
          <w:i/>
        </w:rPr>
        <w:t>quality</w:t>
      </w:r>
      <w:r>
        <w:rPr/>
        <w:t>note</w:t>
      </w:r>
      <w:r>
        <w:rPr>
          <w:rFonts w:ascii="Consolas" w:hAnsi="Consolas"/>
          <w:sz w:val="20"/>
        </w:rPr>
        <w:t>.</w:t>
      </w:r>
    </w:p>
    <w:p>
      <w:pPr>
        <w:pStyle w:val="Heading3"/>
        <w:rPr/>
      </w:pPr>
      <w:r>
        <w:rPr/>
      </w:r>
    </w:p>
    <w:p>
      <w:pPr>
        <w:pStyle w:val="Heading3"/>
        <w:rPr/>
      </w:pPr>
      <w:r>
        <w:rPr/>
        <w:t>A.5.2 Turquia — jovens adultos (Chatzioglou et al., 2024)</w:t>
      </w:r>
    </w:p>
    <w:p>
      <w:pPr>
        <w:pStyle w:val="Normal"/>
        <w:rPr>
          <w:b/>
        </w:rPr>
      </w:pPr>
      <w:r>
        <w:rPr>
          <w:b/>
        </w:rPr>
      </w:r>
    </w:p>
    <w:p>
      <w:pPr>
        <w:pStyle w:val="Normal"/>
        <w:rPr/>
      </w:pPr>
      <w:r>
        <w:rPr>
          <w:b/>
        </w:rPr>
        <w:t>Fonte:</w:t>
      </w:r>
      <w:r>
        <w:rPr/>
        <w:t xml:space="preserve"> </w:t>
      </w:r>
      <w:r>
        <w:rPr>
          <w:i/>
        </w:rPr>
        <w:t>Anatomy &amp; Cell Biology</w:t>
      </w:r>
      <w:r>
        <w:rPr/>
        <w:t>, 57:172–182. n=51 (32F, 19M), idade 18–30, Izmir e Istanbul. Método foto-antropométrico com ImageJ (pixel → mm via fator de calibração 0,08618 ×). Comprimentos dos cinco dedos da mão direita, por sexo e amostra total, Tabela 1.</w:t>
      </w:r>
    </w:p>
    <w:p>
      <w:pPr>
        <w:pStyle w:val="Normal"/>
        <w:rPr/>
      </w:pPr>
      <w:r>
        <w:rPr>
          <w:b/>
        </w:rPr>
        <w:t>Decisão:</w:t>
      </w:r>
      <w:r>
        <w:rPr/>
        <w:t xml:space="preserve"> Incluição. Primeiro estudo de foto-antropometria da mão na base de dados; o método é documentado de forma rigorosa e o artigo é publicado em revista indexada com revisão por pares. Os valores mínimo e máximo (mas não percentis) são reportados; foram codificados como </w:t>
      </w:r>
      <w:r>
        <w:rPr>
          <w:rFonts w:ascii="Consolas" w:hAnsi="Consolas"/>
          <w:sz w:val="20"/>
        </w:rPr>
        <w:t>stat</w:t>
      </w:r>
      <w:r>
        <w:rPr>
          <w:i/>
        </w:rPr>
        <w:t>type = min</w:t>
      </w:r>
      <w:r>
        <w:rPr>
          <w:rFonts w:ascii="Consolas" w:hAnsi="Consolas"/>
          <w:sz w:val="20"/>
        </w:rPr>
        <w:t xml:space="preserve"> e </w:t>
      </w:r>
      <w:r>
        <w:rPr/>
        <w:t>max</w:t>
      </w:r>
      <w:r>
        <w:rPr>
          <w:rFonts w:ascii="Consolas" w:hAnsi="Consolas"/>
          <w:sz w:val="20"/>
        </w:rPr>
        <w:t>.</w:t>
      </w:r>
    </w:p>
    <w:p>
      <w:pPr>
        <w:pStyle w:val="Heading3"/>
        <w:rPr/>
      </w:pPr>
      <w:r>
        <w:rPr/>
      </w:r>
    </w:p>
    <w:p>
      <w:pPr>
        <w:pStyle w:val="Heading3"/>
        <w:rPr/>
      </w:pPr>
      <w:r>
        <w:rPr/>
        <w:t>A.5.3 México — população geral (Rodríguez-Vega &amp; Rodríguez-Vega, 2024)</w:t>
      </w:r>
    </w:p>
    <w:p>
      <w:pPr>
        <w:pStyle w:val="Normal"/>
        <w:rPr>
          <w:b/>
        </w:rPr>
      </w:pPr>
      <w:r>
        <w:rPr>
          <w:b/>
        </w:rPr>
      </w:r>
    </w:p>
    <w:p>
      <w:pPr>
        <w:pStyle w:val="Normal"/>
        <w:rPr/>
      </w:pPr>
      <w:r>
        <w:rPr>
          <w:b/>
        </w:rPr>
        <w:t>Fonte:</w:t>
      </w:r>
      <w:r>
        <w:rPr/>
        <w:t xml:space="preserve"> </w:t>
      </w:r>
      <w:r>
        <w:rPr>
          <w:i/>
        </w:rPr>
        <w:t>European Public &amp; Social Innovation Review</w:t>
      </w:r>
      <w:r>
        <w:rPr/>
        <w:t>, 9:1–15. n=2.837 (2.275M, 562F), Noroeste do México, idade 15–59. Quatro dimensões: comprimento da mão (HL), comprimento da palma (PL), largura da mão (HB) e diâmetro de preensão (HGD). Tabela 3 (amostra geral) e Tabela 4 (oito grupos etários: 15–19, 20–24, …, 50–54).</w:t>
      </w:r>
    </w:p>
    <w:p>
      <w:pPr>
        <w:pStyle w:val="Normal"/>
        <w:rPr/>
      </w:pPr>
      <w:r>
        <w:rPr>
          <w:b/>
        </w:rPr>
        <w:t>Decisão:</w:t>
      </w:r>
      <w:r>
        <w:rPr/>
        <w:t xml:space="preserve"> Incluição, com marcação de qualidade nos subgrupos de pequena dimensão. A desagregação por grupo etário é única na base de dados e de grande valor para modelação por faixa etária. Foram detetados dois casos problemáticos na Tabela 4: o subgrupo feminino 50–54 tem n=3 (SD=0,00 reportado para HB, provavelmente artefacto de arredondamento); o subgrupo feminino 45–49 tem n=10. Ambos foram incluídos mas marcados no campo </w:t>
      </w:r>
      <w:r>
        <w:rPr>
          <w:rFonts w:ascii="Consolas" w:hAnsi="Consolas"/>
          <w:sz w:val="20"/>
        </w:rPr>
        <w:t>data</w:t>
      </w:r>
      <w:r>
        <w:rPr>
          <w:i/>
        </w:rPr>
        <w:t>quality</w:t>
      </w:r>
      <w:r>
        <w:rPr/>
        <w:t>note</w:t>
      </w:r>
      <w:r>
        <w:rPr>
          <w:rFonts w:ascii="Consolas" w:hAnsi="Consolas"/>
          <w:sz w:val="20"/>
        </w:rPr>
        <w:t>.</w:t>
      </w:r>
    </w:p>
    <w:p>
      <w:pPr>
        <w:pStyle w:val="Heading3"/>
        <w:rPr/>
      </w:pPr>
      <w:r>
        <w:rPr/>
      </w:r>
    </w:p>
    <w:p>
      <w:pPr>
        <w:pStyle w:val="Heading3"/>
        <w:rPr/>
      </w:pPr>
      <w:r>
        <w:rPr/>
        <w:t>A.5.4 Índia — mulheres trabalhadoras (Nag et al., 2003)</w:t>
      </w:r>
    </w:p>
    <w:p>
      <w:pPr>
        <w:pStyle w:val="Normal"/>
        <w:rPr>
          <w:b/>
        </w:rPr>
      </w:pPr>
      <w:r>
        <w:rPr>
          <w:b/>
        </w:rPr>
      </w:r>
    </w:p>
    <w:p>
      <w:pPr>
        <w:pStyle w:val="Normal"/>
        <w:rPr/>
      </w:pPr>
      <w:r>
        <w:rPr>
          <w:b/>
        </w:rPr>
        <w:t>Fonte:</w:t>
      </w:r>
      <w:r>
        <w:rPr/>
        <w:t xml:space="preserve"> </w:t>
      </w:r>
      <w:r>
        <w:rPr>
          <w:i/>
        </w:rPr>
        <w:t>Indian Journal of Medical Research</w:t>
      </w:r>
      <w:r>
        <w:rPr/>
        <w:t>, 117:260–269. n=95 mulheres, trabalhadores informais (indústria de bidis, agarbattis e vestuário), Ahmedabad. 51 dimensões da mão direita em cinco tabelas (comprimentos, larguras, circunferências, profundidades, extensões e folgas), com P5, P50 e P95 reportados.</w:t>
      </w:r>
    </w:p>
    <w:p>
      <w:pPr>
        <w:pStyle w:val="Normal"/>
        <w:rPr/>
      </w:pPr>
      <w:r>
        <w:rPr>
          <w:b/>
        </w:rPr>
        <w:t>Decisão:</w:t>
      </w:r>
      <w:r>
        <w:rPr/>
        <w:t xml:space="preserve"> Incluição total. É o estudo com maior granularidade de dimensões da mão na base de dados, e o único com dados de profundidade e circunferência por articulação. A restrição a mulheres e a uma população laboral informal específica é documentada na coluna </w:t>
      </w:r>
      <w:r>
        <w:rPr>
          <w:rFonts w:ascii="Consolas" w:hAnsi="Consolas"/>
          <w:sz w:val="20"/>
        </w:rPr>
        <w:t>population</w:t>
      </w:r>
      <w:r>
        <w:rPr/>
        <w:t>.</w:t>
      </w:r>
    </w:p>
    <w:p>
      <w:pPr>
        <w:pStyle w:val="Heading3"/>
        <w:rPr/>
      </w:pPr>
      <w:r>
        <w:rPr/>
      </w:r>
    </w:p>
    <w:p>
      <w:pPr>
        <w:pStyle w:val="Heading3"/>
        <w:rPr/>
      </w:pPr>
      <w:r>
        <w:rPr/>
        <w:t>A.5.5 Portugal — trabalhadores industriais (Anacleto Filho et al., 2023)</w:t>
      </w:r>
    </w:p>
    <w:p>
      <w:pPr>
        <w:pStyle w:val="Normal"/>
        <w:rPr>
          <w:b/>
        </w:rPr>
      </w:pPr>
      <w:r>
        <w:rPr>
          <w:b/>
        </w:rPr>
      </w:r>
    </w:p>
    <w:p>
      <w:pPr>
        <w:pStyle w:val="Normal"/>
        <w:rPr/>
      </w:pPr>
      <w:r>
        <w:rPr>
          <w:b/>
        </w:rPr>
        <w:t>Fonte:</w:t>
      </w:r>
      <w:r>
        <w:rPr/>
        <w:t xml:space="preserve"> </w:t>
      </w:r>
      <w:r>
        <w:rPr>
          <w:i/>
        </w:rPr>
        <w:t>International Journal of Industrial Ergonomics</w:t>
      </w:r>
      <w:r>
        <w:rPr/>
        <w:t>, 97:103473. n=343 (169M, 174F),</w:t>
      </w:r>
    </w:p>
    <w:p>
      <w:pPr>
        <w:pStyle w:val="Normal"/>
        <w:rPr/>
      </w:pPr>
      <w:r>
        <w:rPr/>
        <w:t>trabalhadores industriais do Norte de Portugal, 2021. De um conjunto de 27 dimensões corporais, apenas duas são da mão: comprimento da mão e largura da mão (metacarpal II–V). Tabela 3, P5, P50, P95 por sexo.</w:t>
      </w:r>
    </w:p>
    <w:p>
      <w:pPr>
        <w:pStyle w:val="Normal"/>
        <w:rPr/>
      </w:pPr>
      <w:r>
        <w:rPr>
          <w:b/>
        </w:rPr>
        <w:t>Decisão:</w:t>
      </w:r>
      <w:r>
        <w:rPr/>
        <w:t xml:space="preserve"> Incluição. Embora apenas duas dimensões da mão sejam disponibilizadas, trata-se da única fonte de dados antropométricos da mão para população portuguesa adulta identificada na literatura, o que a torna indispensável para a contextualização nacional desta tese.</w:t>
      </w:r>
    </w:p>
    <w:p>
      <w:pPr>
        <w:pStyle w:val="Normal"/>
        <w:rPr/>
      </w:pPr>
      <w:r>
        <w:rPr>
          <w:b/>
        </w:rPr>
        <w:t>Nota metodológica:</w:t>
      </w:r>
      <w:r>
        <w:rPr/>
        <w:t xml:space="preserve"> O estudo mediu o lado esquerdo por limitação de instalações; este facto é registado em </w:t>
      </w:r>
      <w:r>
        <w:rPr>
          <w:rFonts w:ascii="Consolas" w:hAnsi="Consolas"/>
          <w:sz w:val="20"/>
        </w:rPr>
        <w:t>measurement</w:t>
      </w:r>
      <w:r>
        <w:rPr>
          <w:i/>
        </w:rPr>
        <w:t>method</w:t>
      </w:r>
      <w:r>
        <w:rPr/>
        <w:t>note</w:t>
      </w:r>
      <w:r>
        <w:rPr>
          <w:rFonts w:ascii="Consolas" w:hAnsi="Consolas"/>
          <w:sz w:val="20"/>
        </w:rPr>
        <w:t>.</w:t>
      </w:r>
    </w:p>
    <w:p>
      <w:pPr>
        <w:pStyle w:val="Heading3"/>
        <w:rPr/>
      </w:pPr>
      <w:r>
        <w:rPr/>
      </w:r>
    </w:p>
    <w:p>
      <w:pPr>
        <w:pStyle w:val="Heading3"/>
        <w:rPr/>
      </w:pPr>
      <w:r>
        <w:rPr/>
        <w:t>A.5.6 Nigéria — atletas universitários (Ibiwari et al., 2025)</w:t>
      </w:r>
    </w:p>
    <w:p>
      <w:pPr>
        <w:pStyle w:val="Normal"/>
        <w:rPr>
          <w:b/>
        </w:rPr>
      </w:pPr>
      <w:r>
        <w:rPr>
          <w:b/>
        </w:rPr>
      </w:r>
    </w:p>
    <w:p>
      <w:pPr>
        <w:pStyle w:val="Normal"/>
        <w:rPr/>
      </w:pPr>
      <w:r>
        <w:rPr>
          <w:b/>
        </w:rPr>
        <w:t>Fonte:</w:t>
      </w:r>
      <w:r>
        <w:rPr/>
        <w:t xml:space="preserve"> </w:t>
      </w:r>
      <w:r>
        <w:rPr>
          <w:i/>
        </w:rPr>
        <w:t>International Journal of Science Academic Research</w:t>
      </w:r>
      <w:r>
        <w:rPr/>
        <w:t>, 6(8):10513–10517. n=80: basquetebol (n=41: 21M, 20F) e voleibol (n=39: 20M, 19F), Universidade de Port Harcourt, idade 19–30. Quatro dimensões da mão direita por desporto e sexo: comprimento da mão, largura da mão, comprimento palmar e comprimento do 3.º dígito. Tabelas 3 e 4.</w:t>
      </w:r>
    </w:p>
    <w:p>
      <w:pPr>
        <w:pStyle w:val="Normal"/>
        <w:rPr/>
      </w:pPr>
      <w:r>
        <w:rPr>
          <w:b/>
        </w:rPr>
        <w:t>Decisão:</w:t>
      </w:r>
      <w:r>
        <w:rPr/>
        <w:t xml:space="preserve"> Incluição com marcação de subgrupo desportivo. Dois subgrupos apresentam desvio-padrão atipicamente elevado (e.g., comprimento da mão no voleibol masculino: SD=37,49 mm), sugerindo a presença de outliers na amostra original. Estes casos foram marcados com nota de qualidade; os valores não foram excluídos porque provêm de tabelas publicadas e revistas.</w:t>
      </w:r>
    </w:p>
    <w:p>
      <w:pPr>
        <w:pStyle w:val="Normal"/>
        <w:rPr/>
      </w:pPr>
      <w:r>
        <w:rPr>
          <w:b/>
        </w:rPr>
        <w:t>Nota:</w:t>
      </w:r>
      <w:r>
        <w:rPr/>
        <w:t xml:space="preserve"> A população de atletas não é representativa da população geral; os valores refletem uma seleção fisicamente ativa e potencialmente com mãos de dimensões superiores à média.</w:t>
      </w:r>
    </w:p>
    <w:p>
      <w:pPr>
        <w:pStyle w:val="Heading3"/>
        <w:rPr/>
      </w:pPr>
      <w:r>
        <w:rPr/>
      </w:r>
    </w:p>
    <w:p>
      <w:pPr>
        <w:pStyle w:val="Heading3"/>
        <w:rPr/>
      </w:pPr>
      <w:r>
        <w:rPr/>
        <w:t>A.5.7 Jordânia — trabalhadores com deficiência (Mistarihi, 2020)</w:t>
      </w:r>
    </w:p>
    <w:p>
      <w:pPr>
        <w:pStyle w:val="Normal"/>
        <w:rPr>
          <w:b/>
        </w:rPr>
      </w:pPr>
      <w:r>
        <w:rPr>
          <w:b/>
        </w:rPr>
      </w:r>
    </w:p>
    <w:p>
      <w:pPr>
        <w:pStyle w:val="Normal"/>
        <w:rPr/>
      </w:pPr>
      <w:r>
        <w:rPr>
          <w:b/>
        </w:rPr>
        <w:t>Fonte:</w:t>
      </w:r>
      <w:r>
        <w:rPr/>
        <w:t xml:space="preserve"> </w:t>
      </w:r>
      <w:r>
        <w:rPr>
          <w:i/>
        </w:rPr>
        <w:t>Data in Brief</w:t>
      </w:r>
      <w:r>
        <w:rPr/>
        <w:t>, 30:105420. n=40 trabalhadores com deficiência física, governorate de Irbid, Jordânia, idade 20–40. Sexos combinados (sem desagregação por sexo em Tabela 4). Comprimento da mão (mm) e comprimento cotovelo-ponta dos dedos (cm) com P5 e P95 na Tabela 4; largura da mão (cm, média apenas) a partir da Figura 2.</w:t>
      </w:r>
    </w:p>
    <w:p>
      <w:pPr>
        <w:pStyle w:val="Normal"/>
        <w:rPr/>
      </w:pPr>
      <w:r>
        <w:rPr>
          <w:b/>
        </w:rPr>
        <w:t>Decisão:</w:t>
      </w:r>
      <w:r>
        <w:rPr/>
        <w:t xml:space="preserve"> Inclusão parcial. A dimensão amostral reduzida (n=40) e a ausência de desagregação por sexo limitam a utilidade direta dos dados. No entanto, é o único estudo com dados de uma população do Médio Oriente e com uma população com deficiência, o que justifica a inclusão para representatividade demográfica. A largura da mão (apenas média, sem SD, retirada de um diagrama de figura e não de uma tabela) foi incluída com marcação explícita de qualidade.</w:t>
      </w:r>
    </w:p>
    <w:p>
      <w:pPr>
        <w:pStyle w:val="Heading3"/>
        <w:rPr/>
      </w:pPr>
      <w:r>
        <w:rPr/>
      </w:r>
    </w:p>
    <w:p>
      <w:pPr>
        <w:pStyle w:val="Heading3"/>
        <w:rPr/>
      </w:pPr>
      <w:r>
        <w:rPr/>
        <w:t>A.5.8 EUA — dedo indicador (Lim et al., 2018)</w:t>
      </w:r>
    </w:p>
    <w:p>
      <w:pPr>
        <w:pStyle w:val="Normal"/>
        <w:rPr>
          <w:b/>
        </w:rPr>
      </w:pPr>
      <w:r>
        <w:rPr>
          <w:b/>
        </w:rPr>
      </w:r>
    </w:p>
    <w:p>
      <w:pPr>
        <w:pStyle w:val="Normal"/>
        <w:rPr/>
      </w:pPr>
      <w:r>
        <w:rPr>
          <w:b/>
        </w:rPr>
        <w:t>Fonte:</w:t>
      </w:r>
      <w:r>
        <w:rPr/>
        <w:t xml:space="preserve"> Trabalho académico UC Berkeley. n=50 adultos, idade 18–30. Apenas duas dimensões do dedo indicador (D2): comprimento MCP-ponta (média=90,9 mm) e largura na articulação PIP (média=16,9 mm). Apenas médias reportadas, sem SD ou percentis.</w:t>
      </w:r>
    </w:p>
    <w:p>
      <w:pPr>
        <w:pStyle w:val="Normal"/>
        <w:rPr/>
      </w:pPr>
      <w:r>
        <w:rPr>
          <w:b/>
        </w:rPr>
        <w:t>Decisão:</w:t>
      </w:r>
      <w:r>
        <w:rPr/>
        <w:t xml:space="preserve"> Inclusão limitada. A ausência de desvio-padrão e percentis reduz significativamente a utilidade estatística. No entanto, o estudo foi incluído porque é especificamente orientado para a customização de próteses de dedo e fornece valores de referência para o design de um dedo índice protésico — diretamente relevantes para o objetivo desta tese. O coeficiente de determinação R²=0,18 entre comprimento e largura do dedo é marcado como indicador de correlação fraca.</w:t>
      </w:r>
    </w:p>
    <w:p>
      <w:pPr>
        <w:pStyle w:val="Heading3"/>
        <w:rPr/>
      </w:pPr>
      <w:r>
        <w:rPr/>
      </w:r>
    </w:p>
    <w:p>
      <w:pPr>
        <w:pStyle w:val="Heading3"/>
        <w:rPr/>
      </w:pPr>
      <w:r>
        <w:rPr/>
        <w:t>A.5.9 Estudo excluído: Moreo (2016)</w:t>
      </w:r>
    </w:p>
    <w:p>
      <w:pPr>
        <w:pStyle w:val="Normal"/>
        <w:rPr/>
      </w:pPr>
      <w:r>
        <w:rPr/>
      </w:r>
    </w:p>
    <w:p>
      <w:pPr>
        <w:pStyle w:val="Normal"/>
        <w:rPr/>
      </w:pPr>
      <w:r>
        <w:rPr/>
        <w:t xml:space="preserve">O trabalho de Moreo (2016), dissertação de mestrado sobre design paramétrico de prótese de mão para crianças, foi lido na íntegra (55 páginas). A Tabela 6.1 apresenta valores percentílicos de comprimento de dedo por grupo etário, mas estes valores são extraídos da base de dados DINED (TU Delft, n=965 crianças neerlandesas) — não constituindo uma recolha primária por parte da autora. Incluir estes valores equivaleria a duplicar uma fonte secundária sem rastreabilidade direta ao estudo DINED original. </w:t>
      </w:r>
      <w:r>
        <w:rPr>
          <w:b/>
        </w:rPr>
        <w:t>Decisão: excluído.</w:t>
      </w:r>
    </w:p>
    <w:p>
      <w:pPr>
        <w:pStyle w:val="Heading3"/>
        <w:rPr/>
      </w:pPr>
      <w:r>
        <w:rPr/>
      </w:r>
    </w:p>
    <w:p>
      <w:pPr>
        <w:pStyle w:val="Heading3"/>
        <w:rPr/>
      </w:pPr>
      <w:r>
        <w:rPr/>
        <w:t>A.5.10 EUA — militares ANSUR II (Gordon et al., 2015)</w:t>
      </w:r>
    </w:p>
    <w:p>
      <w:pPr>
        <w:pStyle w:val="Normal"/>
        <w:rPr>
          <w:b/>
        </w:rPr>
      </w:pPr>
      <w:r>
        <w:rPr>
          <w:b/>
        </w:rPr>
      </w:r>
    </w:p>
    <w:p>
      <w:pPr>
        <w:pStyle w:val="Normal"/>
        <w:rPr/>
      </w:pPr>
      <w:r>
        <w:rPr>
          <w:b/>
        </w:rPr>
        <w:t>Fonte:</w:t>
      </w:r>
      <w:r>
        <w:rPr/>
        <w:t xml:space="preserve"> Relatório técnico NATICK/TR-15/007, U.S. Army Natick Soldier Research, Development and Engineering Center. n=6.068 militares ativos (4.082M, 1.986F), idade 17–58, grande diversidade étnica. Os dados brutos individuais foram disponibilizados em acesso público em 2017 (licença CC BY 4.0). As estatísticas foram calculadas a partir dos CSVs individuais (não do relatório impresso), usando Python puro sem dependências externas, por forma a garantir reprodutibilidade exata.</w:t>
      </w:r>
    </w:p>
    <w:p>
      <w:pPr>
        <w:pStyle w:val="Normal"/>
        <w:rPr/>
      </w:pPr>
      <w:r>
        <w:rPr>
          <w:b/>
        </w:rPr>
        <w:t>Decisão:</w:t>
      </w:r>
      <w:r>
        <w:rPr/>
        <w:t xml:space="preserve"> Inclusão total. É o maior conjunto de dados individuais de antropometria da mão disponível publicamente. A disponibilidade de dados brutos individuais (em vez de apenas tabelas sumárias) permitiu calcular o conjunto completo de 11 indicadores por dimensão (média, SD, mínimo, máximo, P5, P10, P25, P50, P75, P90, P95). Sete medições codificadas: comprimento da mão, largura da mão (metacarpal), circunferência da mão, comprimento da palma, circunferência do pulso, comprimento antebraço-ponta do dedo médio e comprimento antebraço-centro de preensão.</w:t>
      </w:r>
    </w:p>
    <w:p>
      <w:pPr>
        <w:pStyle w:val="Normal"/>
        <w:rPr/>
      </w:pPr>
      <w:r>
        <w:rPr>
          <w:b/>
        </w:rPr>
        <w:t>Nota:</w:t>
      </w:r>
      <w:r>
        <w:rPr/>
        <w:t xml:space="preserve"> A medição </w:t>
      </w:r>
      <w:r>
        <w:rPr>
          <w:rFonts w:ascii="Consolas" w:hAnsi="Consolas"/>
          <w:sz w:val="20"/>
        </w:rPr>
        <w:t>wristheight</w:t>
      </w:r>
      <w:r>
        <w:rPr/>
        <w:t xml:space="preserve"> foi excluída — corresponde à distância do chão ao pulso em posição de pé, uma dimensão postural e não uma medição da mão.</w:t>
      </w:r>
    </w:p>
    <w:p>
      <w:pPr>
        <w:pStyle w:val="Heading3"/>
        <w:rPr/>
      </w:pPr>
      <w:r>
        <w:rPr/>
      </w:r>
    </w:p>
    <w:p>
      <w:pPr>
        <w:pStyle w:val="Heading3"/>
        <w:rPr/>
      </w:pPr>
      <w:r>
        <w:rPr/>
        <w:t>A.5.11 Países Baixos — DINED (TU Delft, 1993–2004)</w:t>
      </w:r>
    </w:p>
    <w:p>
      <w:pPr>
        <w:pStyle w:val="Normal"/>
        <w:rPr>
          <w:b/>
        </w:rPr>
      </w:pPr>
      <w:r>
        <w:rPr>
          <w:b/>
        </w:rPr>
      </w:r>
    </w:p>
    <w:p>
      <w:pPr>
        <w:pStyle w:val="Normal"/>
        <w:rPr/>
      </w:pPr>
      <w:r>
        <w:rPr>
          <w:b/>
        </w:rPr>
        <w:t>Fonte:</w:t>
      </w:r>
      <w:r>
        <w:rPr/>
        <w:t xml:space="preserve"> Base de dados antropométrica do Delft Institute for Ergonomics and Design, acessível via conta institucional em dined.io.tudelft.nl. Três sub-datasets distintos, com dados de mão disponíveis:</w:t>
      </w:r>
    </w:p>
    <w:p>
      <w:pPr>
        <w:pStyle w:val="ListBullet"/>
        <w:rPr/>
      </w:pPr>
      <w:r>
        <w:rPr/>
        <w:t xml:space="preserve">- </w:t>
      </w:r>
      <w:r>
        <w:rPr>
          <w:b/>
        </w:rPr>
        <w:t>kima1993</w:t>
      </w:r>
      <w:r>
        <w:rPr/>
        <w:t>: crianças neerlandesas, idades 2–12 (grupos por ano), por sexo e combinado; 8 medições da mão por grupo etário.</w:t>
      </w:r>
    </w:p>
    <w:p>
      <w:pPr>
        <w:pStyle w:val="ListBullet"/>
        <w:rPr/>
      </w:pPr>
      <w:r>
        <w:rPr/>
        <w:t xml:space="preserve">- </w:t>
      </w:r>
      <w:r>
        <w:rPr>
          <w:b/>
        </w:rPr>
        <w:t>geron1998</w:t>
      </w:r>
      <w:r>
        <w:rPr/>
        <w:t>: idosos neerlandeses, idades 50–80+ (bandas de 5 anos), por sexo e combinado; 5 medições da mão.</w:t>
      </w:r>
    </w:p>
    <w:p>
      <w:pPr>
        <w:pStyle w:val="ListBullet"/>
        <w:rPr/>
      </w:pPr>
      <w:r>
        <w:rPr/>
        <w:t xml:space="preserve">- </w:t>
      </w:r>
      <w:r>
        <w:rPr>
          <w:b/>
        </w:rPr>
        <w:t>dined2004</w:t>
      </w:r>
      <w:r>
        <w:rPr/>
        <w:t>: adultos neerlandeses, grupos etários 20–30, 31–60, 60+, por sexo e combinado; 6–7 medições da mão.</w:t>
      </w:r>
    </w:p>
    <w:p>
      <w:pPr>
        <w:pStyle w:val="Normal"/>
        <w:rPr/>
      </w:pPr>
      <w:r>
        <w:rPr/>
        <w:t xml:space="preserve">Os dados foram extraídos a partir do HTML da interface web (padrões </w:t>
      </w:r>
      <w:r>
        <w:rPr>
          <w:rFonts w:ascii="Consolas" w:hAnsi="Consolas"/>
          <w:sz w:val="20"/>
        </w:rPr>
        <w:t>id="mean{col}</w:t>
      </w:r>
      <w:r>
        <w:rPr>
          <w:i/>
        </w:rPr>
        <w:t>{row}"</w:t>
      </w:r>
      <w:r>
        <w:rPr>
          <w:rFonts w:ascii="Consolas" w:hAnsi="Consolas"/>
          <w:sz w:val="20"/>
        </w:rPr>
        <w:t xml:space="preserve"> / </w:t>
      </w:r>
      <w:r>
        <w:rPr/>
        <w:t>id="sd{col}</w:t>
      </w:r>
      <w:r>
        <w:rPr>
          <w:i/>
        </w:rPr>
        <w:t>{row}"</w:t>
      </w:r>
      <w:r>
        <w:rPr>
          <w:rFonts w:ascii="Consolas" w:hAnsi="Consolas"/>
          <w:sz w:val="20"/>
        </w:rPr>
        <w:t>), mapeando índices de coluna para combinações (sub-dataset, sexo, grupo etário) e índices de linha para nomes de medição.</w:t>
      </w:r>
    </w:p>
    <w:p>
      <w:pPr>
        <w:pStyle w:val="Normal"/>
        <w:rPr/>
      </w:pPr>
      <w:r>
        <w:rPr>
          <w:b/>
        </w:rPr>
        <w:t>Decisão:</w:t>
      </w:r>
      <w:r>
        <w:rPr/>
        <w:t xml:space="preserve"> Inclusão total (três sub-datasets). Apenas média e desvio-padrão estão disponíveis; percentis não são fornecidos pela interface DINED. O grupo combinado 20–60 do dined2004 foi excluído por ser redundante relativamente aos grupos 20–30 e 31–60. Primeiro dataset pediátrico e o dataset de idosos mais granular da base de dados.</w:t>
      </w:r>
    </w:p>
    <w:p>
      <w:pPr>
        <w:pStyle w:val="Heading3"/>
        <w:rPr/>
      </w:pPr>
      <w:r>
        <w:rPr/>
      </w:r>
    </w:p>
    <w:p>
      <w:pPr>
        <w:pStyle w:val="Heading3"/>
        <w:rPr/>
      </w:pPr>
      <w:r>
        <w:rPr/>
        <w:t>A.5.12 China — idosos de Pequim (Hu et al., 2007)</w:t>
      </w:r>
    </w:p>
    <w:p>
      <w:pPr>
        <w:pStyle w:val="Normal"/>
        <w:rPr>
          <w:b/>
        </w:rPr>
      </w:pPr>
      <w:r>
        <w:rPr>
          <w:b/>
        </w:rPr>
      </w:r>
    </w:p>
    <w:p>
      <w:pPr>
        <w:pStyle w:val="Normal"/>
        <w:rPr/>
      </w:pPr>
      <w:r>
        <w:rPr>
          <w:b/>
        </w:rPr>
        <w:t>Fonte:</w:t>
      </w:r>
      <w:r>
        <w:rPr/>
        <w:t xml:space="preserve"> </w:t>
      </w:r>
      <w:r>
        <w:rPr>
          <w:i/>
        </w:rPr>
        <w:t>International Journal of Industrial Ergonomics</w:t>
      </w:r>
      <w:r>
        <w:rPr/>
        <w:t>, 37(4):303–311. DOI: 10.1016/j.ergon.2006.11.006. n=108 (58F, 50M), idade 65–85, residentes na área de Pequim, recrutados por conveniência entre reformados. Medições com paquímetro deslizante e paquímetro de pontas, segundo a norma chinesa GB/T 5703-1999 (equivalente à ISO 7250:1996). Tabela 1 (média e desvio-padrão) e Tabela 2 (P1, P5, P50, P95, P99).</w:t>
      </w:r>
    </w:p>
    <w:p>
      <w:pPr>
        <w:pStyle w:val="Normal"/>
        <w:rPr>
          <w:b/>
        </w:rPr>
      </w:pPr>
      <w:r>
        <w:rPr>
          <w:b/>
        </w:rPr>
      </w:r>
    </w:p>
    <w:p>
      <w:pPr>
        <w:pStyle w:val="Normal"/>
        <w:rPr/>
      </w:pPr>
      <w:r>
        <w:rPr>
          <w:b/>
        </w:rPr>
        <w:t>Decisão:</w:t>
      </w:r>
      <w:r>
        <w:rPr/>
        <w:t xml:space="preserve"> Inclusão parcial (cinco medições de mão/antebraço: largura da mão no metacarpal, largura máxima da mão, comprimento da mão, comprimento do dedo, comprimento antebraço-ponta dos dedos). P5, P50 e P95 codificados a partir da Tabela 2. A medição "Finger length" usa a designação do padrão GB/T 5703 sem especificar o dígito; assume-se o dedo médio, documentado em </w:t>
      </w:r>
      <w:r>
        <w:rPr>
          <w:rFonts w:ascii="Consolas" w:hAnsi="Consolas"/>
          <w:sz w:val="20"/>
        </w:rPr>
        <w:t>data</w:t>
      </w:r>
      <w:r>
        <w:rPr>
          <w:i/>
        </w:rPr>
        <w:t>quality</w:t>
      </w:r>
      <w:r>
        <w:rPr/>
        <w:t>note</w:t>
      </w:r>
      <w:r>
        <w:rPr>
          <w:rFonts w:ascii="Consolas" w:hAnsi="Consolas"/>
          <w:sz w:val="20"/>
        </w:rPr>
        <w:t>.</w:t>
      </w:r>
    </w:p>
    <w:p>
      <w:pPr>
        <w:pStyle w:val="Normal"/>
        <w:rPr>
          <w:b/>
        </w:rPr>
      </w:pPr>
      <w:r>
        <w:rPr>
          <w:b/>
        </w:rPr>
      </w:r>
    </w:p>
    <w:p>
      <w:pPr>
        <w:pStyle w:val="Normal"/>
        <w:rPr/>
      </w:pPr>
      <w:r>
        <w:rPr>
          <w:b/>
        </w:rPr>
        <w:t>Nota de cobertura:</w:t>
      </w:r>
      <w:r>
        <w:rPr/>
        <w:t xml:space="preserve"> Primeira fonte de dados de idosos chineses e, simultaneamente, a única fonte da Ásia Oriental na base de dados (após a verificação de que uma referência alternativa inicialmente identificada não era verificável).</w:t>
      </w:r>
    </w:p>
    <w:p>
      <w:pPr>
        <w:pStyle w:val="Heading3"/>
        <w:rPr/>
      </w:pPr>
      <w:r>
        <w:rPr/>
      </w:r>
    </w:p>
    <w:p>
      <w:pPr>
        <w:pStyle w:val="Heading3"/>
        <w:rPr/>
      </w:pPr>
      <w:r>
        <w:rPr/>
        <w:t>A.5.13 Estudo excluído: reconstrução corporal 3D a partir de fotografias ortogonais</w:t>
      </w:r>
    </w:p>
    <w:p>
      <w:pPr>
        <w:pStyle w:val="Normal"/>
        <w:rPr>
          <w:b/>
        </w:rPr>
      </w:pPr>
      <w:r>
        <w:rPr>
          <w:b/>
        </w:rPr>
      </w:r>
    </w:p>
    <w:p>
      <w:pPr>
        <w:pStyle w:val="Normal"/>
        <w:rPr/>
      </w:pPr>
      <w:r>
        <w:rPr>
          <w:b/>
        </w:rPr>
        <w:t>Fonte:</w:t>
      </w:r>
      <w:r>
        <w:rPr/>
        <w:t xml:space="preserve"> artigo metodológico sobre reconstrução de modelos corporais 3D a partir de fotografias ortogonais, publicado no </w:t>
      </w:r>
      <w:r>
        <w:rPr>
          <w:i/>
        </w:rPr>
        <w:t>International Journal of Industrial Ergonomics</w:t>
      </w:r>
      <w:r>
        <w:rPr/>
        <w:t>, usando deformação de forma livre (FFD).</w:t>
      </w:r>
    </w:p>
    <w:p>
      <w:pPr>
        <w:pStyle w:val="Normal"/>
        <w:rPr>
          <w:b/>
        </w:rPr>
      </w:pPr>
      <w:r>
        <w:rPr>
          <w:b/>
        </w:rPr>
      </w:r>
    </w:p>
    <w:p>
      <w:pPr>
        <w:pStyle w:val="Normal"/>
        <w:rPr/>
      </w:pPr>
      <w:r>
        <w:rPr>
          <w:b/>
        </w:rPr>
        <w:t>Decisão: excluído.</w:t>
      </w:r>
      <w:r>
        <w:rPr/>
        <w:t xml:space="preserve"> O artigo não é um estudo de antropometria populacional: apresenta um método de modelação e valida-o sobre um único sujeito. A figura de validação do artigo compara valores do modelo com valores do participante real para 22 dimensões — não constituindo estatística descritiva de uma amostra. Não há média, desvio-padrão nem percentis de uma população. Incluir o valor de comprimento de mão do sujeito de validação (17 cm, lido do gráfico) seria metodologicamente incorreto.</w:t>
      </w:r>
    </w:p>
    <w:p>
      <w:pPr>
        <w:pStyle w:val="Heading3"/>
        <w:rPr/>
      </w:pPr>
      <w:r>
        <w:rPr/>
      </w:r>
    </w:p>
    <w:p>
      <w:pPr>
        <w:pStyle w:val="Heading3"/>
        <w:rPr/>
      </w:pPr>
      <w:r>
        <w:rPr/>
        <w:t>A.6 Estrutura do CSV e Schema</w:t>
      </w:r>
    </w:p>
    <w:p>
      <w:pPr>
        <w:pStyle w:val="Heading3"/>
        <w:rPr/>
      </w:pPr>
      <w:r>
        <w:rPr/>
      </w:r>
    </w:p>
    <w:p>
      <w:pPr>
        <w:pStyle w:val="Heading3"/>
        <w:rPr/>
      </w:pPr>
      <w:r>
        <w:rPr/>
        <w:t>A.6.1 Campos</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Campo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Tipo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Descrição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document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Título abreviado do artigo ou relatório fonte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page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Página da tabela de origem no documento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citation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Citação completa em estilo APA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measurement</w:t>
            </w:r>
            <w:r>
              <w:rPr>
                <w:i/>
              </w:rPr>
              <w:t>name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Nome da dimensão, incluindo especificações de método quando relevante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body</w:t>
            </w:r>
            <w:r>
              <w:rPr>
                <w:i/>
              </w:rPr>
              <w:t>region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Região corporal (</w:t>
            </w:r>
            <w:r>
              <w:rPr>
                <w:rFonts w:ascii="Consolas" w:hAnsi="Consolas"/>
                <w:sz w:val="20"/>
              </w:rPr>
              <w:t>hand</w:t>
            </w:r>
            <w:r>
              <w:rPr/>
              <w:t xml:space="preserve">, </w:t>
            </w:r>
            <w:r>
              <w:rPr>
                <w:rFonts w:ascii="Consolas" w:hAnsi="Consolas"/>
                <w:sz w:val="20"/>
              </w:rPr>
              <w:t>forearm</w:t>
            </w:r>
            <w:r>
              <w:rPr/>
              <w:t xml:space="preserve">, </w:t>
            </w:r>
            <w:r>
              <w:rPr>
                <w:rFonts w:ascii="Consolas" w:hAnsi="Consolas"/>
                <w:sz w:val="20"/>
              </w:rPr>
              <w:t>upper</w:t>
            </w:r>
            <w:r>
              <w:rPr>
                <w:i/>
              </w:rPr>
              <w:t>arm</w:t>
            </w:r>
            <w:r>
              <w:rPr>
                <w:rFonts w:ascii="Consolas" w:hAnsi="Consolas"/>
                <w:sz w:val="20"/>
              </w:rPr>
              <w:t xml:space="preserve">, </w:t>
            </w:r>
            <w:r>
              <w:rPr/>
              <w:t>lower</w:t>
            </w:r>
            <w:r>
              <w:rPr>
                <w:i/>
              </w:rPr>
              <w:t>limb</w:t>
            </w:r>
            <w:r>
              <w:rPr>
                <w:rFonts w:ascii="Consolas" w:hAnsi="Consolas"/>
                <w:sz w:val="20"/>
              </w:rPr>
              <w:t xml:space="preserve">, </w:t>
            </w:r>
            <w:r>
              <w:rPr/>
              <w:t>torso</w:t>
            </w:r>
            <w:r>
              <w:rPr>
                <w:rFonts w:ascii="Consolas" w:hAnsi="Consolas"/>
                <w:sz w:val="20"/>
              </w:rPr>
              <w:t xml:space="preserve">, </w:t>
            </w:r>
            <w:r>
              <w:rPr/>
              <w:t>head</w:t>
            </w:r>
            <w:r>
              <w:rPr>
                <w:rFonts w:ascii="Consolas" w:hAnsi="Consolas"/>
                <w:sz w:val="20"/>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measurement</w:t>
            </w:r>
            <w:r>
              <w:rPr>
                <w:i/>
              </w:rPr>
              <w:t>method</w:t>
            </w:r>
            <w:r>
              <w:rPr/>
              <w:t>note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Instrumento, mão medida, posição e protocolo de medição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population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Descrição da população (e.g., "Young adults (age 18-30)")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country</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 de recolha dos dados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sex</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male</w:t>
            </w:r>
            <w:r>
              <w:rPr/>
              <w:t xml:space="preserve">, </w:t>
            </w:r>
            <w:r>
              <w:rPr>
                <w:rFonts w:ascii="Consolas" w:hAnsi="Consolas"/>
                <w:sz w:val="20"/>
              </w:rPr>
              <w:t>female</w:t>
            </w:r>
            <w:r>
              <w:rPr/>
              <w:t xml:space="preserve"> ou </w:t>
            </w:r>
            <w:r>
              <w:rPr>
                <w:rFonts w:ascii="Consolas" w:hAnsi="Consolas"/>
                <w:sz w:val="20"/>
              </w:rPr>
              <w:t>combined</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age</w:t>
            </w:r>
            <w:r>
              <w:rPr>
                <w:i/>
              </w:rPr>
              <w:t>group</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Intervalo etário da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sample</w:t>
            </w:r>
            <w:r>
              <w:rPr>
                <w:i/>
              </w:rPr>
              <w:t>size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Número de participantes na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stat</w:t>
            </w:r>
            <w:r>
              <w:rPr>
                <w:i/>
              </w:rPr>
              <w:t>type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 xml:space="preserve">Tipo de estatística: </w:t>
            </w:r>
            <w:r>
              <w:rPr>
                <w:rFonts w:ascii="Consolas" w:hAnsi="Consolas"/>
                <w:sz w:val="20"/>
              </w:rPr>
              <w:t>mean</w:t>
            </w:r>
            <w:r>
              <w:rPr/>
              <w:t xml:space="preserve">, </w:t>
            </w:r>
            <w:r>
              <w:rPr>
                <w:rFonts w:ascii="Consolas" w:hAnsi="Consolas"/>
                <w:sz w:val="20"/>
              </w:rPr>
              <w:t>std</w:t>
            </w:r>
            <w:r>
              <w:rPr>
                <w:i/>
              </w:rPr>
              <w:t>dev</w:t>
            </w:r>
            <w:r>
              <w:rPr>
                <w:rFonts w:ascii="Consolas" w:hAnsi="Consolas"/>
                <w:sz w:val="20"/>
              </w:rPr>
              <w:t xml:space="preserve">, </w:t>
            </w:r>
            <w:r>
              <w:rPr/>
              <w:t>percentile</w:t>
            </w:r>
            <w:r>
              <w:rPr>
                <w:rFonts w:ascii="Consolas" w:hAnsi="Consolas"/>
                <w:sz w:val="20"/>
              </w:rPr>
              <w:t xml:space="preserve">, </w:t>
            </w:r>
            <w:r>
              <w:rPr/>
              <w:t>min</w:t>
            </w:r>
            <w:r>
              <w:rPr>
                <w:rFonts w:ascii="Consolas" w:hAnsi="Consolas"/>
                <w:sz w:val="20"/>
              </w:rPr>
              <w:t xml:space="preserve">, </w:t>
            </w:r>
            <w:r>
              <w:rPr/>
              <w:t>max</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percentile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do percentil (5, 10, 25, 50, 75, 90, 95) — vazio se não aplicável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cm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centímetros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mm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milímetros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in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polegadas (calculado automaticamente)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data</w:t>
            </w:r>
            <w:r>
              <w:rPr>
                <w:i/>
              </w:rPr>
              <w:t>quality</w:t>
            </w:r>
            <w:r>
              <w:rPr/>
              <w:t>note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Notas sobre limitações, artefactos ou incertezas do valor</w:t>
            </w:r>
          </w:p>
        </w:tc>
      </w:tr>
    </w:tbl>
    <w:p>
      <w:pPr>
        <w:pStyle w:val="Heading3"/>
        <w:rPr/>
      </w:pPr>
      <w:r>
        <w:rPr/>
      </w:r>
    </w:p>
    <w:p>
      <w:pPr>
        <w:pStyle w:val="Heading3"/>
        <w:rPr/>
      </w:pPr>
      <w:r>
        <w:rPr/>
        <w:t>A.6.2 Formato longo (</w:t>
      </w:r>
      <w:r>
        <w:rPr>
          <w:i/>
        </w:rPr>
        <w:t>long format</w:t>
      </w:r>
      <w:r>
        <w:rPr/>
        <w:t>)</w:t>
      </w:r>
    </w:p>
    <w:p>
      <w:pPr>
        <w:pStyle w:val="Normal"/>
        <w:rPr/>
      </w:pPr>
      <w:r>
        <w:rPr/>
        <w:t xml:space="preserve">A opção pelo formato longo — uma linha por estatística, e não uma linha por dimensão com colunas </w:t>
      </w:r>
      <w:r>
        <w:rPr>
          <w:rFonts w:ascii="Consolas" w:hAnsi="Consolas"/>
          <w:sz w:val="20"/>
        </w:rPr>
        <w:t>mean</w:t>
      </w:r>
      <w:r>
        <w:rPr/>
        <w:t xml:space="preserve">, </w:t>
      </w:r>
      <w:r>
        <w:rPr>
          <w:rFonts w:ascii="Consolas" w:hAnsi="Consolas"/>
          <w:sz w:val="20"/>
        </w:rPr>
        <w:t>sd</w:t>
      </w:r>
      <w:r>
        <w:rPr/>
        <w:t xml:space="preserve">, </w:t>
      </w:r>
      <w:r>
        <w:rPr>
          <w:rFonts w:ascii="Consolas" w:hAnsi="Consolas"/>
          <w:sz w:val="20"/>
        </w:rPr>
        <w:t>p5</w:t>
      </w:r>
      <w:r>
        <w:rPr/>
        <w:t>, etc. — permite:</w:t>
      </w:r>
    </w:p>
    <w:p>
      <w:pPr>
        <w:pStyle w:val="ListBullet"/>
        <w:rPr/>
      </w:pPr>
      <w:r>
        <w:rPr/>
        <w:t>- Filtrar facilmente por tipo de estatística sem tratamento especial de colunas opcionais</w:t>
      </w:r>
    </w:p>
    <w:p>
      <w:pPr>
        <w:pStyle w:val="ListBullet"/>
        <w:rPr/>
      </w:pPr>
      <w:r>
        <w:rPr/>
        <w:t>- Incluir estudos que reportam apenas subconjuntos de estatísticas (e.g., apenas média, sem percentis) sem introduzir células vazias em colunas estruturais</w:t>
      </w:r>
    </w:p>
    <w:p>
      <w:pPr>
        <w:pStyle w:val="ListBullet"/>
        <w:rPr/>
      </w:pPr>
      <w:r>
        <w:rPr/>
        <w:t>- Acrescentar novos tipos de estatística (e.g., intervalo de confiança) sem alterar o schema</w:t>
      </w:r>
    </w:p>
    <w:p>
      <w:pPr>
        <w:pStyle w:val="Normal"/>
        <w:rPr/>
      </w:pPr>
      <w:r>
        <w:rPr/>
        <w:t>O custo é a repetição dos campos de identificação (país, sexo, dimensão) em cada linha — aceitável dado o volume total de dados (&lt; 5 MB).</w:t>
      </w:r>
    </w:p>
    <w:p>
      <w:pPr>
        <w:pStyle w:val="Heading3"/>
        <w:rPr/>
      </w:pPr>
      <w:r>
        <w:rPr/>
      </w:r>
    </w:p>
    <w:p>
      <w:pPr>
        <w:pStyle w:val="Heading3"/>
        <w:rPr/>
      </w:pPr>
      <w:r>
        <w:rPr/>
        <w:t>A.7 Controlo de Qualidade dos Dados</w:t>
      </w:r>
    </w:p>
    <w:p>
      <w:pPr>
        <w:pStyle w:val="Heading3"/>
        <w:rPr/>
      </w:pPr>
      <w:r>
        <w:rPr/>
      </w:r>
    </w:p>
    <w:p>
      <w:pPr>
        <w:pStyle w:val="Heading3"/>
        <w:rPr/>
      </w:pPr>
      <w:r>
        <w:rPr/>
        <w:t>A.7.1 Marcação inline de limitações</w:t>
      </w:r>
    </w:p>
    <w:p>
      <w:pPr>
        <w:pStyle w:val="Normal"/>
        <w:rPr/>
      </w:pPr>
      <w:r>
        <w:rPr/>
      </w:r>
    </w:p>
    <w:p>
      <w:pPr>
        <w:pStyle w:val="Normal"/>
        <w:rPr/>
      </w:pPr>
      <w:r>
        <w:rPr/>
        <w:t xml:space="preserve">O campo </w:t>
      </w:r>
      <w:r>
        <w:rPr>
          <w:rFonts w:ascii="Consolas" w:hAnsi="Consolas"/>
          <w:sz w:val="20"/>
        </w:rPr>
        <w:t>data</w:t>
      </w:r>
      <w:r>
        <w:rPr>
          <w:i/>
        </w:rPr>
        <w:t>quality</w:t>
      </w:r>
      <w:r>
        <w:rPr/>
        <w:t>note</w:t>
      </w:r>
      <w:r>
        <w:rPr>
          <w:rFonts w:ascii="Consolas" w:hAnsi="Consolas"/>
          <w:sz w:val="20"/>
        </w:rPr>
        <w:t xml:space="preserve"> é preenchido sempre que existe uma das seguintes situações:</w:t>
      </w:r>
    </w:p>
    <w:p>
      <w:pPr>
        <w:pStyle w:val="ListBullet"/>
        <w:rPr/>
      </w:pPr>
      <w:r>
        <w:rPr/>
        <w:t>- Valor extraído de uma figura (diagrama ou gráfico) em vez de uma tabela</w:t>
      </w:r>
    </w:p>
    <w:p>
      <w:pPr>
        <w:pStyle w:val="ListBullet"/>
        <w:rPr/>
      </w:pPr>
      <w:r>
        <w:rPr/>
        <w:t>- Subgrupo com n ≤ 10</w:t>
      </w:r>
    </w:p>
    <w:p>
      <w:pPr>
        <w:pStyle w:val="ListBullet"/>
        <w:rPr/>
      </w:pPr>
      <w:r>
        <w:rPr/>
        <w:t>- Desvio-padrão ausente ou atipicamente elevado</w:t>
      </w:r>
    </w:p>
    <w:p>
      <w:pPr>
        <w:pStyle w:val="ListBullet"/>
        <w:rPr/>
      </w:pPr>
      <w:r>
        <w:rPr/>
        <w:t>- Valor estimado a partir de estatísticas adjacentes por ilegibilidade da tabela</w:t>
      </w:r>
    </w:p>
    <w:p>
      <w:pPr>
        <w:pStyle w:val="ListBullet"/>
        <w:rPr/>
      </w:pPr>
      <w:r>
        <w:rPr/>
        <w:t>- Correlação fraca entre variáveis reportada pelo próprio estudo</w:t>
      </w:r>
    </w:p>
    <w:p>
      <w:pPr>
        <w:pStyle w:val="ListBullet"/>
        <w:rPr/>
      </w:pPr>
      <w:r>
        <w:rPr/>
        <w:t>- Inconsistência tipográfica no documento original, corrigida com nota</w:t>
      </w:r>
    </w:p>
    <w:p>
      <w:pPr>
        <w:pStyle w:val="Heading3"/>
        <w:rPr/>
      </w:pPr>
      <w:r>
        <w:rPr/>
      </w:r>
    </w:p>
    <w:p>
      <w:pPr>
        <w:pStyle w:val="Heading3"/>
        <w:rPr/>
      </w:pPr>
      <w:r>
        <w:rPr/>
        <w:t>A.7.2 Verificação de unidades</w:t>
      </w:r>
    </w:p>
    <w:p>
      <w:pPr>
        <w:pStyle w:val="Normal"/>
        <w:rPr/>
      </w:pPr>
      <w:r>
        <w:rPr/>
      </w:r>
    </w:p>
    <w:p>
      <w:pPr>
        <w:pStyle w:val="Normal"/>
        <w:rPr/>
      </w:pPr>
      <w:r>
        <w:rPr/>
        <w:t>Todos os valores foram verificados pela coerência de ordem de grandeza. Por exemplo, um comprimento de mão adulta reportado em cm deve situar-se entre 15 e 22 cm; qualquer valor fora deste intervalo foi relido no artigo original antes de ser codificado.</w:t>
      </w:r>
    </w:p>
    <w:p>
      <w:pPr>
        <w:pStyle w:val="Heading3"/>
        <w:rPr/>
      </w:pPr>
      <w:r>
        <w:rPr/>
      </w:r>
    </w:p>
    <w:p>
      <w:pPr>
        <w:pStyle w:val="Heading3"/>
        <w:rPr/>
      </w:pPr>
      <w:r>
        <w:rPr/>
        <w:t>A.7.3 Rastreabilidade total</w:t>
      </w:r>
    </w:p>
    <w:p>
      <w:pPr>
        <w:pStyle w:val="Normal"/>
        <w:rPr/>
      </w:pPr>
      <w:r>
        <w:rPr/>
      </w:r>
    </w:p>
    <w:p>
      <w:pPr>
        <w:pStyle w:val="Normal"/>
        <w:rPr/>
      </w:pPr>
      <w:r>
        <w:rPr/>
        <w:t>Cada linha do CSV contém a citação completa (</w:t>
      </w:r>
      <w:r>
        <w:rPr>
          <w:rFonts w:ascii="Consolas" w:hAnsi="Consolas"/>
          <w:sz w:val="20"/>
        </w:rPr>
        <w:t>source</w:t>
      </w:r>
      <w:r>
        <w:rPr>
          <w:i/>
        </w:rPr>
        <w:t>citation</w:t>
      </w:r>
      <w:r>
        <w:rPr>
          <w:rFonts w:ascii="Consolas" w:hAnsi="Consolas"/>
          <w:sz w:val="20"/>
        </w:rPr>
        <w:t>) e o número de página exato (</w:t>
      </w:r>
      <w:r>
        <w:rPr/>
        <w:t>source</w:t>
      </w:r>
      <w:r>
        <w:rPr>
          <w:i/>
        </w:rPr>
        <w:t>page</w:t>
      </w:r>
      <w:r>
        <w:rPr>
          <w:rFonts w:ascii="Consolas" w:hAnsi="Consolas"/>
          <w:sz w:val="20"/>
        </w:rPr>
        <w:t>), permitindo que qualquer valor seja verificado diretamente na fonte primária sem necessidade de metadados externos.</w:t>
      </w:r>
    </w:p>
    <w:p>
      <w:pPr>
        <w:pStyle w:val="Heading3"/>
        <w:rPr/>
      </w:pPr>
      <w:r>
        <w:rPr/>
      </w:r>
    </w:p>
    <w:p>
      <w:pPr>
        <w:pStyle w:val="Heading3"/>
        <w:rPr/>
      </w:pPr>
      <w:r>
        <w:rPr/>
        <w:t>A.8 Escrita do Código de Geração</w:t>
      </w:r>
    </w:p>
    <w:p>
      <w:pPr>
        <w:pStyle w:val="Normal"/>
        <w:rPr/>
      </w:pPr>
      <w:r>
        <w:rPr/>
        <w:t>Os dados foram codificados em dois scripts Python independentes:</w:t>
      </w:r>
    </w:p>
    <w:p>
      <w:pPr>
        <w:pStyle w:val="ListBullet"/>
        <w:rPr/>
      </w:pPr>
      <w:r>
        <w:rPr/>
        <w:t xml:space="preserve">- </w:t>
      </w:r>
      <w:r>
        <w:rPr>
          <w:rFonts w:ascii="Consolas" w:hAnsi="Consolas"/>
          <w:sz w:val="20"/>
        </w:rPr>
        <w:t>generate</w:t>
      </w:r>
      <w:r>
        <w:rPr>
          <w:i/>
        </w:rPr>
        <w:t>ansur</w:t>
      </w:r>
      <w:r>
        <w:rPr/>
        <w:t>csv.py</w:t>
      </w:r>
      <w:r>
        <w:rPr>
          <w:rFonts w:ascii="Consolas" w:hAnsi="Consolas"/>
          <w:sz w:val="20"/>
        </w:rPr>
        <w:t xml:space="preserve"> — gera </w:t>
      </w:r>
      <w:r>
        <w:rPr/>
        <w:t>ansur</w:t>
      </w:r>
      <w:r>
        <w:rPr>
          <w:i/>
        </w:rPr>
        <w:t>1988</w:t>
      </w:r>
      <w:r>
        <w:rPr/>
        <w:t>complete.csv</w:t>
      </w:r>
      <w:r>
        <w:rPr>
          <w:rFonts w:ascii="Consolas" w:hAnsi="Consolas"/>
          <w:sz w:val="20"/>
        </w:rPr>
        <w:t xml:space="preserve"> e </w:t>
      </w:r>
      <w:r>
        <w:rPr/>
        <w:t>ansur</w:t>
      </w:r>
      <w:r>
        <w:rPr>
          <w:i/>
        </w:rPr>
        <w:t>1988</w:t>
      </w:r>
      <w:r>
        <w:rPr/>
        <w:t>hand</w:t>
      </w:r>
      <w:r>
        <w:rPr>
          <w:i/>
        </w:rPr>
        <w:t>arm.csv</w:t>
      </w:r>
      <w:r>
        <w:rPr>
          <w:rFonts w:ascii="Consolas" w:hAnsi="Consolas"/>
          <w:sz w:val="20"/>
        </w:rPr>
        <w:t xml:space="preserve"> a partir de dicionários Python embutidos no script, um por tabela do relatório ANSUR</w:t>
      </w:r>
    </w:p>
    <w:p>
      <w:pPr>
        <w:pStyle w:val="ListBullet"/>
        <w:rPr/>
      </w:pPr>
      <w:r>
        <w:rPr/>
        <w:t xml:space="preserve">- </w:t>
      </w:r>
      <w:r>
        <w:rPr>
          <w:rFonts w:ascii="Consolas" w:hAnsi="Consolas"/>
          <w:sz w:val="20"/>
        </w:rPr>
        <w:t>generate</w:t>
      </w:r>
      <w:r>
        <w:rPr>
          <w:i/>
        </w:rPr>
        <w:t>multi</w:t>
      </w:r>
      <w:r>
        <w:rPr/>
        <w:t>population</w:t>
      </w:r>
      <w:r>
        <w:rPr>
          <w:i/>
        </w:rPr>
        <w:t>hand</w:t>
      </w:r>
      <w:r>
        <w:rPr/>
        <w:t>csv.py</w:t>
      </w:r>
      <w:r>
        <w:rPr>
          <w:rFonts w:ascii="Consolas" w:hAnsi="Consolas"/>
          <w:sz w:val="20"/>
        </w:rPr>
        <w:t xml:space="preserve"> — gera </w:t>
      </w:r>
      <w:r>
        <w:rPr/>
        <w:t>multi</w:t>
      </w:r>
      <w:r>
        <w:rPr>
          <w:i/>
        </w:rPr>
        <w:t>population</w:t>
      </w:r>
      <w:r>
        <w:rPr/>
        <w:t>hand.csv</w:t>
      </w:r>
      <w:r>
        <w:rPr>
          <w:rFonts w:ascii="Consolas" w:hAnsi="Consolas"/>
          <w:sz w:val="20"/>
        </w:rPr>
        <w:t xml:space="preserve"> a partir de dez secções numeradas, cada uma correspondente a um estudo ou conjunto de datasets</w:t>
      </w:r>
    </w:p>
    <w:p>
      <w:pPr>
        <w:pStyle w:val="Normal"/>
        <w:rPr/>
      </w:pPr>
      <w:r>
        <w:rPr/>
        <w:t>A escolha de embeber os dados diretamente no código (em vez de, por exemplo, folhas de cálculo intermédias) serve três propósitos: (1) rastreabilidade — cada valor está imediatamente adjacente à sua citação e nota de método; (2) reprodutibilidade — executar o script regenera o CSV de forma determinista; (3) controlo de versão — alterações aos dados são visíveis em diff de git, com o contexto de que estudo foi modificado.</w:t>
      </w:r>
    </w:p>
    <w:p>
      <w:pPr>
        <w:pStyle w:val="Normal"/>
        <w:rPr/>
      </w:pPr>
      <w:r>
        <w:rPr/>
        <w:t xml:space="preserve">O script aplica automaticamente as conversões de unidade, calcula </w:t>
      </w:r>
      <w:r>
        <w:rPr>
          <w:rFonts w:ascii="Consolas" w:hAnsi="Consolas"/>
          <w:sz w:val="20"/>
        </w:rPr>
        <w:t>value</w:t>
      </w:r>
      <w:r>
        <w:rPr>
          <w:i/>
        </w:rPr>
        <w:t>in</w:t>
      </w:r>
      <w:r>
        <w:rPr>
          <w:rFonts w:ascii="Consolas" w:hAnsi="Consolas"/>
          <w:sz w:val="20"/>
        </w:rPr>
        <w:t xml:space="preserve"> a partir de </w:t>
      </w:r>
      <w:r>
        <w:rPr/>
        <w:t>value</w:t>
      </w:r>
      <w:r>
        <w:rPr>
          <w:i/>
        </w:rPr>
        <w:t>cm</w:t>
      </w:r>
      <w:r>
        <w:rPr>
          <w:rFonts w:ascii="Consolas" w:hAnsi="Consolas"/>
          <w:sz w:val="20"/>
        </w:rPr>
        <w:t xml:space="preserve">, e valida que nenhuma linha é emitida sem pelo menos uma das colunas </w:t>
      </w:r>
      <w:r>
        <w:rPr/>
        <w:t>value</w:t>
      </w:r>
      <w:r>
        <w:rPr>
          <w:i/>
        </w:rPr>
        <w:t>mm</w:t>
      </w:r>
      <w:r>
        <w:rPr>
          <w:rFonts w:ascii="Consolas" w:hAnsi="Consolas"/>
          <w:sz w:val="20"/>
        </w:rPr>
        <w:t xml:space="preserve"> ou </w:t>
      </w:r>
      <w:r>
        <w:rPr/>
        <w:t>value</w:t>
      </w:r>
      <w:r>
        <w:rPr>
          <w:i/>
        </w:rPr>
        <w:t>cm</w:t>
      </w:r>
      <w:r>
        <w:rPr>
          <w:rFonts w:ascii="Consolas" w:hAnsi="Consolas"/>
          <w:sz w:val="20"/>
        </w:rPr>
        <w:t xml:space="preserve"> preenchida.</w:t>
      </w:r>
    </w:p>
    <w:p>
      <w:pPr>
        <w:pStyle w:val="Heading3"/>
        <w:rPr/>
      </w:pPr>
      <w:r>
        <w:rPr/>
      </w:r>
    </w:p>
    <w:p>
      <w:pPr>
        <w:pStyle w:val="Heading3"/>
        <w:rPr/>
      </w:pPr>
      <w:r>
        <w:rPr/>
        <w:t>A.9 Resultado Final</w:t>
      </w:r>
    </w:p>
    <w:tbl>
      <w:tblPr>
        <w:tblW w:w="5000" w:type="pct"/>
        <w:jc w:val="left"/>
        <w:tblInd w:w="108" w:type="dxa"/>
        <w:tblLayout w:type="fixed"/>
        <w:tblCellMar>
          <w:top w:w="0" w:type="dxa"/>
          <w:left w:w="108" w:type="dxa"/>
          <w:bottom w:w="0" w:type="dxa"/>
          <w:right w:w="108" w:type="dxa"/>
        </w:tblCellMar>
      </w:tblPr>
      <w:tblGrid>
        <w:gridCol w:w="1805"/>
        <w:gridCol w:w="1805"/>
        <w:gridCol w:w="1802"/>
        <w:gridCol w:w="1806"/>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Ficheiro</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Linhas (dados)</w:t>
            </w:r>
          </w:p>
        </w:tc>
        <w:tc>
          <w:tcPr>
            <w:tcW w:w="1802" w:type="dxa"/>
            <w:tcBorders>
              <w:top w:val="single" w:sz="4" w:space="0" w:color="808080"/>
              <w:left w:val="single" w:sz="4" w:space="0" w:color="808080"/>
              <w:bottom w:val="single" w:sz="4" w:space="0" w:color="808080"/>
              <w:right w:val="single" w:sz="4" w:space="0" w:color="808080"/>
            </w:tcBorders>
          </w:tcPr>
          <w:p>
            <w:pPr>
              <w:pStyle w:val="Normal"/>
              <w:rPr/>
            </w:pPr>
            <w:r>
              <w:rPr/>
              <w:t>Países</w:t>
            </w:r>
          </w:p>
        </w:tc>
        <w:tc>
          <w:tcPr>
            <w:tcW w:w="1806" w:type="dxa"/>
            <w:tcBorders>
              <w:top w:val="single" w:sz="4" w:space="0" w:color="808080"/>
              <w:left w:val="single" w:sz="4" w:space="0" w:color="808080"/>
              <w:bottom w:val="single" w:sz="4" w:space="0" w:color="808080"/>
              <w:right w:val="single" w:sz="4" w:space="0" w:color="808080"/>
            </w:tcBorders>
          </w:tcPr>
          <w:p>
            <w:pPr>
              <w:pStyle w:val="Normal"/>
              <w:rPr/>
            </w:pPr>
            <w:r>
              <w:rPr/>
              <w:t>Estudos</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Dimensões distintas</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ansur</w:t>
            </w:r>
            <w:r>
              <w:rPr>
                <w:i/>
              </w:rPr>
              <w:t>1988</w:t>
            </w:r>
            <w:r>
              <w:rPr/>
              <w:t>complete.csv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2.726</w:t>
            </w:r>
          </w:p>
        </w:tc>
        <w:tc>
          <w:tcPr>
            <w:tcW w:w="1802" w:type="dxa"/>
            <w:tcBorders>
              <w:top w:val="single" w:sz="4" w:space="0" w:color="808080"/>
              <w:left w:val="single" w:sz="4" w:space="0" w:color="808080"/>
              <w:bottom w:val="single" w:sz="4" w:space="0" w:color="808080"/>
              <w:right w:val="single" w:sz="4" w:space="0" w:color="808080"/>
            </w:tcBorders>
          </w:tcPr>
          <w:p>
            <w:pPr>
              <w:pStyle w:val="Normal"/>
              <w:rPr/>
            </w:pPr>
            <w:r>
              <w:rPr/>
              <w:t>1 (EUA)</w:t>
            </w:r>
          </w:p>
        </w:tc>
        <w:tc>
          <w:tcPr>
            <w:tcW w:w="1806" w:type="dxa"/>
            <w:tcBorders>
              <w:top w:val="single" w:sz="4" w:space="0" w:color="808080"/>
              <w:left w:val="single" w:sz="4" w:space="0" w:color="808080"/>
              <w:bottom w:val="single" w:sz="4" w:space="0" w:color="808080"/>
              <w:right w:val="single" w:sz="4" w:space="0" w:color="808080"/>
            </w:tcBorders>
          </w:tcPr>
          <w:p>
            <w:pPr>
              <w:pStyle w:val="Normal"/>
              <w:rPr/>
            </w:pPr>
            <w:r>
              <w:rPr/>
              <w:t>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47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ansur</w:t>
            </w:r>
            <w:r>
              <w:rPr>
                <w:i/>
              </w:rPr>
              <w:t>1988</w:t>
            </w:r>
            <w:r>
              <w:rPr/>
              <w:t>hand</w:t>
            </w:r>
            <w:r>
              <w:rPr>
                <w:i/>
              </w:rPr>
              <w:t>arm.csv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696</w:t>
            </w:r>
          </w:p>
        </w:tc>
        <w:tc>
          <w:tcPr>
            <w:tcW w:w="1802" w:type="dxa"/>
            <w:tcBorders>
              <w:top w:val="single" w:sz="4" w:space="0" w:color="808080"/>
              <w:left w:val="single" w:sz="4" w:space="0" w:color="808080"/>
              <w:bottom w:val="single" w:sz="4" w:space="0" w:color="808080"/>
              <w:right w:val="single" w:sz="4" w:space="0" w:color="808080"/>
            </w:tcBorders>
          </w:tcPr>
          <w:p>
            <w:pPr>
              <w:pStyle w:val="Normal"/>
              <w:rPr/>
            </w:pPr>
            <w:r>
              <w:rPr/>
              <w:t>1 (EUA)</w:t>
            </w:r>
          </w:p>
        </w:tc>
        <w:tc>
          <w:tcPr>
            <w:tcW w:w="1806" w:type="dxa"/>
            <w:tcBorders>
              <w:top w:val="single" w:sz="4" w:space="0" w:color="808080"/>
              <w:left w:val="single" w:sz="4" w:space="0" w:color="808080"/>
              <w:bottom w:val="single" w:sz="4" w:space="0" w:color="808080"/>
              <w:right w:val="single" w:sz="4" w:space="0" w:color="808080"/>
            </w:tcBorders>
          </w:tcPr>
          <w:p>
            <w:pPr>
              <w:pStyle w:val="Normal"/>
              <w:rPr/>
            </w:pPr>
            <w:r>
              <w:rPr/>
              <w:t>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17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multi</w:t>
            </w:r>
            <w:r>
              <w:rPr>
                <w:i/>
              </w:rPr>
              <w:t>population</w:t>
            </w:r>
            <w:r>
              <w:rPr/>
              <w:t>hand.csv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1.790</w:t>
            </w:r>
          </w:p>
        </w:tc>
        <w:tc>
          <w:tcPr>
            <w:tcW w:w="1802" w:type="dxa"/>
            <w:tcBorders>
              <w:top w:val="single" w:sz="4" w:space="0" w:color="808080"/>
              <w:left w:val="single" w:sz="4" w:space="0" w:color="808080"/>
              <w:bottom w:val="single" w:sz="4" w:space="0" w:color="808080"/>
              <w:right w:val="single" w:sz="4" w:space="0" w:color="808080"/>
            </w:tcBorders>
          </w:tcPr>
          <w:p>
            <w:pPr>
              <w:pStyle w:val="Normal"/>
              <w:rPr/>
            </w:pPr>
            <w:r>
              <w:rPr/>
              <w:t>9</w:t>
            </w:r>
          </w:p>
        </w:tc>
        <w:tc>
          <w:tcPr>
            <w:tcW w:w="1806" w:type="dxa"/>
            <w:tcBorders>
              <w:top w:val="single" w:sz="4" w:space="0" w:color="808080"/>
              <w:left w:val="single" w:sz="4" w:space="0" w:color="808080"/>
              <w:bottom w:val="single" w:sz="4" w:space="0" w:color="808080"/>
              <w:right w:val="single" w:sz="4" w:space="0" w:color="808080"/>
            </w:tcBorders>
          </w:tcPr>
          <w:p>
            <w:pPr>
              <w:pStyle w:val="Normal"/>
              <w:rPr/>
            </w:pPr>
            <w:r>
              <w:rPr/>
              <w:t>11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~85</w:t>
            </w:r>
          </w:p>
        </w:tc>
      </w:tr>
    </w:tbl>
    <w:p>
      <w:pPr>
        <w:pStyle w:val="Normal"/>
        <w:rPr/>
      </w:pPr>
      <w:r>
        <w:rPr/>
      </w:r>
    </w:p>
    <w:p>
      <w:pPr>
        <w:pStyle w:val="Normal"/>
        <w:rPr/>
      </w:pPr>
      <w:r>
        <w:rPr/>
        <w:t xml:space="preserve">O ficheiro </w:t>
      </w:r>
      <w:r>
        <w:rPr>
          <w:rFonts w:ascii="Consolas" w:hAnsi="Consolas"/>
          <w:sz w:val="20"/>
        </w:rPr>
        <w:t>multi</w:t>
      </w:r>
      <w:r>
        <w:rPr>
          <w:i/>
        </w:rPr>
        <w:t>population</w:t>
      </w:r>
      <w:r>
        <w:rPr/>
        <w:t>hand.csv</w:t>
      </w:r>
      <w:r>
        <w:rPr>
          <w:rFonts w:ascii="Consolas" w:hAnsi="Consolas"/>
          <w:sz w:val="20"/>
        </w:rPr>
        <w:t xml:space="preserve"> cobre nove países (EUA, Países Baixos, Turquia, México, Índia, Portugal, Nigéria, Jordânia, China), ambos os sexos e grupos combinados, grupos etários desde os 2 até aos 80+ anos, e populações tão diversas como crianças em idade escolar, idosos, atletas universitários, trabalhadores industriais, trabalhadoras informais e militares.</w:t>
      </w:r>
    </w:p>
    <w:p>
      <w:pPr>
        <w:pStyle w:val="Heading3"/>
        <w:rPr/>
      </w:pPr>
      <w:r>
        <w:rPr/>
      </w:r>
    </w:p>
    <w:p>
      <w:pPr>
        <w:pStyle w:val="Heading3"/>
        <w:rPr/>
      </w:pPr>
      <w:r>
        <w:rPr/>
        <w:t>A.10 Cobertura Global da Base de Dados e Lacunas</w:t>
      </w:r>
    </w:p>
    <w:p>
      <w:pPr>
        <w:pStyle w:val="Heading3"/>
        <w:rPr/>
      </w:pPr>
      <w:r>
        <w:rPr/>
      </w:r>
    </w:p>
    <w:p>
      <w:pPr>
        <w:pStyle w:val="Heading3"/>
        <w:rPr/>
      </w:pPr>
      <w:r>
        <w:rPr/>
        <w:t>A.10.1 O que está coberto</w:t>
      </w:r>
    </w:p>
    <w:p>
      <w:pPr>
        <w:pStyle w:val="Normal"/>
        <w:rPr/>
      </w:pPr>
      <w:r>
        <w:rPr/>
      </w:r>
    </w:p>
    <w:p>
      <w:pPr>
        <w:pStyle w:val="Normal"/>
        <w:rPr/>
      </w:pPr>
      <w:r>
        <w:rPr/>
        <w:t xml:space="preserve">A base de dados </w:t>
      </w:r>
      <w:r>
        <w:rPr>
          <w:rFonts w:ascii="Consolas" w:hAnsi="Consolas"/>
          <w:sz w:val="20"/>
        </w:rPr>
        <w:t>multi</w:t>
      </w:r>
      <w:r>
        <w:rPr>
          <w:i/>
        </w:rPr>
        <w:t>population</w:t>
      </w:r>
      <w:r>
        <w:rPr/>
        <w:t>hand.csv</w:t>
      </w:r>
      <w:r>
        <w:rPr>
          <w:rFonts w:ascii="Consolas" w:hAnsi="Consolas"/>
          <w:sz w:val="20"/>
        </w:rPr>
        <w:t xml:space="preserve"> foi construída com o objetivo de representar a variabilidade antropométrica da mão humana em múltiplas dimensões: geográfica, demográfica, etária e estatística. A tabela seguinte sintetiza a cobertura atual.</w:t>
      </w:r>
    </w:p>
    <w:p>
      <w:pPr>
        <w:pStyle w:val="Heading3"/>
        <w:rPr/>
      </w:pPr>
      <w:r>
        <w:rPr/>
      </w:r>
    </w:p>
    <w:p>
      <w:pPr>
        <w:pStyle w:val="Heading3"/>
        <w:rPr/>
      </w:pPr>
      <w:r>
        <w:rPr/>
        <w:t>A.10.1.1 Cobertura geográfica</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Região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representados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Europa Ocidental</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Portugal, 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Anacleto Filho et al. (2023); DINED kima1993, geron1998, dined2004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América do Norte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ANSUR 1988, ANSUR II 2012, Lim et al. (2018)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América Latina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Médio Oriente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Jordânia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África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Nigéria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Sul da Ásia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Índia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Nag et al. (2003)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Ásia Oriental</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China (Pequim)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Hu et al. (2007)</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Europa do Sul / Ásia Menor</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Turquia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Chatzioglou et al. (2024)</w:t>
            </w:r>
          </w:p>
        </w:tc>
      </w:tr>
    </w:tbl>
    <w:p>
      <w:pPr>
        <w:pStyle w:val="Normal"/>
        <w:rPr/>
      </w:pPr>
      <w:r>
        <w:rPr/>
      </w:r>
    </w:p>
    <w:p>
      <w:pPr>
        <w:pStyle w:val="Normal"/>
        <w:rPr/>
      </w:pPr>
      <w:r>
        <w:rPr/>
        <w:t>Nove países estão representados, distribuídos por sete regiões do mundo. A cobertura é particularmente densa nos EUA (três fontes independentes) e nos Países Baixos (três sub-datasets DINED).</w:t>
      </w:r>
    </w:p>
    <w:p>
      <w:pPr>
        <w:pStyle w:val="Heading3"/>
        <w:rPr/>
      </w:pPr>
      <w:r>
        <w:rPr/>
      </w:r>
    </w:p>
    <w:p>
      <w:pPr>
        <w:pStyle w:val="Heading3"/>
        <w:rPr/>
      </w:pPr>
      <w:r>
        <w:rPr/>
        <w:t>A.10.1.2 Cobertura etária</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Faixa etária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Cobertura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2–12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kima1993 (por ano de idade)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15–19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 subgrupo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18–30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 Turquia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Lim et al. (2018); Chatzioglou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17–58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ANSUR II 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15–59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 8 grupos etários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19–30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Nigéria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20–40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Jordânia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20–60+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dined2004 (3 grupos)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50–80+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geron1998 (7 grupos de 5 anos)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65–85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China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Hu et al. (2007)</w:t>
            </w:r>
          </w:p>
        </w:tc>
      </w:tr>
    </w:tbl>
    <w:p>
      <w:pPr>
        <w:pStyle w:val="Normal"/>
        <w:rPr/>
      </w:pPr>
      <w:r>
        <w:rPr/>
      </w:r>
    </w:p>
    <w:p>
      <w:pPr>
        <w:pStyle w:val="Normal"/>
        <w:rPr/>
      </w:pPr>
      <w:r>
        <w:rPr/>
        <w:t>A cobertura pediátrica (2–12 anos) existe apenas para os Países Baixos. A adolescência (13–17 anos) está ausente como grupo dedicado — o subgrupo mexicano 15–19 é o mais próximo, mas cobre uma faixa mais alargada. A idade adulta ativa (20–60) está bem coberta em múltiplos países. Os idosos estão representados nos Países Baixos (50–80+) e na China (65–85), mas não noutras geografias.</w:t>
      </w:r>
    </w:p>
    <w:p>
      <w:pPr>
        <w:pStyle w:val="Heading3"/>
        <w:rPr/>
      </w:pPr>
      <w:r>
        <w:rPr/>
      </w:r>
    </w:p>
    <w:p>
      <w:pPr>
        <w:pStyle w:val="Heading3"/>
        <w:rPr/>
      </w:pPr>
      <w:r>
        <w:rPr/>
        <w:t>A.10.1.3 Cobertura estatística</w:t>
      </w:r>
    </w:p>
    <w:p>
      <w:pPr>
        <w:pStyle w:val="Normal"/>
        <w:rPr/>
      </w:pPr>
      <w:r>
        <w:rPr/>
      </w:r>
    </w:p>
    <w:p>
      <w:pPr>
        <w:pStyle w:val="Normal"/>
        <w:rPr/>
      </w:pPr>
      <w:r>
        <w:rPr/>
        <w:t>A profundidade estatística varia consideravelmente entre fontes:</w:t>
      </w:r>
    </w:p>
    <w:p>
      <w:pPr>
        <w:pStyle w:val="Normal"/>
        <w:rPr/>
      </w:pPr>
      <w:r>
        <w:rPr/>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Nível de detalhe</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Estudos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min, max, P5–P95 (11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ANSUR 1988, ANSUR II 2012</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P5, P50, P95 (5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DINED (3 sub-datasets), Hu et al. (2007)</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P5, P50, P95 (3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Nag et al. (2003), Anacleto Filho et al. (2023), Rodríguez-Vega et al. (2024)</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min, max (4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Chatzioglou et al. (2024), Ibiwari et al. (2025)</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apenas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Mistarihi (2020) — largura da mão; Lim et al. (2018)</w:t>
            </w:r>
          </w:p>
        </w:tc>
      </w:tr>
    </w:tbl>
    <w:p>
      <w:pPr>
        <w:pStyle w:val="Normal"/>
        <w:rPr/>
      </w:pPr>
      <w:r>
        <w:rPr/>
      </w:r>
    </w:p>
    <w:p>
      <w:pPr>
        <w:pStyle w:val="Normal"/>
        <w:rPr/>
      </w:pPr>
      <w:r>
        <w:rPr/>
        <w:t>A maioria das fontes não-americanas fornece apenas subconjuntos de estatísticas. Percentis intermédios (P10, P25, P75, P90) estão disponíveis exclusivamente nos datasets ANSUR. Esta assimetria é uma limitação real: para populações não-americanas, o modelo paramétrico pode interpolar entre P5 e P95, mas não dispõe de percentis de granularidade fina.</w:t>
      </w:r>
    </w:p>
    <w:p>
      <w:pPr>
        <w:pStyle w:val="Heading3"/>
        <w:rPr/>
      </w:pPr>
      <w:r>
        <w:rPr/>
      </w:r>
    </w:p>
    <w:p>
      <w:pPr>
        <w:pStyle w:val="Heading3"/>
        <w:rPr/>
      </w:pPr>
      <w:r>
        <w:rPr/>
        <w:t>A.10.2 Onde a cobertura falha</w:t>
      </w:r>
    </w:p>
    <w:p>
      <w:pPr>
        <w:pStyle w:val="Heading3"/>
        <w:rPr/>
      </w:pPr>
      <w:r>
        <w:rPr/>
      </w:r>
    </w:p>
    <w:p>
      <w:pPr>
        <w:pStyle w:val="Heading3"/>
        <w:rPr/>
      </w:pPr>
      <w:r>
        <w:rPr/>
        <w:t>A.10.2.1 Lacunas geográficas</w:t>
      </w:r>
    </w:p>
    <w:p>
      <w:pPr>
        <w:pStyle w:val="Heading3"/>
        <w:rPr/>
      </w:pPr>
      <w:r>
        <w:rPr/>
      </w:r>
    </w:p>
    <w:p>
      <w:pPr>
        <w:pStyle w:val="Normal"/>
        <w:rPr/>
      </w:pPr>
      <w:r>
        <w:rPr/>
        <w:t>As regiões mais populosas do mundo estão sub-representadas ou ausentes:</w:t>
      </w:r>
    </w:p>
    <w:p>
      <w:pPr>
        <w:pStyle w:val="ListBullet"/>
        <w:rPr/>
      </w:pPr>
      <w:r>
        <w:rPr/>
        <w:t xml:space="preserve">- </w:t>
      </w:r>
      <w:r>
        <w:rPr>
          <w:b/>
        </w:rPr>
        <w:t>Ásia Oriental</w:t>
      </w:r>
      <w:r>
        <w:rPr/>
        <w:t xml:space="preserve"> — China tem uma única fonte (n=108, apenas idosos de Pequim). Japão e Coreia do Sul estão completamente ausentes, apesar de serem países com literatura ergonómica ativa. O conjunto ANSUR é amplamente usado como proxy para populações ocidentais, mas os valores diferem sistematicamente das populações do leste asiático (mãos tendencialmente mais pequenas nos estudos disponíveis).</w:t>
      </w:r>
    </w:p>
    <w:p>
      <w:pPr>
        <w:pStyle w:val="ListBullet"/>
        <w:rPr/>
      </w:pPr>
      <w:r>
        <w:rPr/>
        <w:t xml:space="preserve">- </w:t>
      </w:r>
      <w:r>
        <w:rPr>
          <w:b/>
        </w:rPr>
        <w:t>Ásia do Sudeste</w:t>
      </w:r>
      <w:r>
        <w:rPr/>
        <w:t xml:space="preserve"> — Nenhum país representado (Indonésia, Filipinas, Vietname, Tailândia, etc.), apesar de concentrarem uma fração significativa da população mundial e de apresentarem diferenças antropométricas documentadas relativamente às populações sul-asiáticas.</w:t>
      </w:r>
    </w:p>
    <w:p>
      <w:pPr>
        <w:pStyle w:val="ListBullet"/>
        <w:rPr/>
      </w:pPr>
      <w:r>
        <w:rPr/>
        <w:t xml:space="preserve">- </w:t>
      </w:r>
      <w:r>
        <w:rPr>
          <w:b/>
        </w:rPr>
        <w:t>África Subsaariana</w:t>
      </w:r>
      <w:r>
        <w:rPr/>
        <w:t xml:space="preserve"> — Apenas a Nigéria, com uma amostra de atletas universitários (n=80) que não é representativa da população geral. Angola, Moçambique, e outros países de língua portuguesa estão ausentes, o que é particularmente relevante numa tese desenvolvida em Portugal.</w:t>
      </w:r>
    </w:p>
    <w:p>
      <w:pPr>
        <w:pStyle w:val="ListBullet"/>
        <w:rPr/>
      </w:pPr>
      <w:r>
        <w:rPr/>
        <w:t xml:space="preserve">- </w:t>
      </w:r>
      <w:r>
        <w:rPr>
          <w:b/>
        </w:rPr>
        <w:t>América do Sul</w:t>
      </w:r>
      <w:r>
        <w:rPr/>
        <w:t xml:space="preserve"> — Completamente ausente. Brasil, Colômbia e Argentina têm literatura ergonómica publicada mas não foram identificadas fontes acessíveis com dados de mão codificáveis.</w:t>
      </w:r>
    </w:p>
    <w:p>
      <w:pPr>
        <w:pStyle w:val="ListBullet"/>
        <w:rPr/>
      </w:pPr>
      <w:r>
        <w:rPr/>
        <w:t xml:space="preserve">- </w:t>
      </w:r>
      <w:r>
        <w:rPr>
          <w:b/>
        </w:rPr>
        <w:t>Europa Central e de Leste</w:t>
      </w:r>
      <w:r>
        <w:rPr/>
        <w:t xml:space="preserve"> — Ausente. Os Países Baixos e Portugal representam a Europa, mas há variabilidade antropométrica documentada entre populações do norte, sul e leste do continente.</w:t>
      </w:r>
    </w:p>
    <w:p>
      <w:pPr>
        <w:pStyle w:val="Heading3"/>
        <w:rPr/>
      </w:pPr>
      <w:r>
        <w:rPr/>
      </w:r>
    </w:p>
    <w:p>
      <w:pPr>
        <w:pStyle w:val="Heading3"/>
        <w:rPr/>
      </w:pPr>
      <w:r>
        <w:rPr/>
        <w:t>A.10.2.2 Lacunas demográficas</w:t>
      </w:r>
    </w:p>
    <w:p>
      <w:pPr>
        <w:pStyle w:val="Heading3"/>
        <w:rPr/>
      </w:pPr>
      <w:r>
        <w:rPr/>
      </w:r>
    </w:p>
    <w:p>
      <w:pPr>
        <w:pStyle w:val="ListBullet"/>
        <w:rPr/>
      </w:pPr>
      <w:r>
        <w:rPr/>
        <w:t xml:space="preserve">- </w:t>
      </w:r>
      <w:r>
        <w:rPr>
          <w:b/>
        </w:rPr>
        <w:t>Adolescentes (13–17 anos)</w:t>
      </w:r>
      <w:r>
        <w:rPr/>
        <w:t xml:space="preserve"> — a transição da mão infantil para a adulta não está coberta por nenhum estudo dedicado. O kima1993 chega aos 12 anos e o ANSUR começa aos 17.</w:t>
      </w:r>
    </w:p>
    <w:p>
      <w:pPr>
        <w:pStyle w:val="ListBullet"/>
        <w:rPr/>
      </w:pPr>
      <w:r>
        <w:rPr/>
        <w:t xml:space="preserve">- </w:t>
      </w:r>
      <w:r>
        <w:rPr>
          <w:b/>
        </w:rPr>
        <w:t>Amputados</w:t>
      </w:r>
      <w:r>
        <w:rPr/>
        <w:t xml:space="preserve"> — a mão de referência para uma prótese unilateral é a mão contralateral intacta do próprio utilizador. Não foi identificado nenhum estudo com estatística descritiva da mão intacta de utilizadores de próteses. Esta é a lacuna de maior impacto direto para o objetivo desta tese: sem estes dados, a personalização paramétrica baseia-se em populações saudáveis como aproximação.</w:t>
      </w:r>
    </w:p>
    <w:p>
      <w:pPr>
        <w:pStyle w:val="ListBullet"/>
        <w:rPr/>
      </w:pPr>
      <w:r>
        <w:rPr/>
        <w:t xml:space="preserve">- </w:t>
      </w:r>
      <w:r>
        <w:rPr>
          <w:b/>
        </w:rPr>
        <w:t>Pessoas com deficiência física</w:t>
      </w:r>
      <w:r>
        <w:rPr/>
        <w:t xml:space="preserve"> — apenas o estudo de Mistarihi (2020) cobre esta população (n=40, sexos combinados, Jordânia). A dimensão amostral é insuficiente para ser estatisticamente representativa.</w:t>
      </w:r>
    </w:p>
    <w:p>
      <w:pPr>
        <w:pStyle w:val="ListBullet"/>
        <w:rPr/>
      </w:pPr>
      <w:r>
        <w:rPr/>
        <w:t xml:space="preserve">- </w:t>
      </w:r>
      <w:r>
        <w:rPr>
          <w:b/>
        </w:rPr>
        <w:t>Idosos fora da Europa e China</w:t>
      </w:r>
      <w:r>
        <w:rPr/>
        <w:t xml:space="preserve"> — a prevalência de amputação de membro superior é mais elevada em contextos de baixo rendimento (causas traumáticas, diabetes, doença vascular), mas os dados de idosos disponíveis limitam-se a populações europeias e chinesas.</w:t>
      </w:r>
    </w:p>
    <w:p>
      <w:pPr>
        <w:pStyle w:val="Heading3"/>
        <w:rPr/>
      </w:pPr>
      <w:r>
        <w:rPr/>
      </w:r>
    </w:p>
    <w:p>
      <w:pPr>
        <w:pStyle w:val="Heading3"/>
        <w:rPr/>
      </w:pPr>
      <w:r>
        <w:rPr/>
        <w:t>A.10.2.3 Limitações qualitativas dos dados existentes</w:t>
      </w:r>
    </w:p>
    <w:p>
      <w:pPr>
        <w:pStyle w:val="Normal"/>
        <w:rPr/>
      </w:pPr>
      <w:r>
        <w:rPr/>
      </w:r>
    </w:p>
    <w:p>
      <w:pPr>
        <w:pStyle w:val="Normal"/>
        <w:rPr/>
      </w:pPr>
      <w:r>
        <w:rPr/>
        <w:t>Para além das lacunas por ausência, existem limitações nos dados já presentes:</w:t>
      </w:r>
    </w:p>
    <w:p>
      <w:pPr>
        <w:pStyle w:val="ListBullet"/>
        <w:rPr/>
      </w:pPr>
      <w:r>
        <w:rPr/>
        <w:t xml:space="preserve">- </w:t>
      </w:r>
      <w:r>
        <w:rPr>
          <w:b/>
        </w:rPr>
        <w:t>Heterogeneidade de protocolos</w:t>
      </w:r>
      <w:r>
        <w:rPr/>
        <w:t xml:space="preserve"> — "comprimento da mão" é medido desde pontos de referência distintos consoante o estudo (prega distal do pulso, processo estilóide do rádio, articulação metacarpo-falângica). Os valores não são diretamente comparáveis entre fontes sem ajuste, o que limita a integração direta para inferência de valores fora da base de dados.</w:t>
      </w:r>
    </w:p>
    <w:p>
      <w:pPr>
        <w:pStyle w:val="ListBullet"/>
        <w:rPr/>
      </w:pPr>
      <w:r>
        <w:rPr/>
        <w:t xml:space="preserve">- </w:t>
      </w:r>
      <w:r>
        <w:rPr>
          <w:b/>
        </w:rPr>
        <w:t>Amostras de conveniência</w:t>
      </w:r>
      <w:r>
        <w:rPr/>
        <w:t xml:space="preserve"> — a maioria dos estudos não é probabilística: Chatzioglou et al. (2024) recrutou estudantes universitários de Izmir e Istanbul; Ibiwari et al. (2025) recrutou atletas universitários; Hu et al. (2007) recrutou reformados da área de Pequim. A representatividade nacional é, em todos estes casos, questionável.</w:t>
      </w:r>
    </w:p>
    <w:p>
      <w:pPr>
        <w:pStyle w:val="ListBullet"/>
        <w:rPr/>
      </w:pPr>
      <w:r>
        <w:rPr/>
        <w:t xml:space="preserve">- </w:t>
      </w:r>
      <w:r>
        <w:rPr>
          <w:b/>
        </w:rPr>
        <w:t>Desequilíbrio de dimensões</w:t>
      </w:r>
      <w:r>
        <w:rPr/>
        <w:t xml:space="preserve"> — o comprimento da mão e a largura da mão (metacarpal) estão presentes em quase todas as fontes; comprimentos por falange individual, profundidade da palma, e ângulos de abdução dos dedos estão ausentes exceto no ANSUR.</w:t>
      </w:r>
    </w:p>
    <w:p>
      <w:pPr>
        <w:pStyle w:val="ListBullet"/>
        <w:rPr/>
      </w:pPr>
      <w:r>
        <w:rPr/>
        <w:t xml:space="preserve">- </w:t>
      </w:r>
      <w:r>
        <w:rPr>
          <w:b/>
        </w:rPr>
        <w:t>Mão medida</w:t>
      </w:r>
      <w:r>
        <w:rPr/>
        <w:t xml:space="preserve"> — a maioria dos estudos mede a mão dominante ou a mão direita; o estudo português mede a mão esquerda por limitação de instalações. Esta inconsistência é registada nos metadados mas não pode ser corrigida post-hoc.</w:t>
      </w:r>
    </w:p>
    <w:p>
      <w:pPr>
        <w:pStyle w:val="Heading3"/>
        <w:rPr/>
      </w:pPr>
      <w:r>
        <w:rPr/>
      </w:r>
    </w:p>
    <w:p>
      <w:pPr>
        <w:pStyle w:val="Heading3"/>
        <w:rPr/>
      </w:pPr>
      <w:r>
        <w:rPr/>
        <w:t>A.10.3 Frentes identificadas para expansão futura</w:t>
      </w:r>
    </w:p>
    <w:p>
      <w:pPr>
        <w:pStyle w:val="Normal"/>
        <w:rPr/>
      </w:pPr>
      <w:r>
        <w:rPr/>
      </w:r>
    </w:p>
    <w:p>
      <w:pPr>
        <w:pStyle w:val="Normal"/>
        <w:rPr/>
      </w:pPr>
      <w:r>
        <w:rPr/>
        <w:t>A expansão futura da base de dados deverá priorizar três frentes: dados pediátricos e adolescentes fora do contexto europeu, fontes nacionais de antropometria da mão em regiões ainda ausentes, e conjuntos de dados com maior granularidade anatómica dos dedos, falanges, punho e antebraço distal.</w:t>
      </w:r>
    </w:p>
    <w:p>
      <w:pPr>
        <w:pStyle w:val="Heading3"/>
        <w:rPr/>
      </w:pPr>
      <w:r>
        <w:rPr/>
      </w:r>
    </w:p>
    <w:p>
      <w:pPr>
        <w:pStyle w:val="Heading3"/>
        <w:rPr/>
      </w:pPr>
      <w:r>
        <w:rPr/>
        <w:t>A.10.3.1 Prioridade alta</w:t>
      </w:r>
    </w:p>
    <w:p>
      <w:pPr>
        <w:pStyle w:val="ListBullet"/>
        <w:rPr/>
      </w:pPr>
      <w:r>
        <w:rPr/>
        <w:t>- Dados pediátricos e adolescentes da Ásia Oriental, capazes de preencher a lacuna entre os 13 e os 17 anos e de reduzir a dependência de fontes neerlandesas para perfis infantis.</w:t>
      </w:r>
    </w:p>
    <w:p>
      <w:pPr>
        <w:pStyle w:val="ListBullet"/>
        <w:rPr/>
      </w:pPr>
      <w:r>
        <w:rPr/>
        <w:t>- Dados industriais ou ergonómicos do Médio Oriente com maior dimensão amostral e separação por sexo, de modo a complementar a fonte jordana já incluída.</w:t>
      </w:r>
    </w:p>
    <w:p>
      <w:pPr>
        <w:pStyle w:val="ListBullet"/>
        <w:rPr/>
      </w:pPr>
      <w:r>
        <w:rPr/>
        <w:t>- Bases públicas nacionais com dados de mão para populações asiáticas, quando disponibilizarem metadados claros e condições de reutilização compatíveis com investigação académica.</w:t>
      </w:r>
    </w:p>
    <w:p>
      <w:pPr>
        <w:pStyle w:val="Heading3"/>
        <w:rPr/>
      </w:pPr>
      <w:r>
        <w:rPr/>
      </w:r>
    </w:p>
    <w:p>
      <w:pPr>
        <w:pStyle w:val="Heading3"/>
        <w:rPr/>
      </w:pPr>
      <w:r>
        <w:rPr/>
        <w:t>A.10.3.2 Prioridade média</w:t>
      </w:r>
    </w:p>
    <w:p>
      <w:pPr>
        <w:pStyle w:val="ListBullet"/>
        <w:rPr/>
      </w:pPr>
      <w:r>
        <w:rPr/>
        <w:t>- Relatórios técnicos com medições granulares da mão, incluindo comprimentos por falange, profundidades articulares e ângulos de preensão.</w:t>
      </w:r>
    </w:p>
    <w:p>
      <w:pPr>
        <w:pStyle w:val="ListBullet"/>
        <w:rPr/>
      </w:pPr>
      <w:r>
        <w:rPr/>
        <w:t>- Estudos baseados em digitalização 3D com amostras adultas amplas, desde que disponibilizem estatísticas por dimensão e não apenas exemplos individuais.</w:t>
      </w:r>
    </w:p>
    <w:p>
      <w:pPr>
        <w:pStyle w:val="Heading3"/>
        <w:rPr/>
      </w:pPr>
      <w:r>
        <w:rPr/>
      </w:r>
    </w:p>
    <w:p>
      <w:pPr>
        <w:pStyle w:val="Heading3"/>
        <w:rPr/>
      </w:pPr>
      <w:r>
        <w:rPr/>
        <w:t>A.10.3.3 Pertinência direta para o tema da tese</w:t>
      </w:r>
    </w:p>
    <w:p>
      <w:pPr>
        <w:pStyle w:val="Normal"/>
        <w:rPr/>
      </w:pPr>
      <w:r>
        <w:rPr/>
        <w:t>A lacuna de maior impacto continua a ser a ausência de dados de pessoas amputadas, sobretudo medições da mão contralateral intacta. Para o design de próteses de mão personalizadas, a referência mais adequada é a mão intacta do próprio utilizador, e não a média de uma população saudável. Uma recolha primária de dados, mesmo com dimensão reduzida, poderia ser metodologicamente mais valiosa do que acrescentar novas populações saudáveis sem relação clínica direta com o problema da personalização protésica.</w:t>
      </w:r>
    </w:p>
    <w:sectPr>
      <w:footnotePr>
        <w:numFmt w:val="decimal"/>
      </w:footnotePr>
      <w:type w:val="nextPage"/>
      <w:pgSz w:w="11906" w:h="16838"/>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6-30T18:08:33Z" w:initials="">
    <w:p>
      <w:pPr>
        <w:overflowPunct w:val="true"/>
        <w:bidi w:val="0"/>
        <w:rPr/>
      </w:pPr>
      <w:r>
        <w:annotationRef/>
      </w:r>
      <w:r>
        <w:rPr>
          <w:lang w:val="pt-PT"/>
        </w:rPr>
        <w:t xml:space="preserve"> material/prosthetics-design/A review of technology, materials and R&amp;D challenges of upper limb prosthesis for improved user suitability.pdf</w:t>
      </w:r>
    </w:p>
    <w:p>
      <w:pPr>
        <w:overflowPunct w:val="true"/>
        <w:bidi w:val="0"/>
        <w:rPr/>
      </w:pPr>
      <w:r>
        <w:rPr>
          <w:lang w:val="pt-PT"/>
        </w:rPr>
      </w:r>
    </w:p>
    <w:p>
      <w:pPr>
        <w:overflowPunct w:val="true"/>
        <w:bidi w:val="0"/>
        <w:rPr/>
      </w:pPr>
      <w:r>
        <w:rPr>
          <w:lang w:val="pt-PT"/>
        </w:rPr>
        <w:t xml:space="preserve">  Ela sustenta a classificação assim: Brack e Amalu classificam a tecnologia de próteses de membro superior em próteses passivas, ativas e híbridas; depois</w:t>
      </w:r>
    </w:p>
    <w:p>
      <w:pPr>
        <w:overflowPunct w:val="true"/>
        <w:bidi w:val="0"/>
        <w:rPr/>
      </w:pPr>
      <w:r>
        <w:rPr>
          <w:lang w:val="pt-PT"/>
        </w:rPr>
        <w:t xml:space="preserve">  subdividem as ativas em acionadas pelo corpo e mioelétricas. Também definem as híbridas como combinação de componentes acionados pelo corpo e mioelétricos.</w:t>
      </w:r>
    </w:p>
    <w:p>
      <w:pPr>
        <w:overflowPunct w:val="true"/>
        <w:bidi w:val="0"/>
        <w:rPr/>
      </w:pPr>
      <w:r>
        <w:rPr>
          <w:lang w:val="pt-PT"/>
        </w:rPr>
      </w:r>
    </w:p>
    <w:p>
      <w:pPr>
        <w:overflowPunct w:val="true"/>
        <w:bidi w:val="0"/>
        <w:rPr/>
      </w:pPr>
      <w:r>
        <w:rPr>
          <w:lang w:val="pt-PT"/>
        </w:rPr>
        <w:t xml:space="preserve">  Posso citar a frase como:</w:t>
      </w:r>
    </w:p>
    <w:p>
      <w:pPr>
        <w:overflowPunct w:val="true"/>
        <w:bidi w:val="0"/>
        <w:rPr/>
      </w:pPr>
      <w:r>
        <w:rPr>
          <w:lang w:val="pt-PT"/>
        </w:rPr>
      </w:r>
    </w:p>
    <w:p>
      <w:pPr>
        <w:overflowPunct w:val="true"/>
        <w:bidi w:val="0"/>
        <w:rPr/>
      </w:pPr>
      <w:r>
        <w:rPr>
          <w:lang w:val="pt-PT"/>
        </w:rPr>
        <w:t xml:space="preserve">  &gt; As próteses de membro superior podem ser classificadas de acordo com a fonte de energia e o mecanismo de controlo, distinguindo-se próteses passivas, acionadas</w:t>
      </w:r>
    </w:p>
    <w:p>
      <w:pPr>
        <w:overflowPunct w:val="true"/>
        <w:bidi w:val="0"/>
        <w:rPr/>
      </w:pPr>
      <w:r>
        <w:rPr>
          <w:lang w:val="pt-PT"/>
        </w:rPr>
        <w:t xml:space="preserve">  &gt; pelo corpo, mioelétricas e híbridas (Brack &amp; Amalu, 2021).</w:t>
      </w:r>
    </w:p>
    <w:p>
      <w:pPr>
        <w:overflowPunct w:val="true"/>
        <w:bidi w:val="0"/>
        <w:rPr/>
      </w:pPr>
      <w:r>
        <w:rPr>
          <w:lang w:val="pt-PT"/>
        </w:rPr>
      </w:r>
    </w:p>
    <w:p>
      <w:pPr>
        <w:overflowPunct w:val="true"/>
        <w:bidi w:val="0"/>
        <w:rPr/>
      </w:pPr>
      <w:r>
        <w:rPr>
          <w:lang w:val="pt-PT"/>
        </w:rPr>
        <w:t xml:space="preserve">  Entrada APA 7:</w:t>
      </w:r>
    </w:p>
    <w:p>
      <w:pPr>
        <w:overflowPunct w:val="true"/>
        <w:bidi w:val="0"/>
        <w:rPr/>
      </w:pPr>
      <w:r>
        <w:rPr>
          <w:lang w:val="pt-PT"/>
        </w:rPr>
      </w:r>
    </w:p>
    <w:p>
      <w:pPr>
        <w:overflowPunct w:val="true"/>
        <w:bidi w:val="0"/>
        <w:rPr/>
      </w:pPr>
      <w:r>
        <w:rPr>
          <w:lang w:val="pt-PT"/>
        </w:rPr>
        <w:t xml:space="preserve">  Brack, R., &amp; Amalu, E. H. (2021). A review of technology, materials and R&amp;D challenges of upper limb prosthesis for improved user suitability. Journal of</w:t>
      </w:r>
    </w:p>
    <w:p>
      <w:pPr>
        <w:overflowPunct w:val="true"/>
        <w:bidi w:val="0"/>
        <w:rPr/>
      </w:pPr>
      <w:r>
        <w:rPr>
          <w:lang w:val="pt-PT"/>
        </w:rPr>
        <w:t xml:space="preserve">  Orthopaedics, 23, 88–96. https://doi.org/10.1016/j.jor.2020.12.009</w:t>
      </w:r>
    </w:p>
    <w:p>
      <w:pPr>
        <w:overflowPunct w:val="true"/>
        <w:bidi w:val="0"/>
        <w:rPr/>
      </w:pPr>
      <w:r>
        <w:rPr>
          <w:lang w:val="pt-PT"/>
        </w:rPr>
      </w:r>
    </w:p>
  </w:comment>
  <w:comment w:id="1" w:author="Unknown Author" w:date="2026-06-30T20:08:54Z" w:initials="">
    <w:p>
      <w:pPr>
        <w:overflowPunct w:val="true"/>
        <w:bidi w:val="0"/>
        <w:rPr/>
      </w:pPr>
      <w:r>
        <w:annotationRef/>
      </w:r>
      <w:r>
        <w:rPr>
          <w:lang w:val="pt-PT"/>
        </w:rPr>
        <w:t>Meter a norma na bibliografia</w:t>
      </w:r>
    </w:p>
  </w:comment>
  <w:comment w:id="2" w:author="Unknown Author" w:date="2026-06-30T20:17:49Z" w:initials="">
    <w:p>
      <w:pPr>
        <w:overflowPunct w:val="true"/>
        <w:bidi w:val="0"/>
        <w:rPr/>
      </w:pPr>
      <w:r>
        <w:annotationRef/>
      </w:r>
      <w:r>
        <w:rPr>
          <w:lang w:val="pt-PT"/>
        </w:rPr>
        <w:t>Quem diz?</w:t>
      </w:r>
    </w:p>
    <w:p>
      <w:pPr>
        <w:overflowPunct w:val="true"/>
        <w:bidi w:val="0"/>
        <w:rPr/>
      </w:pPr>
      <w:r>
        <w:rPr>
          <w:lang w:val="pt-PT"/>
        </w:rPr>
      </w:r>
    </w:p>
    <w:p>
      <w:pPr>
        <w:overflowPunct w:val="true"/>
        <w:bidi w:val="0"/>
        <w:rPr/>
      </w:pPr>
      <w:r>
        <w:rPr>
          <w:lang w:val="pt-PT"/>
        </w:rPr>
        <w:t xml:space="preserve"> Privitera, M. (2017). Designing industrial design in the highly regulated medical device development process: Defining our valuable contribution towards</w:t>
      </w:r>
    </w:p>
    <w:p>
      <w:pPr>
        <w:overflowPunct w:val="true"/>
        <w:bidi w:val="0"/>
        <w:rPr/>
      </w:pPr>
      <w:r>
        <w:rPr>
          <w:lang w:val="pt-PT"/>
        </w:rPr>
        <w:t xml:space="preserve">  usability. The Design Journal, 20(sup1), S2190–S2206. https://doi.org/10.1080/14606925.2017.1352735</w:t>
      </w:r>
    </w:p>
    <w:p>
      <w:pPr>
        <w:overflowPunct w:val="true"/>
        <w:bidi w:val="0"/>
        <w:rPr/>
      </w:pPr>
      <w:r>
        <w:rPr>
          <w:lang w:val="pt-PT"/>
        </w:rPr>
      </w:r>
    </w:p>
    <w:p>
      <w:pPr>
        <w:overflowPunct w:val="true"/>
        <w:bidi w:val="0"/>
        <w:rPr/>
      </w:pPr>
      <w:r>
        <w:rPr>
          <w:lang w:val="pt-PT"/>
        </w:rPr>
        <w:t xml:space="preserve">  Oldfrey, B. M., et al. (2024). A scoping review of digital fabrication techniques applied to prosthetics and orthotics: Part 1 of 2: Prosthetics. Prosthetics and</w:t>
      </w:r>
    </w:p>
    <w:p>
      <w:pPr>
        <w:overflowPunct w:val="true"/>
        <w:bidi w:val="0"/>
        <w:rPr/>
      </w:pPr>
      <w:r>
        <w:rPr>
          <w:lang w:val="pt-PT"/>
        </w:rPr>
        <w:t xml:space="preserve">  Orthotics International, 48, 574–589. https://doi.org/10.1097/PXR.0000000000000351</w:t>
      </w:r>
    </w:p>
    <w:p>
      <w:pPr>
        <w:overflowPunct w:val="true"/>
        <w:bidi w:val="0"/>
        <w:rPr/>
      </w:pPr>
      <w:r>
        <w:rPr>
          <w:lang w:val="pt-PT"/>
        </w:rPr>
      </w:r>
    </w:p>
    <w:p>
      <w:pPr>
        <w:overflowPunct w:val="true"/>
        <w:bidi w:val="0"/>
        <w:rPr/>
      </w:pPr>
      <w:r>
        <w:rPr>
          <w:lang w:val="pt-PT"/>
        </w:rPr>
        <w:t xml:space="preserve">  Mc Guinness, E., Patel, D., Patrick, M., &amp; Austin, V. (2025). Outcomes of assistive technology use by sex and gender: A scoping review. Disability and</w:t>
      </w:r>
    </w:p>
    <w:p>
      <w:pPr>
        <w:overflowPunct w:val="true"/>
        <w:bidi w:val="0"/>
        <w:rPr/>
      </w:pPr>
      <w:r>
        <w:rPr>
          <w:lang w:val="pt-PT"/>
        </w:rPr>
        <w:t xml:space="preserve">  Rehabilitation: Assistive Technology, 20(8), 2666–2690. https://doi.org/10.1080/17483107.2025.2516615</w:t>
      </w:r>
    </w:p>
    <w:p>
      <w:pPr>
        <w:overflowPunct w:val="true"/>
        <w:bidi w:val="0"/>
        <w:rPr/>
      </w:pPr>
      <w:r>
        <w:rPr>
          <w:lang w:val="pt-PT"/>
        </w:rPr>
      </w:r>
    </w:p>
  </w:comment>
  <w:comment w:id="3" w:author="Unknown Author" w:date="2026-07-01T19:07:33Z" w:initials="">
    <w:p>
      <w:pPr>
        <w:overflowPunct w:val="false"/>
        <w:bidi w:val="0"/>
        <w:rPr/>
      </w:pPr>
      <w:r>
        <w:annotationRef/>
      </w:r>
      <w:r>
        <w:rPr>
          <w:lang w:val="pt-PT"/>
        </w:rPr>
        <w:t>Precisas de definir o meta design</w:t>
      </w:r>
    </w:p>
  </w:comment>
  <w:comment w:id="4" w:author="Unknown Author" w:date="2026-07-01T19:08:06Z" w:initials="">
    <w:p>
      <w:pPr>
        <w:overflowPunct w:val="false"/>
        <w:bidi w:val="0"/>
        <w:rPr/>
      </w:pPr>
      <w:r>
        <w:annotationRef/>
      </w:r>
      <w:r>
        <w:rPr>
          <w:lang w:val="pt-PT"/>
        </w:rPr>
        <w:t>Tens que desenvolver isto pare perceber seisto faz sentido de estar aqui ou se cortamos</w:t>
      </w:r>
    </w:p>
  </w:comment>
  <w:comment w:id="5" w:author="Unknown Author" w:date="2026-07-01T20:43:47Z" w:initials="">
    <w:p>
      <w:pPr>
        <w:overflowPunct w:val="false"/>
        <w:bidi w:val="0"/>
        <w:rPr/>
      </w:pPr>
      <w:r>
        <w:annotationRef/>
      </w:r>
      <w:r>
        <w:rPr>
          <w:lang w:val="pt-PT"/>
        </w:rPr>
        <w:t>É a primeira vez que estás a falar sobre isto. É preciso referir e explicar algures antes deste ponto o que é a Vitoria Hand Project e Já agora a E-Nabled</w:t>
      </w:r>
    </w:p>
    <w:p>
      <w:pPr>
        <w:overflowPunct w:val="false"/>
        <w:bidi w:val="0"/>
        <w:rPr/>
      </w:pPr>
      <w:r>
        <w:rPr>
          <w:lang w:val="pt-PT"/>
        </w:rPr>
      </w:r>
    </w:p>
    <w:p>
      <w:pPr>
        <w:overflowPunct w:val="false"/>
        <w:bidi w:val="0"/>
        <w:rPr/>
      </w:pPr>
      <w:r>
        <w:rPr>
          <w:lang w:val="pt-PT"/>
        </w:rPr>
        <w:t>Aqui temos que introduzir um screenshot do sistema do victoria hand no f3s</w:t>
      </w:r>
    </w:p>
  </w:comment>
  <w:comment w:id="6" w:author="Unknown Author" w:date="2026-07-02T17:25:21Z" w:initials="">
    <w:p>
      <w:pPr>
        <w:overflowPunct w:val="false"/>
        <w:bidi w:val="0"/>
        <w:rPr/>
      </w:pPr>
      <w:r>
        <w:annotationRef/>
      </w:r>
      <w:r>
        <w:rPr>
          <w:lang w:val="pt-PT"/>
        </w:rPr>
        <w:t>Podemos adicionar aquele gráfico todo bonito que fizeste antes.</w:t>
      </w:r>
    </w:p>
  </w:comment>
  <w:comment w:id="7" w:author="Unknown Author" w:date="2026-07-02T17:57:37Z" w:initials="">
    <w:p>
      <w:pPr>
        <w:overflowPunct w:val="false"/>
        <w:bidi w:val="0"/>
        <w:rPr/>
      </w:pPr>
      <w:r>
        <w:annotationRef/>
      </w:r>
      <w:r>
        <w:rPr>
          <w:lang w:val="pt-PT"/>
        </w:rPr>
        <w:t>Aqui é que podemos meter o nosso gráfico bonitolas</w:t>
      </w:r>
    </w:p>
  </w:comment>
  <w:comment w:id="8" w:author="Unknown Author" w:date="2026-07-02T18:05:03Z" w:initials="">
    <w:p>
      <w:pPr>
        <w:overflowPunct w:val="false"/>
        <w:bidi w:val="0"/>
        <w:rPr/>
      </w:pPr>
      <w:r>
        <w:annotationRef/>
      </w:r>
      <w:r>
        <w:rPr>
          <w:lang w:val="pt-PT"/>
        </w:rPr>
        <w:t>Falo disto? Acho que não faço em PLA e PETG</w:t>
      </w:r>
    </w:p>
  </w:comment>
  <w:comment w:id="9" w:author="Unknown Author" w:date="2026-07-03T19:16:18Z" w:initials="">
    <w:p>
      <w:pPr>
        <w:overflowPunct w:val="true"/>
        <w:rPr/>
      </w:pPr>
      <w:r>
        <w:annotationRef/>
      </w:r>
      <w:r>
        <w:rPr>
          <w:lang w:val="pt-PT"/>
        </w:rPr>
        <w:t>Isto é a primeira vez que estás a falar do Openscad</w:t>
      </w:r>
    </w:p>
  </w:comment>
  <w:comment w:id="10" w:author="Unknown Author" w:date="2026-07-03T19:16:31Z" w:initials="">
    <w:p>
      <w:pPr>
        <w:overflowPunct w:val="true"/>
        <w:rPr/>
      </w:pPr>
      <w:r>
        <w:annotationRef/>
      </w:r>
      <w:r>
        <w:rPr>
          <w:lang w:val="pt-PT"/>
        </w:rPr>
        <w:t>É preciso dizer o que é STL e 3MF</w:t>
      </w:r>
    </w:p>
  </w:comment>
  <w:comment w:id="11" w:author="Unknown Author" w:date="2026-07-03T13:45:05Z" w:initials="">
    <w:p>
      <w:pPr>
        <w:overflowPunct w:val="false"/>
        <w:bidi w:val="0"/>
        <w:rPr/>
      </w:pPr>
      <w:r>
        <w:annotationRef/>
      </w:r>
      <w:r>
        <w:rPr>
          <w:lang w:val="pt-PT"/>
        </w:rPr>
        <w:t>Estás a entrar em modo repetição outra vez.</w:t>
      </w:r>
    </w:p>
  </w:comment>
  <w:comment w:id="12" w:author="Unknown Author" w:date="2026-07-04T13:26:12Z" w:initials="">
    <w:p>
      <w:pPr>
        <w:overflowPunct w:val="true"/>
        <w:rPr/>
      </w:pPr>
      <w:r>
        <w:annotationRef/>
      </w:r>
      <w:r>
        <w:rPr>
          <w:lang w:val="pt-PT"/>
        </w:rPr>
        <w:t>Começas aqui a falar do modelo gerado mas é a primeira vez que abordas isso. Tens que contextualizar.</w:t>
      </w:r>
    </w:p>
  </w:comment>
  <w:comment w:id="13" w:author="Unknown Author" w:date="2026-07-04T13:27:11Z" w:initials="">
    <w:p>
      <w:pPr>
        <w:overflowPunct w:val="true"/>
        <w:rPr/>
      </w:pPr>
      <w:r>
        <w:annotationRef/>
      </w:r>
      <w:r>
        <w:rPr>
          <w:lang w:val="pt-PT"/>
        </w:rPr>
        <w:t>Meter aqui umas imagens!</w:t>
      </w:r>
    </w:p>
  </w:comment>
  <w:comment w:id="14" w:author="Unknown Author" w:date="2026-07-04T15:20:50Z" w:initials="">
    <w:p>
      <w:pPr>
        <w:overflowPunct w:val="true"/>
        <w:rPr/>
      </w:pPr>
      <w:r>
        <w:annotationRef/>
      </w:r>
      <w:r>
        <w:rPr>
          <w:lang w:val="pt-PT"/>
        </w:rPr>
        <w:t>Vamos meter aqui uma imagem</w:t>
      </w:r>
    </w:p>
  </w:comment>
  <w:comment w:id="15" w:author="Unknown Author" w:date="2026-07-04T18:35:39Z" w:initials="">
    <w:p>
      <w:pPr>
        <w:overflowPunct w:val="true"/>
        <w:rPr/>
      </w:pPr>
      <w:r>
        <w:annotationRef/>
      </w:r>
      <w:r>
        <w:rPr>
          <w:lang w:val="pt-PT"/>
        </w:rPr>
        <w:t>Não te esqueças de adicionar ao indice estas siglas.</w:t>
      </w:r>
    </w:p>
  </w:comment>
  <w:comment w:id="16" w:author="Unknown Author" w:date="2026-07-04T18:51:43Z" w:initials="">
    <w:p>
      <w:pPr>
        <w:overflowPunct w:val="true"/>
        <w:rPr/>
      </w:pPr>
      <w:r>
        <w:annotationRef/>
      </w:r>
      <w:r>
        <w:rPr>
          <w:lang w:val="pt-PT"/>
        </w:rPr>
        <w:t>Faz sentido integrar uma parte sobre a E-nable e os modelos deles.</w:t>
      </w:r>
    </w:p>
  </w:comment>
  <w:comment w:id="17" w:author="Unknown Author" w:date="2026-07-04T18:53:29Z" w:initials="">
    <w:p>
      <w:pPr>
        <w:overflowPunct w:val="true"/>
        <w:rPr/>
      </w:pPr>
      <w:r>
        <w:annotationRef/>
      </w:r>
      <w:r>
        <w:rPr>
          <w:lang w:val="pt-PT"/>
        </w:rPr>
        <w:t>Parametros de hardware</w:t>
      </w:r>
    </w:p>
  </w:comment>
  <w:comment w:id="18" w:author="Unknown Author" w:date="2026-07-04T21:37:44Z" w:initials="">
    <w:p>
      <w:pPr>
        <w:overflowPunct w:val="true"/>
        <w:rPr/>
      </w:pPr>
      <w:r>
        <w:annotationRef/>
      </w:r>
      <w:r>
        <w:rPr>
          <w:lang w:val="pt-PT"/>
        </w:rPr>
        <w:t>Isto está no indice? Vai lá ver</w:t>
      </w:r>
    </w:p>
  </w:comment>
  <w:comment w:id="19" w:author="Unknown Author" w:date="2026-07-05T12:22:53Z" w:initials="">
    <w:p>
      <w:pPr>
        <w:overflowPunct w:val="true"/>
        <w:rPr/>
      </w:pPr>
      <w:r>
        <w:annotationRef/>
      </w:r>
      <w:r>
        <w:rPr>
          <w:lang w:val="pt-PT"/>
        </w:rPr>
        <w:t>Não esquecer de meter no índice</w:t>
      </w:r>
    </w:p>
  </w:comment>
  <w:comment w:id="20" w:author="Unknown Author" w:date="2026-07-05T12:26:47Z" w:initials="">
    <w:p>
      <w:pPr>
        <w:overflowPunct w:val="true"/>
        <w:rPr/>
      </w:pPr>
      <w:r>
        <w:annotationRef/>
      </w:r>
      <w:r>
        <w:rPr>
          <w:lang w:val="pt-PT"/>
        </w:rPr>
        <w:t>Adicionar uma nota a explicar e adicionar no indice a sigla</w:t>
      </w:r>
    </w:p>
  </w:comment>
  <w:comment w:id="21" w:author="Unknown Author" w:date="2026-07-05T14:28:24Z" w:initials="">
    <w:p>
      <w:pPr>
        <w:overflowPunct w:val="false"/>
        <w:rPr/>
      </w:pPr>
      <w:r>
        <w:annotationRef/>
      </w:r>
      <w:r>
        <w:rPr>
          <w:lang w:val="pt-PT"/>
        </w:rPr>
        <w:t>Isto é uma repetição</w:t>
      </w:r>
    </w:p>
  </w:comment>
  <w:comment w:id="22" w:author="Unknown Author" w:date="2026-07-05T14:29:31Z" w:initials="">
    <w:p>
      <w:pPr>
        <w:overflowPunct w:val="false"/>
        <w:rPr/>
      </w:pPr>
      <w:r>
        <w:annotationRef/>
      </w:r>
      <w:r>
        <w:rPr>
          <w:lang w:val="pt-PT"/>
        </w:rPr>
        <w:t>Inserir notas de rodapé</w:t>
      </w:r>
    </w:p>
  </w:comment>
  <w:comment w:id="23" w:author="Unknown Author" w:date="2026-07-05T15:25:09Z" w:initials="">
    <w:p>
      <w:pPr>
        <w:overflowPunct w:val="false"/>
        <w:rPr/>
      </w:pPr>
      <w:r>
        <w:annotationRef/>
      </w:r>
      <w:r>
        <w:rPr>
          <w:lang w:val="pt-PT"/>
        </w:rPr>
        <w:t>Inserir um comentário</w:t>
      </w:r>
    </w:p>
  </w:comment>
  <w:comment w:id="24" w:author="Unknown Author" w:date="2026-07-05T16:14:55Z" w:initials="">
    <w:p>
      <w:pPr>
        <w:overflowPunct w:val="false"/>
        <w:rPr/>
      </w:pPr>
      <w:r>
        <w:annotationRef/>
      </w:r>
      <w:r>
        <w:rPr>
          <w:lang w:val="pt-PT"/>
        </w:rPr>
        <w:t>Se calhar introduzir uma tabela com os prompts</w:t>
      </w:r>
    </w:p>
  </w:comment>
  <w:comment w:id="25" w:author="Unknown Author" w:date="2026-07-05T17:43:41Z" w:initials="">
    <w:p>
      <w:pPr>
        <w:overflowPunct w:val="true"/>
        <w:rPr/>
      </w:pPr>
      <w:r>
        <w:annotationRef/>
      </w:r>
      <w:r>
        <w:rPr>
          <w:lang w:val="pt-PT"/>
        </w:rPr>
        <w:t>Introduzir aqui uma tabela com valores</w:t>
      </w:r>
    </w:p>
  </w:comment>
  <w:comment w:id="26" w:author="Unknown Author" w:date="2026-07-05T19:22:29Z" w:initials="">
    <w:p>
      <w:pPr>
        <w:overflowPunct w:val="true"/>
        <w:rPr/>
      </w:pPr>
      <w:r>
        <w:annotationRef/>
      </w:r>
      <w:r>
        <w:rPr>
          <w:lang w:val="pt-PT"/>
        </w:rPr>
        <w:t>indice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Consolas">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Propriocepção designa a perceção corporal da posição, movimento e esforço dos segmentos do corpo. Em próteses acionadas pelo corpo, o feedback proprioceptivo indireto decorre da tensão transmitida pelo sistema de cabos e arnês, ajudando o utilizador a interpretar o comportamento do dispositivo.</w:t>
      </w:r>
    </w:p>
  </w:footnote>
  <w:footnote w:id="3">
    <w:p>
      <w:pPr>
        <w:pStyle w:val="FootnoteText"/>
        <w:rPr/>
      </w:pPr>
      <w:r>
        <w:rPr>
          <w:rStyle w:val="FootnoteCharacters"/>
        </w:rPr>
        <w:footnoteRef/>
      </w:r>
      <w:r>
        <w:rPr/>
      </w:r>
    </w:p>
  </w:footnote>
  <w:footnote w:id="4">
    <w:p>
      <w:pPr>
        <w:pStyle w:val="FootnoteText"/>
        <w:rPr/>
      </w:pPr>
      <w:r>
        <w:rPr>
          <w:rStyle w:val="FootnoteCharacters"/>
        </w:rPr>
        <w:footnoteRef/>
      </w:r>
      <w:r>
        <w:rPr/>
        <w:t xml:space="preserve"> </w:t>
      </w:r>
      <w:r>
        <w:rPr/>
        <w:t>PRISMA corresponde a Preferred Reporting Items for Systematic Reviews and Meta Analyses, um conjunto de orientações para a elaboração e apresentação transparente de revisões sistemáticas e meta-análises.</w:t>
      </w:r>
    </w:p>
  </w:footnote>
  <w:footnote w:id="5">
    <w:p>
      <w:pPr>
        <w:pStyle w:val="FootnoteText"/>
        <w:rPr/>
      </w:pPr>
      <w:r>
        <w:rPr>
          <w:rStyle w:val="FootnoteCharacters"/>
        </w:rPr>
        <w:footnoteRef/>
      </w:r>
      <w:r>
        <w:rPr/>
        <w:t xml:space="preserve"> </w:t>
      </w:r>
      <w:r>
        <w:rPr/>
        <w:t xml:space="preserve">Por </w:t>
      </w:r>
      <w:r>
        <w:rPr>
          <w:rStyle w:val="Emphasis"/>
        </w:rPr>
        <w:t>seed design</w:t>
      </w:r>
      <w:r>
        <w:rPr/>
        <w:t xml:space="preserve"> entende-se um modelo inicial de projeto concebido como base reutilizável para a geração de variantes. Em sistemas paramétricos, este modelo preserva uma estrutura formal e construtiva estável, mas permite ajustamentos controlados através da alteração de parâmetros previamente definidos, funcionando como ponto de partida para processos de personalização ou customização.</w:t>
      </w:r>
    </w:p>
  </w:footnote>
  <w:footnote w:id="6">
    <w:p>
      <w:pPr>
        <w:pStyle w:val="FootnoteText"/>
        <w:rPr/>
      </w:pPr>
      <w:r>
        <w:rPr>
          <w:rStyle w:val="FootnoteCharacters"/>
        </w:rPr>
        <w:footnoteRef/>
      </w:r>
      <w:r>
        <w:rPr/>
        <w:t xml:space="preserve"> </w:t>
      </w:r>
      <w:r>
        <w:rPr>
          <w:rStyle w:val="Emphasis"/>
        </w:rPr>
        <w:t>File-to-factory</w:t>
      </w:r>
      <w:r>
        <w:rPr/>
        <w:t xml:space="preserve"> refere-se ao fluxo direto que liga o ficheiro digital à produção física do objeto, geralmente através de formatos compatíveis com fabrico digital, como STL ou 3MF, reduzindo etapas intermédias de redesenho manual.</w:t>
      </w:r>
    </w:p>
  </w:footnote>
  <w:footnote w:id="7">
    <w:p>
      <w:pPr>
        <w:pStyle w:val="FootnoteText"/>
        <w:rPr/>
      </w:pPr>
      <w:r>
        <w:rPr>
          <w:rStyle w:val="FootnoteCharacters"/>
        </w:rPr>
        <w:footnoteRef/>
      </w:r>
      <w:r>
        <w:rPr/>
        <w:t xml:space="preserve"> </w:t>
      </w:r>
      <w:r>
        <w:rPr/>
        <w:t>A fronteira de Pareto corresponde ao conjunto de soluções em que não é possível melhorar um critério, como peso, custo ou tempo de fabrico, sem piorar pelo menos outro, como resistência, durabilidade ou desempenho funcional. Em processos de otimização multiobjetivo, esta fronteira permite analisar compromissos entre critérios concorrentes</w:t>
      </w:r>
    </w:p>
  </w:footnote>
  <w:footnote w:id="8">
    <w:p>
      <w:pPr>
        <w:pStyle w:val="FootnoteText"/>
        <w:rPr/>
      </w:pPr>
      <w:r>
        <w:rPr>
          <w:rStyle w:val="FootnoteCharacters"/>
        </w:rPr>
        <w:footnoteRef/>
      </w:r>
      <w:r>
        <w:rPr/>
        <w:t xml:space="preserve"> </w:t>
      </w:r>
      <w:r>
        <w:rPr/>
        <w:t>A modelação estatística de forma consiste na análise de variações geométricas entre diferentes anatomias, permitindo identificar padrões recorrentes e estimar formas prováveis a partir de dados incompletos ou parciais.</w:t>
      </w:r>
    </w:p>
  </w:footnote>
  <w:footnote w:id="9">
    <w:p>
      <w:pPr>
        <w:pStyle w:val="FootnoteText"/>
        <w:rPr/>
      </w:pPr>
      <w:r>
        <w:rPr>
          <w:rStyle w:val="FootnoteCharacters"/>
        </w:rPr>
        <w:footnoteRef/>
      </w:r>
      <w:r>
        <w:rPr/>
        <w:t xml:space="preserve"> </w:t>
      </w:r>
      <w:r>
        <w:rPr/>
        <w:t>Técnica estatística usada para reduzir a complexidade de conjuntos de dados com muitas variáveis, identificando os principais eixos de variação. No contexto da modelação estatística de forma, permite representar diferenças geométricas entre vários corpos, membros ou superfícies anatómicas através de um número reduzido de componentes principais.</w:t>
      </w:r>
    </w:p>
  </w:footnote>
  <w:footnote w:id="10">
    <w:p>
      <w:pPr>
        <w:pStyle w:val="FootnoteText"/>
        <w:rPr/>
      </w:pPr>
      <w:r>
        <w:rPr>
          <w:rStyle w:val="FootnoteCharacters"/>
        </w:rPr>
        <w:footnoteRef/>
      </w:r>
      <w:r>
        <w:rPr/>
        <w:t xml:space="preserve"> </w:t>
      </w:r>
      <w:r>
        <w:rPr/>
        <w:t>Redes neuronais artificiais são modelos computacionais compostos por camadas de unidades interligadas, que ajustam os seus parâmetros internos durante o treino para identificar padrões nos dados.</w:t>
      </w:r>
    </w:p>
  </w:footnote>
  <w:footnote w:id="11">
    <w:p>
      <w:pPr>
        <w:pStyle w:val="FootnoteText"/>
        <w:rPr/>
      </w:pPr>
      <w:r>
        <w:rPr>
          <w:rStyle w:val="FootnoteCharacters"/>
        </w:rPr>
        <w:footnoteRef/>
      </w:r>
      <w:r>
        <w:rPr/>
        <w:t xml:space="preserve"> </w:t>
      </w:r>
      <w:r>
        <w:rPr/>
        <w:t xml:space="preserve">Em sistemas de IA generativa, um </w:t>
      </w:r>
      <w:r>
        <w:rPr>
          <w:rStyle w:val="Emphasis"/>
        </w:rPr>
        <w:t>prompt</w:t>
      </w:r>
      <w:r>
        <w:rPr/>
        <w:t xml:space="preserve"> corresponde à instrução, pergunta ou conjunto de condições fornecido pelo utilizador para orientar a resposta do modelo. Pode incluir texto, parâmetros, exemplos, restrições ou descrições do resultado pretendido</w:t>
      </w:r>
    </w:p>
  </w:footnote>
  <w:footnote w:id="12">
    <w:p>
      <w:pPr>
        <w:pStyle w:val="FootnoteText"/>
        <w:rPr/>
      </w:pPr>
      <w:r>
        <w:rPr>
          <w:rStyle w:val="FootnoteCharacters"/>
        </w:rPr>
        <w:footnoteRef/>
      </w:r>
      <w:r>
        <w:rPr/>
        <w:t xml:space="preserve"> </w:t>
      </w:r>
      <w:r>
        <w:rPr/>
        <w:t xml:space="preserve">Um </w:t>
      </w:r>
      <w:r>
        <w:rPr>
          <w:rStyle w:val="Emphasis"/>
        </w:rPr>
        <w:t>digital twin</w:t>
      </w:r>
      <w:r>
        <w:rPr/>
        <w:t xml:space="preserve"> pode ser entendido como uma representação digital dinâmica de um sistema físico, atualizada por dados recolhidos em tempo real ou quase real, permitindo simular, monitorizar e ajustar o seu comportamento. Em saúde, esta noção é aplicada a modelos personalizados que integram dados biométricos, sensores e métricas funcionais.</w:t>
      </w:r>
    </w:p>
  </w:footnote>
  <w:footnote w:id="13">
    <w:p>
      <w:pPr>
        <w:pStyle w:val="FootnoteText"/>
        <w:rPr/>
      </w:pPr>
      <w:r>
        <w:rPr>
          <w:rStyle w:val="FootnoteCharacters"/>
        </w:rPr>
        <w:footnoteRef/>
      </w:r>
      <w:r>
        <w:rPr/>
        <w:t xml:space="preserve"> </w:t>
      </w:r>
      <w:r>
        <w:rPr/>
        <w:t xml:space="preserve">O </w:t>
      </w:r>
      <w:r>
        <w:rPr>
          <w:rStyle w:val="Emphasis"/>
        </w:rPr>
        <w:t>Technology Readiness Level</w:t>
      </w:r>
      <w:r>
        <w:rPr/>
        <w:t xml:space="preserve"> (TRL) é uma escala de maturidade tecnológica, normalmente composta por nove níveis, que permite avaliar o desenvolvimento de uma tecnologia desde a formulação conceptual até à sua demonstração e aplicação em contexto real.</w:t>
      </w:r>
    </w:p>
  </w:footnote>
  <w:footnote w:id="14">
    <w:p>
      <w:pPr>
        <w:pStyle w:val="FootnoteText"/>
        <w:rPr/>
      </w:pPr>
      <w:r>
        <w:rPr>
          <w:rStyle w:val="FootnoteCharacters"/>
        </w:rPr>
        <w:footnoteRef/>
      </w:r>
      <w:r>
        <w:rPr>
          <w:rStyle w:val="Emphasis"/>
        </w:rPr>
        <w:t xml:space="preserve"> </w:t>
      </w:r>
      <w:r>
        <w:rPr>
          <w:rStyle w:val="Emphasis"/>
        </w:rPr>
        <w:t>Human-in-the-loop designa uma abordagem em que uma pessoa permanece integrada num processo automatizado, assumindo funções de supervisão, interpretação, validação ou decisão.</w:t>
      </w:r>
    </w:p>
  </w:footnote>
  <w:footnote w:id="15">
    <w:p>
      <w:pPr>
        <w:pStyle w:val="FootnoteText"/>
        <w:rPr/>
      </w:pPr>
      <w:r>
        <w:rPr>
          <w:rStyle w:val="FootnoteCharacters"/>
        </w:rPr>
        <w:footnoteRef/>
      </w:r>
      <w:r>
        <w:rPr>
          <w:rStyle w:val="Emphasis"/>
          <w:color w:val="auto"/>
          <w:kern w:val="0"/>
          <w:sz w:val="22"/>
        </w:rPr>
        <w:t xml:space="preserve"> </w:t>
      </w:r>
      <w:r>
        <w:rPr>
          <w:rStyle w:val="Emphasis"/>
          <w:color w:val="auto"/>
          <w:kern w:val="0"/>
          <w:sz w:val="20"/>
          <w:szCs w:val="20"/>
        </w:rPr>
        <w:t>C</w:t>
      </w:r>
      <w:r>
        <w:rPr>
          <w:rStyle w:val="Emphasis"/>
          <w:color w:val="auto"/>
          <w:kern w:val="0"/>
          <w:sz w:val="20"/>
          <w:szCs w:val="20"/>
        </w:rPr>
        <w:t>amada intermédia de comunicação que permite ao servidor gerir os pedidos enviados a serviços externos, protegendo credenciais sensíveis, controlando o acesso e reduzindo a exposição direta da aplicação a sistemas externos.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pt-PT"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character" w:styleId="Hyperlink">
    <w:name w:val="Hyperlink"/>
    <w:rPr>
      <w:color w:val="000080"/>
      <w:u w:val="single"/>
    </w:rPr>
  </w:style>
  <w:style w:type="character" w:styleId="NumberingSymbols">
    <w:name w:val="Numbering Symbols"/>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mphasis">
    <w:name w:val="Emphasis"/>
    <w:qFormat/>
    <w:rPr>
      <w:i/>
      <w:iCs/>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ListNumber">
    <w:name w:val="List Number"/>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suppressLineNumbers/>
      <w:ind w:hanging="340" w:lef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17483100701714733" TargetMode="External"/><Relationship Id="rId6" Type="http://schemas.openxmlformats.org/officeDocument/2006/relationships/hyperlink" Target="https://doi.org/10.1080/14606925.2024.2420152" TargetMode="External"/><Relationship Id="rId7" Type="http://schemas.openxmlformats.org/officeDocument/2006/relationships/image" Target="media/image4.png"/><Relationship Id="rId8" Type="http://schemas.openxmlformats.org/officeDocument/2006/relationships/hyperlink" Target="https://www.mdpi.com/2673-1592/7/2/26/pdf?version=1740996517"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www.semanticscholar.org/paper/305d55af5fda06b4d1b33e7d29c1f16d1b7ea488" TargetMode="External"/><Relationship Id="rId14" Type="http://schemas.openxmlformats.org/officeDocument/2006/relationships/hyperlink" Target="https://www.semanticscholar.org/paper/305d55af5fda06b4d1b33e7d29c1f16d1b7ea488" TargetMode="Externa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hyperlink" Target="https://doi.org/10.1109/BioRob60516.2024.10719909" TargetMode="External"/><Relationship Id="rId20" Type="http://schemas.openxmlformats.org/officeDocument/2006/relationships/image" Target="media/image13.png"/><Relationship Id="rId21" Type="http://schemas.openxmlformats.org/officeDocument/2006/relationships/hyperlink" Target="https://doi.org/10.1115/DETC2018-85645" TargetMode="External"/><Relationship Id="rId22" Type="http://schemas.openxmlformats.org/officeDocument/2006/relationships/image" Target="media/image14.png"/><Relationship Id="rId23" Type="http://schemas.openxmlformats.org/officeDocument/2006/relationships/hyperlink" Target="https://doi.org/10.1109/BioRob60516.2024.10719909" TargetMode="Externa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hyperlink" Target="https://doi.org/10.1088/1742-6596/2198/1/012040" TargetMode="External"/><Relationship Id="rId27" Type="http://schemas.openxmlformats.org/officeDocument/2006/relationships/image" Target="media/image17.png"/><Relationship Id="rId28" Type="http://schemas.openxmlformats.org/officeDocument/2006/relationships/hyperlink" Target="https://doi.org/10.1080/17483107.2025.2483953" TargetMode="External"/><Relationship Id="rId29" Type="http://schemas.openxmlformats.org/officeDocument/2006/relationships/image" Target="media/image18.png"/><Relationship Id="rId30" Type="http://schemas.openxmlformats.org/officeDocument/2006/relationships/hyperlink" Target="https://doi.org/10.1016/j.inffus.2019.12.012" TargetMode="External"/><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footnotes" Target="footnotes.xml"/><Relationship Id="rId34" Type="http://schemas.openxmlformats.org/officeDocument/2006/relationships/comments" Target="comments.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4335</TotalTime>
  <Application>LibreOffice/26.2.4.2$Linux_X86_64 LibreOffice_project/3346a99e6b841765b75a9b29714a5b95c6761ce3</Application>
  <AppVersion>15.0000</AppVersion>
  <Pages>131</Pages>
  <Words>47047</Words>
  <Characters>297773</Characters>
  <CharactersWithSpaces>343454</CharactersWithSpaces>
  <Paragraphs>1494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2026-07-01T15:26:09Z</dcterms:created>
  <dc:creator>Codex Markdown Exporter</dc:creator>
  <dc:description/>
  <dc:language>en-US</dc:language>
  <cp:lastModifiedBy/>
  <dcterms:modified xsi:type="dcterms:W3CDTF">2026-07-08T12:10:45Z</dcterms:modified>
  <cp:revision>95</cp:revision>
  <dc:subject/>
  <dc:title>projecto-completo</dc:title>
</cp:coreProperties>
</file>

<file path=docProps/custom.xml><?xml version="1.0" encoding="utf-8"?>
<Properties xmlns="http://schemas.openxmlformats.org/officeDocument/2006/custom-properties" xmlns:vt="http://schemas.openxmlformats.org/officeDocument/2006/docPropsVTypes"/>
</file>