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documento:0.4.22</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Resumo</w:t>
      </w:r>
    </w:p>
    <w:p>
      <w:pPr>
        <w:pStyle w:val="Normal"/>
        <w:rPr/>
      </w:pPr>
      <w:r>
        <w:rPr/>
        <w:t>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w:t>
      </w:r>
    </w:p>
    <w:p>
      <w:pPr>
        <w:pStyle w:val="Normal"/>
        <w:rPr/>
      </w:pPr>
      <w:r>
        <w:rPr/>
        <w:t xml:space="preserve">Os resultados mostram que a combinação entre regras paramétricas explícitas, apoio de IA e verificação material pode tornar o processo de personalização mais </w:t>
      </w:r>
      <w:commentRangeStart w:id="0"/>
      <w:r>
        <w:rPr>
          <w:shd w:fill="FFFF00" w:val="clear"/>
        </w:rPr>
        <w:t xml:space="preserve">rastreável </w:t>
      </w:r>
      <w:r>
        <w:rPr>
          <w:shd w:fill="FFFF00" w:val="clear"/>
        </w:rPr>
      </w:r>
      <w:commentRangeEnd w:id="0"/>
      <w:r>
        <w:commentReference w:id="0"/>
      </w:r>
      <w:r>
        <w:rPr/>
        <w:t>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rPr>
          <w:b/>
          <w:bCs/>
        </w:rPr>
      </w:pPr>
      <w:r>
        <w:rPr>
          <w:b/>
          <w:bCs/>
        </w:rPr>
      </w:r>
    </w:p>
    <w:p>
      <w:pPr>
        <w:pStyle w:val="Normal"/>
        <w:rPr/>
      </w:pPr>
      <w:r>
        <w:rPr>
          <w:b/>
          <w:bCs/>
        </w:rPr>
        <w:t>Palavras-chave</w:t>
      </w:r>
      <w:r>
        <w:rPr/>
        <w:t>: design industrial; próteses de membro superior; design paramétrico; inteligência artificial; impressão 3D; dados antropométricos; fabrico digital.</w:t>
      </w:r>
    </w:p>
    <w:p>
      <w:pPr>
        <w:pStyle w:val="Heading2"/>
        <w:rPr/>
      </w:pPr>
      <w:r>
        <w:rPr/>
      </w:r>
    </w:p>
    <w:p>
      <w:pPr>
        <w:pStyle w:val="Heading2"/>
        <w:rPr/>
      </w:pPr>
      <w:r>
        <w:rPr/>
        <w:t>Abstract</w:t>
      </w:r>
    </w:p>
    <w:p>
      <w:pPr>
        <w:pStyle w:val="Normal"/>
        <w:rPr/>
      </w:pPr>
      <w:r>
        <w:rPr/>
        <w:t>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rPr/>
      </w:pPr>
      <w:r>
        <w:rPr/>
        <w:t>Keywords: industrial design; upper-limb prostheses; parametric design; artificial intelligence; 3D printing; anthropometric data; digital fabrication.</w:t>
      </w:r>
    </w:p>
    <w:p>
      <w:pPr>
        <w:pStyle w:val="Normal"/>
        <w:rPr/>
      </w:pPr>
      <w:r>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2"/>
        <w:gridCol w:w="6726"/>
        <w:gridCol w:w="798"/>
      </w:tblGrid>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15</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54</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54</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58</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62</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64</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66</w:t>
            </w:r>
          </w:p>
        </w:tc>
      </w:tr>
      <w:tr>
        <w:trPr/>
        <w:tc>
          <w:tcPr>
            <w:tcW w:w="1502" w:type="dxa"/>
            <w:tcBorders/>
          </w:tcPr>
          <w:p>
            <w:pPr>
              <w:pStyle w:val="Normal"/>
              <w:rPr/>
            </w:pPr>
            <w:r>
              <w:rPr/>
              <w:t>Tabela 6.1</w:t>
            </w:r>
          </w:p>
        </w:tc>
        <w:tc>
          <w:tcPr>
            <w:tcW w:w="6726" w:type="dxa"/>
            <w:tcBorders/>
          </w:tcPr>
          <w:p>
            <w:pPr>
              <w:pStyle w:val="Normal"/>
              <w:rPr/>
            </w:pPr>
            <w:r>
              <w:rPr/>
              <w:t>Especificação técnica dos modelos de IA e do contrato de sugestão paramétrica</w:t>
            </w:r>
          </w:p>
        </w:tc>
        <w:tc>
          <w:tcPr>
            <w:tcW w:w="798" w:type="dxa"/>
            <w:tcBorders/>
          </w:tcPr>
          <w:p>
            <w:pPr>
              <w:pStyle w:val="Normal"/>
              <w:rPr/>
            </w:pPr>
            <w:r>
              <w:rPr/>
              <w:t>87</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cPr>
          <w:p>
            <w:pPr>
              <w:pStyle w:val="Normal"/>
              <w:rPr/>
            </w:pPr>
            <w:r>
              <w:rPr/>
              <w:t>100</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101</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cPr>
          <w:p>
            <w:pPr>
              <w:pStyle w:val="Normal"/>
              <w:rPr/>
            </w:pPr>
            <w:r>
              <w:rPr/>
              <w:t>104</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cPr>
          <w:p>
            <w:pPr>
              <w:pStyle w:val="Normal"/>
              <w:rPr/>
            </w:pPr>
            <w:r>
              <w:rPr/>
              <w:t>105</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cPr>
          <w:p>
            <w:pPr>
              <w:pStyle w:val="Normal"/>
              <w:rPr/>
            </w:pPr>
            <w:r>
              <w:rPr/>
              <w:t>105</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2"/>
        <w:gridCol w:w="6726"/>
        <w:gridCol w:w="798"/>
      </w:tblGrid>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11</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13</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18</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21</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30</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35</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40</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45</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49</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66</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72</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74</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78</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90</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95</w:t>
            </w:r>
          </w:p>
        </w:tc>
      </w:tr>
      <w:tr>
        <w:trPr/>
        <w:tc>
          <w:tcPr>
            <w:tcW w:w="1502"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6"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4963160" cy="3408045"/>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4963160" cy="340804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 xml:space="preserve">Figura 1.1 — Exemplos de próteses  </w:t>
      </w:r>
      <w:r>
        <w:rPr>
          <w:lang w:val="pt-PT"/>
        </w:rPr>
        <w:t xml:space="preserve">produzidas por </w:t>
      </w:r>
      <w:r>
        <w:rPr>
          <w:lang w:val="pt-PT"/>
        </w:rPr>
        <w:t>fabricação aditiva.</w:t>
      </w:r>
    </w:p>
    <w:p>
      <w:pPr>
        <w:pStyle w:val="Normal"/>
        <w:bidi w:val="0"/>
        <w:jc w:val="left"/>
        <w:rPr>
          <w:lang w:val="pt-PT"/>
        </w:rPr>
      </w:pPr>
      <w:r>
        <w:rPr>
          <w:lang w:val="pt-PT"/>
        </w:rPr>
        <w:t>Fonte: elaboração própria.</w:t>
      </w:r>
    </w:p>
    <w:p>
      <w:pPr>
        <w:pStyle w:val="Normal"/>
        <w:bidi w:val="0"/>
        <w:jc w:val="left"/>
        <w:rPr>
          <w:lang w:val="pt-PT"/>
        </w:rPr>
      </w:pPr>
      <w:r>
        <w:rPr>
          <w:lang w:val="pt-PT"/>
        </w:rPr>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Normal"/>
        <w:bidi w:val="0"/>
        <w:jc w:val="left"/>
        <w:rPr>
          <w:lang w:val="pt-PT"/>
        </w:rPr>
      </w:pPr>
      <w:r>
        <w:rPr>
          <w:lang w:val="pt-PT"/>
        </w:rPr>
      </w:r>
    </w:p>
    <w:p>
      <w:pPr>
        <w:pStyle w:val="Heading3"/>
        <w:bidi w:val="0"/>
        <w:jc w:val="left"/>
        <w:rPr>
          <w:lang w:val="pt-PT"/>
        </w:rPr>
      </w:pPr>
      <w:r>
        <w:rPr>
          <w:lang w:val="pt-PT"/>
        </w:rPr>
        <w:t>1.2 Problema de investigação</w:t>
      </w:r>
    </w:p>
    <w:p>
      <w:pPr>
        <w:pStyle w:val="Heading3"/>
        <w:bidi w:val="0"/>
        <w:jc w:val="left"/>
        <w:rPr>
          <w:lang w:val="pt-PT"/>
        </w:rPr>
      </w:pPr>
      <w:r>
        <w:rPr>
          <w:lang w:val="pt-PT"/>
        </w:rPr>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Heading3"/>
        <w:bidi w:val="0"/>
        <w:jc w:val="left"/>
        <w:rPr>
          <w:lang w:val="pt-PT"/>
        </w:rPr>
      </w:pPr>
      <w:r>
        <w:rPr>
          <w:lang w:val="pt-PT"/>
        </w:rPr>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Heading3"/>
        <w:bidi w:val="0"/>
        <w:jc w:val="left"/>
        <w:rPr>
          <w:lang w:val="pt-PT"/>
        </w:rPr>
      </w:pPr>
      <w:r>
        <w:rPr>
          <w:lang w:val="pt-PT"/>
        </w:rPr>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Heading3"/>
        <w:bidi w:val="0"/>
        <w:jc w:val="left"/>
        <w:rPr>
          <w:lang w:val="pt-PT"/>
        </w:rPr>
      </w:pPr>
      <w:r>
        <w:rPr>
          <w:lang w:val="pt-PT"/>
        </w:rPr>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1"/>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w:t>
      </w:r>
    </w:p>
    <w:p>
      <w:pPr>
        <w:pStyle w:val="Normal"/>
        <w:bidi w:val="0"/>
        <w:jc w:val="left"/>
        <w:rPr/>
      </w:pPr>
      <w:r>
        <w:rPr>
          <w:lang w:val="pt-PT"/>
        </w:rPr>
        <w:t>Adaptado de</w:t>
      </w:r>
      <w:r>
        <w:rPr>
          <w:lang w:val="pt-PT"/>
        </w:rPr>
        <w:t xml:space="preserve">: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2"/>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3"/>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rStyle w:val="FootnoteReference"/>
          <w:lang w:val="pt-PT"/>
        </w:rPr>
        <w:footnoteReference w:id="6"/>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2895"/>
        <w:gridCol w:w="6131"/>
      </w:tblGrid>
      <w:tr>
        <w:trPr>
          <w:tblHeader w:val="true"/>
        </w:trPr>
        <w:tc>
          <w:tcPr>
            <w:tcW w:w="2895"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6131"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2895"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6131"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2895"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6131"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2895"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6131"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2895"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6131"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4"/>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5"/>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6"/>
      </w:r>
      <w:r>
        <w:rPr>
          <w:lang w:val="pt-PT"/>
        </w:rPr>
        <w:t>. Estes dados são analisados de forma iterativa, permitindo reformular o modelo paramétrico e otimizar o seu desempenho.</w:t>
      </w:r>
    </w:p>
    <w:p>
      <w:pPr>
        <w:pStyle w:val="Normal"/>
        <w:bidi w:val="0"/>
        <w:jc w:val="left"/>
        <w:rPr>
          <w:lang w:val="pt-PT"/>
        </w:rPr>
      </w:pPr>
      <w:r>
        <w:rPr/>
        <w:t>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7"/>
      <w:r>
        <w:rPr>
          <w:lang w:val="pt-PT"/>
        </w:rPr>
        <w:t xml:space="preserve">s OpenSCAD/WebAssembly </w:t>
      </w:r>
      <w:r>
        <w:rPr>
          <w:lang w:val="pt-PT"/>
        </w:rPr>
      </w:r>
      <w:commentRangeEnd w:id="7"/>
      <w:r>
        <w:commentReference w:id="7"/>
      </w:r>
      <w:r>
        <w:rPr>
          <w:lang w:val="pt-PT"/>
        </w:rPr>
        <w:t xml:space="preserve">e se os ficheiros </w:t>
      </w:r>
      <w:commentRangeStart w:id="8"/>
      <w:r>
        <w:rPr>
          <w:lang w:val="pt-PT"/>
        </w:rPr>
        <w:t>3MF e STL</w:t>
      </w:r>
      <w:r>
        <w:rPr>
          <w:lang w:val="pt-PT"/>
        </w:rPr>
      </w:r>
      <w:commentRangeEnd w:id="8"/>
      <w:r>
        <w:commentReference w:id="8"/>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9"/>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3510"/>
        <w:gridCol w:w="5516"/>
      </w:tblGrid>
      <w:tr>
        <w:trPr>
          <w:tblHeader w:val="true"/>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3510"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551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0"/>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0"/>
      <w:r>
        <w:commentReference w:id="10"/>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1"/>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1"/>
      <w:r>
        <w:commentReference w:id="11"/>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2"/>
      <w:r>
        <w:rPr>
          <w:lang w:val="pt-PT"/>
        </w:rPr>
        <w:t>ivamente técnica (Peixoto et al., 2025 (#ref-peixoto-2025)).</w:t>
      </w:r>
      <w:commentRangeEnd w:id="12"/>
      <w:r>
        <w:commentReference w:id="12"/>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r>
    </w:p>
    <w:p>
      <w:pPr>
        <w:pStyle w:val="Normal"/>
        <w:bidi w:val="0"/>
        <w:jc w:val="left"/>
        <w:rPr>
          <w:lang w:val="pt-PT"/>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31510" cy="3234055"/>
            <wp:effectExtent l="0" t="0" r="0" b="0"/>
            <wp:wrapSquare wrapText="largest"/>
            <wp:docPr id="1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25"/>
                    <a:stretch>
                      <a:fillRect/>
                    </a:stretch>
                  </pic:blipFill>
                  <pic:spPr bwMode="auto">
                    <a:xfrm>
                      <a:off x="0" y="0"/>
                      <a:ext cx="5731510" cy="3234055"/>
                    </a:xfrm>
                    <a:prstGeom prst="rect">
                      <a:avLst/>
                    </a:prstGeom>
                    <a:noFill/>
                  </pic:spPr>
                </pic:pic>
              </a:graphicData>
            </a:graphic>
          </wp:anchor>
        </w:drawing>
      </w:r>
      <w:r>
        <w:rPr>
          <w:lang w:val="pt-PT"/>
        </w:rPr>
        <w:t>Figura 5.</w:t>
      </w:r>
      <w:r>
        <w:rPr>
          <w:lang w:val="pt-PT"/>
        </w:rPr>
        <w:t>2</w:t>
      </w:r>
      <w:r>
        <w:rPr>
          <w:lang w:val="pt-PT"/>
        </w:rPr>
        <w:t xml:space="preserve"> — </w:t>
      </w:r>
      <w:r>
        <w:rPr>
          <w:lang w:val="pt-PT"/>
        </w:rPr>
        <w:t>Painel de configuração do perfil de utilizador na plataforma</w:t>
      </w:r>
      <w:r>
        <w:rPr>
          <w:lang w:val="pt-PT"/>
        </w:rPr>
        <w:t xml:space="preserve"> – Hand Fab</w:t>
      </w:r>
    </w:p>
    <w:p>
      <w:pPr>
        <w:pStyle w:val="Normal"/>
        <w:bidi w:val="0"/>
        <w:jc w:val="left"/>
        <w:rPr>
          <w:lang w:val="pt-PT"/>
        </w:rPr>
      </w:pPr>
      <w:r>
        <w:rPr/>
        <w:t>Produção própria</w:t>
      </w:r>
    </w:p>
    <w:p>
      <w:pPr>
        <w:pStyle w:val="Normal"/>
        <w:bidi w:val="0"/>
        <w:jc w:val="left"/>
        <w:rPr>
          <w:lang w:val="pt-PT"/>
        </w:rPr>
      </w:pPr>
      <w:r>
        <w:rPr>
          <w:lang w:val="pt-PT"/>
        </w:rPr>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7"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26"/>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w:t>
      </w:r>
      <w:r>
        <w:rPr>
          <w:lang w:val="pt-PT"/>
        </w:rPr>
        <w:t>3</w:t>
      </w:r>
      <w:r>
        <w:rPr>
          <w:lang w:val="pt-PT"/>
        </w:rPr>
        <w:t xml:space="preserve">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7">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31510" cy="4450080"/>
            <wp:effectExtent l="0" t="0" r="0" b="0"/>
            <wp:wrapSquare wrapText="largest"/>
            <wp:docPr id="1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28"/>
                    <a:stretch>
                      <a:fillRect/>
                    </a:stretch>
                  </pic:blipFill>
                  <pic:spPr bwMode="auto">
                    <a:xfrm>
                      <a:off x="0" y="0"/>
                      <a:ext cx="5731510" cy="4450080"/>
                    </a:xfrm>
                    <a:prstGeom prst="rect">
                      <a:avLst/>
                    </a:prstGeom>
                    <a:noFill/>
                  </pic:spPr>
                </pic:pic>
              </a:graphicData>
            </a:graphic>
          </wp:anchor>
        </w:drawing>
      </w:r>
    </w:p>
    <w:p>
      <w:pPr>
        <w:pStyle w:val="Normal"/>
        <w:bidi w:val="0"/>
        <w:jc w:val="left"/>
        <w:rPr>
          <w:lang w:val="pt-PT"/>
        </w:rPr>
      </w:pPr>
      <w:r>
        <w:rPr>
          <w:lang w:val="pt-PT"/>
        </w:rPr>
        <w:t>Figura 5.</w:t>
      </w:r>
      <w:r>
        <w:rPr>
          <w:lang w:val="pt-PT"/>
        </w:rPr>
        <w:t>4</w:t>
      </w:r>
      <w:r>
        <w:rPr>
          <w:lang w:val="pt-PT"/>
        </w:rPr>
        <w:t xml:space="preserve"> — </w:t>
      </w:r>
      <w:r>
        <w:rPr>
          <w:lang w:val="pt-PT"/>
        </w:rPr>
        <w:t xml:space="preserve"> Modelo paramétrico através da visualização do código que o compõe, na plataforma Hand Fab.</w:t>
      </w:r>
    </w:p>
    <w:p>
      <w:pPr>
        <w:pStyle w:val="Normal"/>
        <w:bidi w:val="0"/>
        <w:jc w:val="left"/>
        <w:rPr>
          <w:lang w:val="pt-PT"/>
        </w:rPr>
      </w:pPr>
      <w:r>
        <w:rPr/>
        <w:t xml:space="preserve">Fonte original: </w:t>
      </w:r>
      <w:r>
        <w:rPr/>
        <w:t>Produção própria</w:t>
      </w:r>
    </w:p>
    <w:p>
      <w:pPr>
        <w:pStyle w:val="Normal"/>
        <w:bidi w:val="0"/>
        <w:jc w:val="left"/>
        <w:rPr>
          <w:lang w:val="pt-PT"/>
        </w:rPr>
      </w:pPr>
      <w:r>
        <w:rPr>
          <w:lang w:val="pt-PT"/>
        </w:rPr>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9"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6" descr="Image 16"/>
                    <pic:cNvPicPr>
                      <a:picLocks noChangeAspect="1" noChangeArrowheads="1"/>
                    </pic:cNvPicPr>
                  </pic:nvPicPr>
                  <pic:blipFill>
                    <a:blip r:embed="rId29"/>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30">
        <w:r>
          <w:rPr>
            <w:rStyle w:val="Hyperlink"/>
            <w:lang w:val="pt-PT"/>
          </w:rPr>
          <w:t>https://doi.org/10.1080/17483107.2025.2483953</w:t>
        </w:r>
      </w:hyperlink>
    </w:p>
    <w:p>
      <w:pPr>
        <w:pStyle w:val="Normal"/>
        <w:bidi w:val="0"/>
        <w:jc w:val="left"/>
        <w:rPr>
          <w:lang w:val="pt-PT"/>
        </w:rPr>
      </w:pPr>
      <w:r>
        <w:rPr/>
      </w:r>
    </w:p>
    <w:tbl>
      <w:tblPr>
        <w:tblW w:w="5000" w:type="pct"/>
        <w:jc w:val="left"/>
        <w:tblInd w:w="0" w:type="dxa"/>
        <w:tblLayout w:type="fixed"/>
        <w:tblCellMar>
          <w:top w:w="0" w:type="dxa"/>
          <w:left w:w="0" w:type="dxa"/>
          <w:bottom w:w="0" w:type="dxa"/>
          <w:right w:w="0" w:type="dxa"/>
        </w:tblCellMar>
      </w:tblPr>
      <w:tblGrid>
        <w:gridCol w:w="4513"/>
        <w:gridCol w:w="4513"/>
      </w:tblGrid>
      <w:tr>
        <w:trPr>
          <w:trHeight w:val="2515" w:hRule="atLeast"/>
        </w:trPr>
        <w:tc>
          <w:tcPr>
            <w:tcW w:w="4513" w:type="dxa"/>
            <w:tcBorders/>
          </w:tcPr>
          <w:p>
            <w:pPr>
              <w:pStyle w:val="TableContents"/>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2865755" cy="1600835"/>
                  <wp:effectExtent l="0" t="0" r="0" b="0"/>
                  <wp:wrapSquare wrapText="largest"/>
                  <wp:docPr id="2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31"/>
                          <a:stretch>
                            <a:fillRect/>
                          </a:stretch>
                        </pic:blipFill>
                        <pic:spPr bwMode="auto">
                          <a:xfrm>
                            <a:off x="0" y="0"/>
                            <a:ext cx="2865755" cy="1600835"/>
                          </a:xfrm>
                          <a:prstGeom prst="rect">
                            <a:avLst/>
                          </a:prstGeom>
                          <a:noFill/>
                        </pic:spPr>
                      </pic:pic>
                    </a:graphicData>
                  </a:graphic>
                </wp:anchor>
              </w:drawing>
            </w:r>
          </w:p>
        </w:tc>
        <w:tc>
          <w:tcPr>
            <w:tcW w:w="4513" w:type="dxa"/>
            <w:tcBorders/>
          </w:tcPr>
          <w:p>
            <w:pPr>
              <w:pStyle w:val="TableContents"/>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2865755" cy="1600835"/>
                  <wp:effectExtent l="0" t="0" r="0" b="0"/>
                  <wp:wrapSquare wrapText="largest"/>
                  <wp:docPr id="2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32"/>
                          <a:stretch>
                            <a:fillRect/>
                          </a:stretch>
                        </pic:blipFill>
                        <pic:spPr bwMode="auto">
                          <a:xfrm>
                            <a:off x="0" y="0"/>
                            <a:ext cx="2865755" cy="1600835"/>
                          </a:xfrm>
                          <a:prstGeom prst="rect">
                            <a:avLst/>
                          </a:prstGeom>
                          <a:noFill/>
                        </pic:spPr>
                      </pic:pic>
                    </a:graphicData>
                  </a:graphic>
                </wp:anchor>
              </w:drawing>
            </w:r>
          </w:p>
        </w:tc>
      </w:tr>
      <w:tr>
        <w:trPr/>
        <w:tc>
          <w:tcPr>
            <w:tcW w:w="4513" w:type="dxa"/>
            <w:tcBorders/>
          </w:tcPr>
          <w:p>
            <w:pPr>
              <w:pStyle w:val="TableContents"/>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2865755" cy="1600835"/>
                  <wp:effectExtent l="0" t="0" r="0" b="0"/>
                  <wp:wrapSquare wrapText="largest"/>
                  <wp:docPr id="2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33"/>
                          <a:stretch>
                            <a:fillRect/>
                          </a:stretch>
                        </pic:blipFill>
                        <pic:spPr bwMode="auto">
                          <a:xfrm>
                            <a:off x="0" y="0"/>
                            <a:ext cx="2865755" cy="1600835"/>
                          </a:xfrm>
                          <a:prstGeom prst="rect">
                            <a:avLst/>
                          </a:prstGeom>
                          <a:noFill/>
                        </pic:spPr>
                      </pic:pic>
                    </a:graphicData>
                  </a:graphic>
                </wp:anchor>
              </w:drawing>
            </w:r>
          </w:p>
        </w:tc>
        <w:tc>
          <w:tcPr>
            <w:tcW w:w="4513" w:type="dxa"/>
            <w:tcBorders/>
          </w:tcPr>
          <w:p>
            <w:pPr>
              <w:pStyle w:val="TableContents"/>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2865755" cy="1600835"/>
                  <wp:effectExtent l="0" t="0" r="0" b="0"/>
                  <wp:wrapSquare wrapText="largest"/>
                  <wp:docPr id="2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34"/>
                          <a:stretch>
                            <a:fillRect/>
                          </a:stretch>
                        </pic:blipFill>
                        <pic:spPr bwMode="auto">
                          <a:xfrm>
                            <a:off x="0" y="0"/>
                            <a:ext cx="2865755" cy="1600835"/>
                          </a:xfrm>
                          <a:prstGeom prst="rect">
                            <a:avLst/>
                          </a:prstGeom>
                          <a:noFill/>
                        </pic:spPr>
                      </pic:pic>
                    </a:graphicData>
                  </a:graphic>
                </wp:anchor>
              </w:drawing>
            </w:r>
          </w:p>
        </w:tc>
      </w:tr>
    </w:tbl>
    <w:p>
      <w:pPr>
        <w:pStyle w:val="Normal"/>
        <w:bidi w:val="0"/>
        <w:jc w:val="left"/>
        <w:rPr>
          <w:lang w:val="pt-PT"/>
        </w:rPr>
      </w:pPr>
      <w:r>
        <w:rPr/>
      </w:r>
    </w:p>
    <w:p>
      <w:pPr>
        <w:pStyle w:val="Normal"/>
        <w:bidi w:val="0"/>
        <w:jc w:val="left"/>
        <w:rPr>
          <w:lang w:val="pt-PT"/>
        </w:rPr>
      </w:pPr>
      <w:r>
        <w:rPr/>
        <w:t>Figura 5.</w:t>
      </w:r>
      <w:r>
        <w:rPr/>
        <w:t xml:space="preserve">4 </w:t>
      </w:r>
      <w:r>
        <w:rPr>
          <w:lang w:val="pt-PT"/>
        </w:rPr>
        <w:t>— Ferramentas para edição de modelo paramétrico na plataforma Hand Fab.</w:t>
      </w:r>
    </w:p>
    <w:p>
      <w:pPr>
        <w:pStyle w:val="Normal"/>
        <w:bidi w:val="0"/>
        <w:jc w:val="left"/>
        <w:rPr>
          <w:lang w:val="pt-PT"/>
        </w:rPr>
      </w:pPr>
      <w:r>
        <w:rPr>
          <w:lang w:val="pt-PT"/>
        </w:rPr>
        <w:t>Fonte: Produção própria.</w:t>
      </w:r>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3"/>
      <w:r>
        <w:rPr>
          <w:lang w:val="pt-PT"/>
        </w:rPr>
        <w:t>STL ou 3MF</w:t>
      </w:r>
      <w:r>
        <w:rPr>
          <w:lang w:val="pt-PT"/>
        </w:rPr>
      </w:r>
      <w:commentRangeEnd w:id="13"/>
      <w:r>
        <w:commentReference w:id="13"/>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4"/>
      <w:r>
        <w:rPr>
          <w:lang w:val="pt-PT"/>
        </w:rPr>
        <w:t>No caso do Paraglider Hand, também conhecido como Flexible Flyer, a integração partiu de uma mão mecânica acionada pelo corpo, derivada da linhagem Phoenix e UnLimbited.</w:t>
      </w:r>
      <w:r>
        <w:rPr>
          <w:lang w:val="pt-PT"/>
        </w:rPr>
      </w:r>
      <w:commentRangeEnd w:id="14"/>
      <w:r>
        <w:commentReference w:id="14"/>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5"/>
      <w:r>
        <w:rPr>
          <w:lang w:val="pt-PT"/>
        </w:rPr>
        <w:t>parâmetros de hardware</w:t>
      </w:r>
      <w:r>
        <w:rPr>
          <w:lang w:val="pt-PT"/>
        </w:rPr>
      </w:r>
      <w:commentRangeEnd w:id="15"/>
      <w:r>
        <w:commentReference w:id="15"/>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6"/>
      <w:r>
        <w:rPr>
          <w:lang w:val="pt-PT"/>
        </w:rPr>
        <w:t>SQLite</w:t>
      </w:r>
      <w:r>
        <w:rPr>
          <w:lang w:val="pt-PT"/>
        </w:rPr>
      </w:r>
      <w:commentRangeEnd w:id="16"/>
      <w:r>
        <w:commentReference w:id="16"/>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7"/>
      <w:r>
        <w:rPr>
          <w:lang w:val="pt-PT"/>
        </w:rPr>
        <w:t>IA</w:t>
      </w:r>
      <w:r>
        <w:rPr>
          <w:lang w:val="pt-PT"/>
        </w:rPr>
      </w:r>
      <w:commentRangeEnd w:id="17"/>
      <w:r>
        <w:commentReference w:id="17"/>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8"/>
      <w:r>
        <w:rPr>
          <w:lang w:val="pt-PT"/>
        </w:rPr>
        <w:t>EMG</w:t>
      </w:r>
      <w:r>
        <w:rPr>
          <w:lang w:val="pt-PT"/>
        </w:rPr>
      </w:r>
      <w:commentRangeEnd w:id="18"/>
      <w:r>
        <w:commentReference w:id="18"/>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Neste enquadramento, a IA é tratada como camada complementar de apoio à configuração, operando sobre uma base paramétrica já definida. A literatura sobre próteses parametrizadas, dedos protésicos personalizados e encaixes transradiais confirma a utilidade de modelos explícitos e ajustáveis; neste sistema, esse princípio é retomado sem atribuir à IA a geração autónoma da geometria (da Silveira Romero et al., 2025 (#ref-da-silveira-romero-2025); Lim et al., 2018 (#ref-lim-2018); Saldarriaga et al., 2024 (#ref-saldarriaga-2024)).</w:t>
      </w:r>
      <w:r>
        <w:rPr>
          <w:lang w:val="pt-PT"/>
        </w:rPr>
        <w:commentReference w:id="19"/>
      </w:r>
    </w:p>
    <w:p>
      <w:pPr>
        <w:pStyle w:val="Normal"/>
        <w:bidi w:val="0"/>
        <w:jc w:val="left"/>
        <w:rPr>
          <w:lang w:val="pt-PT"/>
        </w:rPr>
      </w:pPr>
      <w:r>
        <w:rPr>
          <w:lang w:val="pt-PT"/>
        </w:rPr>
        <w:t>A sua função específica é mediar a passagem entre dados de entrada e exploração inicial do espaço paramétrico: sugere valores plausíveis, sinaliza dependências e reduz a complexidade da configuração manual, sem substituir interpretação humana nem validação técnica. Esta posição aproxima-se de abordagens data-driven orientadas à adaptação estrutural e ao conforto (Gu et al., 2024 (#ref-gu-2024)).</w:t>
      </w:r>
      <w:r>
        <w:rPr>
          <w:lang w:val="pt-PT"/>
        </w:rPr>
        <w:commentReference w:id="20"/>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descrita no capítulo anterior: a interface, a lógica paramétrica, a renderização local e a chamada à IA mantêm funções separadas. A IA reforça um processo já estruturado por regras, fabrico e responsabilidade humana, em vez de prometer automatização total (Romero et al., 2025 (#ref-da-silveira-romero-2025); Elbreki et al., 2022 (#ref-elbreki-2022); Idris et al., 2024 (#ref-idris-2024)).</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pStyle w:val="Normal"/>
        <w:rPr/>
      </w:pPr>
      <w:r>
        <w:rPr/>
        <w:t>Tabela 6.1 — Especificação técnica dos modelos de IA e do contrato de sugestão paramétrica</w:t>
      </w:r>
    </w:p>
    <w:tbl>
      <w:tblPr>
        <w:tblW w:w="9026" w:type="dxa"/>
        <w:jc w:val="left"/>
        <w:tblInd w:w="103"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Elemento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Especificação no protótipo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Função da IA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Sugestão inicial de parâmetros antropométricos e geométricos a partir de descrições em linguagem natural; não gera autonomamente a geometria final nem valida clinicamente a prótese.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Endpoint de integração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rPr>
              <w:t>POST /api/ai/suggest</w:t>
            </w:r>
            <w:r>
              <w:rPr/>
              <w:t>, através de chamada autenticada e limitada por frequência, com as chaves de API mantidas no servidor.</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Fornecedor e modelo usados na validação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Anthropic, com o modelo </w:t>
            </w:r>
            <w:r>
              <w:rPr>
                <w:rFonts w:ascii="Consolas" w:hAnsi="Consolas"/>
              </w:rPr>
              <w:t>claude-sonnet-4-6</w:t>
            </w:r>
            <w:r>
              <w:rPr/>
              <w:t>, definido como opção predefinida no backend do protótipo.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Modelo alternativo disponibilizado</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OpenAI, com o modelo </w:t>
            </w:r>
            <w:r>
              <w:rPr>
                <w:rFonts w:ascii="Consolas" w:hAnsi="Consolas"/>
              </w:rPr>
              <w:t>gpt-4</w:t>
            </w:r>
            <w:r>
              <w:rPr/>
              <w:t>, acessível através da mesma rota de sugestão paramétrica.</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Seleção do fornecedor</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 xml:space="preserve">A interface permite escolher entre </w:t>
            </w:r>
            <w:r>
              <w:rPr>
                <w:rFonts w:ascii="Consolas" w:hAnsi="Consolas"/>
              </w:rPr>
              <w:t>Anthropic (Claude)</w:t>
            </w:r>
            <w:r>
              <w:rPr/>
              <w:t xml:space="preserve"> e </w:t>
            </w:r>
            <w:r>
              <w:rPr>
                <w:rFonts w:ascii="Consolas" w:hAnsi="Consolas"/>
              </w:rPr>
              <w:t>OpenAI (GPT-4)</w:t>
            </w:r>
            <w:r>
              <w:rPr/>
              <w:t xml:space="preserve">; o pedido enviado ao servidor identifica o fornecedor através do campo </w:t>
            </w:r>
            <w:r>
              <w:rPr>
                <w:rFonts w:ascii="Consolas" w:hAnsi="Consolas"/>
              </w:rPr>
              <w:t>provider</w:t>
            </w:r>
            <w:r>
              <w:rPr/>
              <w:t>.</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Contrato de resposta</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Objeto JSON simples no formato parâmetro-valor; chaves desconhecidas são rejeitadas ou ignoradas e apenas parâmetros pertencentes ao modelo ativo podem ser aplicados.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Enquadramento dos dados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O pedido inclui o esquema vivo do modelo, limites mínimos e máximos, valores correntes, legendas dos parâmetros e, quando disponível, médias de perfis antropométricos populacionais.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Modelos CAD parametrizados abrangidos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Flexy Beast, Paraglider Hand e UnLimbited Phoenix, cada um com parâmetros, limites e mecanismos de escala próprios.</w:t>
            </w:r>
          </w:p>
        </w:tc>
      </w:tr>
    </w:tbl>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procura ampliar a capacidade de análise e exploração do protesista, do designer ou do utilizador informado: sugere configurações iniciais, organiza alternativas e explicita dependências, mas a aceitação final continua dependente de verificação técnica e julgamento contextual.</w:t>
      </w:r>
      <w:r>
        <w:rPr>
          <w:lang w:val="pt-PT"/>
        </w:rPr>
        <w:commentReference w:id="21"/>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2"/>
      <w:r>
        <w:rPr>
          <w:lang w:val="pt-PT"/>
        </w:rPr>
        <w:t>O protocolo considerou dois grupos de perfis: cinco descrições apenas demográficas ou contextuais e três cenários de amputação unilateral com diferentes níveis de medição. A função desta secção é delimitar o desenho do ensaio; os resultados detalhados, incluindo a resposta a entradas completas, parciais ou apenas demográficas, são apresentados na Secção 8.2.</w:t>
      </w:r>
      <w:commentRangeEnd w:id="22"/>
      <w:r>
        <w:commentReference w:id="22"/>
      </w:r>
      <w:r>
        <w:rPr>
          <w:lang w:val="pt-PT"/>
        </w:rPr>
      </w:r>
    </w:p>
    <w:p>
      <w:pPr>
        <w:pStyle w:val="Normal"/>
        <w:bidi w:val="0"/>
        <w:jc w:val="left"/>
        <w:rPr>
          <w:lang w:val="pt-PT"/>
        </w:rPr>
      </w:pPr>
      <w:r>
        <w:rPr>
          <w:lang w:val="pt-PT"/>
        </w:rPr>
        <w:t>A verificação prolongou-se depois da resposta numérica até à exportação dos modelos em STL e 3MF, etapa necessária para confirmar a continuidade entre sugestão paramétrica e geometria produzida.</w:t>
      </w:r>
    </w:p>
    <w:p>
      <w:pPr>
        <w:pStyle w:val="Normal"/>
        <w:bidi w:val="0"/>
        <w:jc w:val="left"/>
        <w:rPr>
          <w:lang w:val="pt-PT"/>
        </w:rPr>
      </w:pPr>
      <w:r>
        <w:rPr>
          <w:lang w:val="pt-PT"/>
        </w:rPr>
        <w:t>Essa etapa incidiu sobre os três modelos ativos da plataforma - Flexy Beast, Paraglider Hand e UnLimbited Phoenix - e os seus resultados são analisados na Secção 8.3.</w:t>
      </w:r>
      <w:r>
        <w:rPr/>
        <w:commentReference w:id="23"/>
      </w:r>
    </w:p>
    <w:p>
      <w:pPr>
        <w:pStyle w:val="Normal"/>
        <w:bidi w:val="0"/>
        <w:jc w:val="left"/>
        <w:rPr>
          <w:lang w:val="pt-PT"/>
        </w:rPr>
      </w:pPr>
      <w:r>
        <w:rPr>
          <w:lang w:val="pt-PT"/>
        </w:rPr>
        <w:t>A lateralidade foi incluída no protocolo como critério crítico, mas a descrição completa da falha observada e da correção determinística fica concentrada na Secção 8.2. Esta opção evita duplicar aqui a narrativa dos resultados e mantém a Secção 6.3 centrada no desenho da validação e nos seus limites.</w:t>
      </w:r>
    </w:p>
    <w:p>
      <w:pPr>
        <w:pStyle w:val="Normal"/>
        <w:bidi w:val="0"/>
        <w:jc w:val="left"/>
        <w:rPr>
          <w:lang w:val="pt-PT"/>
        </w:rPr>
      </w:pPr>
      <w:r>
        <w:rPr>
          <w:lang w:val="pt-PT"/>
        </w:rPr>
        <w:t>Deste modo, esta secção estabelece o alcance metodológico da validação antropométrica assistida por IA: verificar consistência interna, continuidade entre linguagem natural e parâmetros, e necessidade de revisão humana antes de qualquer utilização funcional ou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p>
    <w:p>
      <w:pPr>
        <w:pStyle w:val="Normal"/>
        <w:bidi w:val="0"/>
        <w:jc w:val="left"/>
        <w:rPr>
          <w:lang w:val="pt-PT"/>
        </w:rPr>
      </w:pPr>
      <w:r>
        <w:rPr>
          <w:lang w:val="pt-PT"/>
        </w:rPr>
        <w:t>A Figura 6.1 sintetiza a relação entre os desafios de tornar os sistemas de IA compreensíveis e os princípios de IA responsável. No contexto desta investigação, a figura é útil porque evidencia que a responsabilidade em sistemas de IA resulta da articulação entre desempenho preditivo, transparência, possibilidade de verificação, privacidade, justiça e prestação de contas.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24"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7" descr="Image 17"/>
                    <pic:cNvPicPr>
                      <a:picLocks noChangeAspect="1" noChangeArrowheads="1"/>
                    </pic:cNvPicPr>
                  </pic:nvPicPr>
                  <pic:blipFill>
                    <a:blip r:embed="rId35"/>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6">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acede às configurações e comunicar que a IA apoia a configuração sem assumir autoridade técnica ou clínica. Esta delimitação evita deslocamentos indevidos de responsabilidade e define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tornar acessível, através da interface, um sistema de modelação paramétrica baseado em código. Em vez de exigir contacto direto com a estrutura interna do modelo, a aplicação organiza a interação em torno de ações reconhecíveis e progressivas: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4"/>
      <w:r>
        <w:rPr>
          <w:lang w:val="pt-PT"/>
        </w:rPr>
        <w:t>UI/UX</w:t>
      </w:r>
      <w:r>
        <w:rPr>
          <w:lang w:val="pt-PT"/>
        </w:rPr>
      </w:r>
      <w:commentRangeEnd w:id="24"/>
      <w:r>
        <w:commentReference w:id="24"/>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25"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18" descr="Image 18"/>
                    <pic:cNvPicPr>
                      <a:picLocks noChangeAspect="1" noChangeArrowheads="1"/>
                    </pic:cNvPicPr>
                  </pic:nvPicPr>
                  <pic:blipFill>
                    <a:blip r:embed="rId37"/>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3"/>
        <w:gridCol w:w="2835"/>
        <w:gridCol w:w="3956"/>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3"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6"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6"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19" descr="Image 19"/>
                    <pic:cNvPicPr>
                      <a:picLocks noChangeAspect="1" noChangeArrowheads="1"/>
                    </pic:cNvPicPr>
                  </pic:nvPicPr>
                  <pic:blipFill>
                    <a:blip r:embed="rId38"/>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 xml:space="preserve">Tabela 8.5 — Rácio adimensional da maior dimensão da palma exportada face ao </w:t>
      </w:r>
      <w:commentRangeStart w:id="25"/>
      <w:r>
        <w:rPr/>
        <w:t>baseline</w:t>
      </w:r>
      <w:commentRangeEnd w:id="25"/>
      <w:r>
        <w:commentReference w:id="25"/>
      </w: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em síntese, que as sugestões respeitaram os limites do modelo, preservaram proporções anatómicas e se adaptaram à riqueza variável das entradas, desde medições completas até descrições apenas contextuais.</w:t>
      </w:r>
    </w:p>
    <w:p>
      <w:pPr>
        <w:pStyle w:val="Normal"/>
        <w:bidi w:val="0"/>
        <w:jc w:val="left"/>
        <w:rPr>
          <w:lang w:val="pt-PT"/>
        </w:rPr>
      </w:pPr>
      <w:r>
        <w:rPr/>
        <w:t>A validação geométrica e a prototipagem física acrescentaram uma verificação indispensável: a cadeia até STL/3MF e impressão 3D revelou constrangimentos de escala, dependências do código original, zonas críticas e montagem preliminar que a resposta numérica isolada não evidenciava.</w:t>
      </w:r>
    </w:p>
    <w:p>
      <w:pPr>
        <w:pStyle w:val="Normal"/>
        <w:bidi w:val="0"/>
        <w:jc w:val="left"/>
        <w:rPr>
          <w:lang w:val="pt-PT"/>
        </w:rPr>
      </w:pPr>
      <w:r>
        <w:rPr/>
        <w:t>A avaliação centrada no utilizador reforçou a mesma conclusão metodológica: a acessibilidade paramétrica depende tanto da inferência da IA como de salvaguardas explícitas na interface, em particular para lateralidade, adequação do modelo escolhido e proveniência das estimativas.</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2T12:45:07Z" w:initials="">
    <w:p>
      <w:pPr>
        <w:overflowPunct w:val="false"/>
        <w:rPr/>
      </w:pPr>
      <w:r>
        <w:annotationRef/>
      </w:r>
      <w:r>
        <w:rPr>
          <w:lang w:val="pt-PT"/>
        </w:rPr>
        <w:t>Encontrar alternativa</w:t>
      </w:r>
    </w:p>
  </w:comment>
  <w:comment w:id="1"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2" w:author="Unknown Author" w:date="2026-06-30T20:08:54Z" w:initials="">
    <w:p>
      <w:pPr>
        <w:overflowPunct w:val="true"/>
        <w:bidi w:val="0"/>
        <w:rPr/>
      </w:pPr>
      <w:r>
        <w:annotationRef/>
      </w:r>
      <w:r>
        <w:rPr>
          <w:lang w:val="pt-PT"/>
        </w:rPr>
        <w:t>Meter a norma na bibliografia</w:t>
      </w:r>
    </w:p>
  </w:comment>
  <w:comment w:id="3"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4" w:author="Unknown Author" w:date="2026-07-02T17:25:21Z" w:initials="">
    <w:p>
      <w:pPr>
        <w:overflowPunct w:val="false"/>
        <w:bidi w:val="0"/>
        <w:rPr/>
      </w:pPr>
      <w:r>
        <w:annotationRef/>
      </w:r>
      <w:r>
        <w:rPr>
          <w:lang w:val="pt-PT"/>
        </w:rPr>
        <w:t>Podemos adicionar aquele gráfico todo bonito que fizeste antes.</w:t>
      </w:r>
    </w:p>
  </w:comment>
  <w:comment w:id="5" w:author="Unknown Author" w:date="2026-07-02T17:57:37Z" w:initials="">
    <w:p>
      <w:pPr>
        <w:overflowPunct w:val="false"/>
        <w:bidi w:val="0"/>
        <w:rPr/>
      </w:pPr>
      <w:r>
        <w:annotationRef/>
      </w:r>
      <w:r>
        <w:rPr>
          <w:lang w:val="pt-PT"/>
        </w:rPr>
        <w:t>Aqui é que podemos meter o nosso gráfico bonitolas</w:t>
      </w:r>
    </w:p>
  </w:comment>
  <w:comment w:id="6" w:author="Unknown Author" w:date="2026-07-02T18:05:03Z" w:initials="">
    <w:p>
      <w:pPr>
        <w:overflowPunct w:val="false"/>
        <w:bidi w:val="0"/>
        <w:rPr/>
      </w:pPr>
      <w:r>
        <w:annotationRef/>
      </w:r>
      <w:r>
        <w:rPr>
          <w:lang w:val="pt-PT"/>
        </w:rPr>
        <w:t>Falo disto? Acho que não faço em PLA e PETG</w:t>
      </w:r>
    </w:p>
  </w:comment>
  <w:comment w:id="7" w:author="Unknown Author" w:date="2026-07-03T19:16:18Z" w:initials="">
    <w:p w14:paraId="01000000">
      <w:pPr>
        <w:overflowPunct w:val="true"/>
        <w:rPr/>
      </w:pPr>
      <w:r>
        <w:annotationRef/>
      </w:r>
      <w:r>
        <w:rPr>
          <w:lang w:val="pt-PT"/>
        </w:rPr>
        <w:t>Isto é a primeira vez que estás a falar do Openscad</w:t>
      </w:r>
    </w:p>
  </w:comment>
  <w:comment w:id="8" w:author="Unknown Author" w:date="2026-07-03T19:16:31Z" w:initials="">
    <w:p w14:paraId="02000000">
      <w:pPr>
        <w:overflowPunct w:val="true"/>
        <w:rPr/>
      </w:pPr>
      <w:r>
        <w:annotationRef/>
      </w:r>
      <w:r>
        <w:rPr>
          <w:lang w:val="pt-PT"/>
        </w:rPr>
        <w:t>É preciso dizer o que é STL e 3MF</w:t>
      </w:r>
    </w:p>
  </w:comment>
  <w:comment w:id="9" w:author="Unknown Author" w:date="2026-07-03T13:45:05Z" w:initials="">
    <w:p>
      <w:pPr>
        <w:overflowPunct w:val="false"/>
        <w:bidi w:val="0"/>
        <w:rPr/>
      </w:pPr>
      <w:r>
        <w:annotationRef/>
      </w:r>
      <w:r>
        <w:rPr>
          <w:lang w:val="pt-PT"/>
        </w:rPr>
        <w:t>Estás a entrar em modo repetição outra vez.</w:t>
      </w:r>
    </w:p>
  </w:comment>
  <w:comment w:id="10"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1" w:author="Unknown Author" w:date="2026-07-04T13:27:11Z" w:initials="">
    <w:p>
      <w:pPr>
        <w:overflowPunct w:val="true"/>
        <w:rPr/>
      </w:pPr>
      <w:r>
        <w:annotationRef/>
      </w:r>
      <w:r>
        <w:rPr>
          <w:lang w:val="pt-PT"/>
        </w:rPr>
        <w:t>Meter aqui umas imagens!</w:t>
      </w:r>
    </w:p>
  </w:comment>
  <w:comment w:id="12" w:author="Unknown Author" w:date="2026-07-04T15:20:50Z" w:initials="">
    <w:p>
      <w:pPr>
        <w:overflowPunct w:val="true"/>
        <w:rPr/>
      </w:pPr>
      <w:r>
        <w:annotationRef/>
      </w:r>
      <w:r>
        <w:rPr>
          <w:lang w:val="pt-PT"/>
        </w:rPr>
        <w:t>Vamos meter aqui uma imagem</w:t>
      </w:r>
    </w:p>
  </w:comment>
  <w:comment w:id="13" w:author="Unknown Author" w:date="2026-07-04T18:35:39Z" w:initials="">
    <w:p>
      <w:pPr>
        <w:overflowPunct w:val="true"/>
        <w:rPr/>
      </w:pPr>
      <w:r>
        <w:annotationRef/>
      </w:r>
      <w:r>
        <w:rPr>
          <w:lang w:val="pt-PT"/>
        </w:rPr>
        <w:t>Não te esqueças de adicionar ao indice estas siglas.</w:t>
      </w:r>
    </w:p>
  </w:comment>
  <w:comment w:id="14" w:author="Unknown Author" w:date="2026-07-04T18:51:43Z" w:initials="">
    <w:p w14:paraId="03000000">
      <w:pPr>
        <w:overflowPunct w:val="true"/>
        <w:rPr/>
      </w:pPr>
      <w:r>
        <w:annotationRef/>
      </w:r>
      <w:r>
        <w:rPr>
          <w:lang w:val="pt-PT"/>
        </w:rPr>
        <w:t>Faz sentido integrar uma parte sobre a E-nable e os modelos deles.</w:t>
      </w:r>
    </w:p>
  </w:comment>
  <w:comment w:id="15" w:author="Unknown Author" w:date="2026-07-04T18:53:29Z" w:initials="">
    <w:p>
      <w:pPr>
        <w:overflowPunct w:val="true"/>
        <w:rPr/>
      </w:pPr>
      <w:r>
        <w:annotationRef/>
      </w:r>
      <w:r>
        <w:rPr>
          <w:lang w:val="pt-PT"/>
        </w:rPr>
        <w:t>Parametros de hardware</w:t>
      </w:r>
    </w:p>
  </w:comment>
  <w:comment w:id="16" w:author="Unknown Author" w:date="2026-07-04T21:37:44Z" w:initials="">
    <w:p w14:paraId="04000000">
      <w:pPr>
        <w:overflowPunct w:val="true"/>
        <w:rPr/>
      </w:pPr>
      <w:r>
        <w:annotationRef/>
      </w:r>
      <w:r>
        <w:rPr>
          <w:lang w:val="pt-PT"/>
        </w:rPr>
        <w:t>Isto está no indice? Vai lá ver</w:t>
      </w:r>
    </w:p>
  </w:comment>
  <w:comment w:id="17" w:author="Unknown Author" w:date="2026-07-05T12:22:53Z" w:initials="">
    <w:p w14:paraId="05000000">
      <w:pPr>
        <w:overflowPunct w:val="true"/>
        <w:rPr/>
      </w:pPr>
      <w:r>
        <w:annotationRef/>
      </w:r>
      <w:r>
        <w:rPr>
          <w:lang w:val="pt-PT"/>
        </w:rPr>
        <w:t>Não esquecer de meter no índice</w:t>
      </w:r>
    </w:p>
  </w:comment>
  <w:comment w:id="18" w:author="Unknown Author" w:date="2026-07-05T12:26:47Z" w:initials="">
    <w:p w14:paraId="06000000">
      <w:pPr>
        <w:overflowPunct w:val="true"/>
        <w:rPr/>
      </w:pPr>
      <w:r>
        <w:annotationRef/>
      </w:r>
      <w:r>
        <w:rPr>
          <w:lang w:val="pt-PT"/>
        </w:rPr>
        <w:t>Adicionar uma nota a explicar e adicionar no indice a sigla</w:t>
      </w:r>
    </w:p>
  </w:comment>
  <w:comment w:id="19" w:author="Unknown Author" w:date="2026-07-05T14:28:24Z" w:initials="">
    <w:p>
      <w:pPr>
        <w:overflowPunct w:val="false"/>
        <w:rPr/>
      </w:pPr>
      <w:r>
        <w:annotationRef/>
      </w:r>
      <w:r>
        <w:rPr>
          <w:lang w:val="pt-PT"/>
        </w:rPr>
        <w:t>Isto é uma repetição</w:t>
      </w:r>
    </w:p>
  </w:comment>
  <w:comment w:id="20" w:author="Unknown Author" w:date="2026-07-05T14:29:31Z" w:initials="">
    <w:p>
      <w:pPr>
        <w:overflowPunct w:val="false"/>
        <w:rPr/>
      </w:pPr>
      <w:r>
        <w:annotationRef/>
      </w:r>
      <w:r>
        <w:rPr>
          <w:lang w:val="pt-PT"/>
        </w:rPr>
        <w:t>Inserir notas de rodapé</w:t>
      </w:r>
    </w:p>
  </w:comment>
  <w:comment w:id="21" w:author="Unknown Author" w:date="2026-07-05T15:25:09Z" w:initials="">
    <w:p>
      <w:pPr>
        <w:overflowPunct w:val="false"/>
        <w:rPr/>
      </w:pPr>
      <w:r>
        <w:annotationRef/>
      </w:r>
      <w:r>
        <w:rPr>
          <w:lang w:val="pt-PT"/>
        </w:rPr>
        <w:t>Inserir um comentário</w:t>
      </w:r>
    </w:p>
  </w:comment>
  <w:comment w:id="22" w:author="Unknown Author" w:date="2026-07-05T16:14:55Z" w:initials="">
    <w:p>
      <w:pPr>
        <w:overflowPunct w:val="false"/>
        <w:rPr/>
      </w:pPr>
      <w:r>
        <w:annotationRef/>
      </w:r>
      <w:r>
        <w:rPr>
          <w:lang w:val="pt-PT"/>
        </w:rPr>
        <w:t>Se calhar introduzir uma tabela com os prompts</w:t>
      </w:r>
    </w:p>
  </w:comment>
  <w:comment w:id="23" w:author="Unknown Author" w:date="2026-07-05T17:43:41Z" w:initials="">
    <w:p>
      <w:pPr>
        <w:overflowPunct w:val="true"/>
        <w:rPr/>
      </w:pPr>
      <w:r>
        <w:annotationRef/>
      </w:r>
      <w:r>
        <w:rPr>
          <w:lang w:val="pt-PT"/>
        </w:rPr>
        <w:t>Introduzir aqui uma tabela com valores</w:t>
      </w:r>
    </w:p>
  </w:comment>
  <w:comment w:id="24" w:author="Unknown Author" w:date="2026-07-05T19:22:29Z" w:initials="">
    <w:p>
      <w:pPr>
        <w:overflowPunct w:val="true"/>
        <w:rPr/>
      </w:pPr>
      <w:r>
        <w:annotationRef/>
      </w:r>
      <w:r>
        <w:rPr>
          <w:lang w:val="pt-PT"/>
        </w:rPr>
        <w:t>indice</w:t>
      </w:r>
    </w:p>
  </w:comment>
  <w:comment w:id="25" w:author="Unknown Author" w:date="2026-07-12T19:00:14Z" w:initials="">
    <w:p>
      <w:pPr>
        <w:overflowPunct w:val="false"/>
        <w:rPr/>
      </w:pPr>
      <w:r>
        <w:annotationRef/>
      </w:r>
      <w:r>
        <w:rPr>
          <w:lang w:val="pt-PT"/>
        </w:rPr>
        <w:t>Meter isto em português</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doi.org/10.1088/1742-6596/2198/1/012040"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doi.org/10.1080/17483107.2025.2483953" TargetMode="External"/><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hyperlink" Target="https://doi.org/10.1016/j.inffus.2019.12.012" TargetMode="External"/><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footnotes" Target="footnotes.xml"/><Relationship Id="rId40" Type="http://schemas.openxmlformats.org/officeDocument/2006/relationships/comments" Target="comments.xml"/><Relationship Id="rId41" Type="http://schemas.microsoft.com/office/2011/relationships/commentsExtended" Target="commentsExtended.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4686</TotalTime>
  <Application>LibreOffice/26.2.4.2$Linux_X86_64 LibreOffice_project/3346a99e6b841765b75a9b29714a5b95c6761ce3</Application>
  <AppVersion>15.0000</AppVersion>
  <Pages>136</Pages>
  <Words>48535</Words>
  <Characters>307083</Characters>
  <CharactersWithSpaces>354065</CharactersWithSpaces>
  <Paragraphs>1690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2026-07-12T23:02:14Z</dcterms:modified>
  <cp:revision>148</cp:revision>
  <dc:subject/>
  <dc:title>projecto-completo</dc:title>
</cp:coreProperties>
</file>

<file path=docProps/custom.xml><?xml version="1.0" encoding="utf-8"?>
<Properties xmlns="http://schemas.openxmlformats.org/officeDocument/2006/custom-properties" xmlns:vt="http://schemas.openxmlformats.org/officeDocument/2006/docPropsVTypes"/>
</file>