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31</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13</w:t>
      </w:r>
    </w:p>
    <w:p>
      <w:pPr>
        <w:pStyle w:val="TOC2"/>
        <w:rPr/>
      </w:pPr>
      <w:r>
        <w:rPr/>
        <w:t>Desafios e lacunas</w:t>
        <w:tab/>
        <w:t>13</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15</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24</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t xml:space="preserve"> devem considerar a experiência física e funcional do utilizador.</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t xml:space="preserve">Esta posição intermédia do </w:t>
      </w:r>
      <w:r>
        <w:rPr>
          <w:i/>
          <w:iCs/>
        </w:rPr>
        <w:t>design</w:t>
      </w:r>
      <w: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t xml:space="preserve">Actuam como clientes ou defensores da equipa de </w:t>
            </w:r>
            <w:r>
              <w:rPr>
                <w:i/>
                <w:iCs/>
              </w:rPr>
              <w:t>design</w:t>
            </w:r>
            <w: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t xml:space="preserve">Clarkson, J., &amp; Coleman, R. (2010). Inclusive design. </w:t>
      </w:r>
      <w:r>
        <w:rPr>
          <w:i/>
          <w:iCs/>
        </w:rPr>
        <w:t>Journal of Engineering Design, 21</w:t>
      </w:r>
      <w: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