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3</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5</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12</w:t>
      </w:r>
    </w:p>
    <w:p>
      <w:pPr>
        <w:pStyle w:val="TOC2"/>
        <w:rPr/>
      </w:pPr>
      <w:r>
        <w:rPr/>
        <w:t>Desafios e lacunas</w:t>
        <w:tab/>
        <w:t>13</w:t>
      </w:r>
    </w:p>
    <w:p>
      <w:pPr>
        <w:pStyle w:val="TOC2"/>
        <w:rPr/>
      </w:pPr>
      <w:r>
        <w:rPr/>
        <w:t>2.3 Fabrico Aditivo e parametrização no design de produto</w:t>
        <w:tab/>
        <w:t>13</w:t>
      </w:r>
    </w:p>
    <w:p>
      <w:pPr>
        <w:pStyle w:val="TOC2"/>
        <w:rPr/>
      </w:pPr>
      <w:r>
        <w:rPr/>
        <w:t>Modelação Paramétrica e Espaços de Variação</w:t>
        <w:tab/>
        <w:t>14</w:t>
      </w:r>
    </w:p>
    <w:p>
      <w:pPr>
        <w:pStyle w:val="TOC2"/>
        <w:rPr/>
      </w:pPr>
      <w:r>
        <w:rPr/>
        <w:t>Integração com Fabrico Aditivo e Design for Additive Manufacturing</w:t>
        <w:tab/>
        <w:t>15</w:t>
      </w:r>
    </w:p>
    <w:p>
      <w:pPr>
        <w:pStyle w:val="TOC2"/>
        <w:rPr/>
      </w:pPr>
      <w:r>
        <w:rPr/>
        <w:t>Configuradores e Cocriação Digital</w:t>
        <w:tab/>
        <w:t>15</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t xml:space="preserve">O </w:t>
      </w:r>
      <w:r>
        <w:rPr>
          <w:i/>
          <w:iCs/>
        </w:rPr>
        <w:t>design</w:t>
      </w:r>
      <w:r>
        <w:t xml:space="preserve"> centrado no utilizador (</w:t>
      </w:r>
      <w:r>
        <w:rPr>
          <w:i/>
          <w:iCs/>
        </w:rPr>
        <w:t>User-Centred Design</w:t>
      </w:r>
      <w:r>
        <w:t xml:space="preserve"> – UCD) procura envolver os utilizadores finais em diferentes fases do desenvolvimento, para que as suas necessidades, competências e contextos de utilização sejam considerados na definição e avaliação do produto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t>Chapman et al. (2025) tornam explícitas as etapas de identificação e selecção dos estudos incluídos na sua revisão, recorrendo a uma adaptação das orientações PRISMA</w:t>
      </w:r>
      <w:r>
        <w:rPr>
          <w:rStyle w:val="FootnoteReference"/>
        </w:rPr>
        <w:footnoteReference w:id="2"/>
      </w:r>
      <w:r>
        <w:t xml:space="preserve">. Este registo permite compreender como foi constituído o conjunto de estudos analisados e torna mais clara a fundamentação bibliográfica utilizada para apoiar decisões de </w:t>
      </w:r>
      <w:r>
        <w:rPr>
          <w:i/>
          <w:iCs/>
        </w:rPr>
        <w:t>design</w:t>
      </w:r>
      <w:r>
        <w:t>.</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t xml:space="preserve">Esta estrutura reforça a necessidade de uma ligação sistemática entre as fases de </w:t>
      </w:r>
      <w:r>
        <w:rPr>
          <w:i/>
          <w:iCs/>
        </w:rPr>
        <w:t>design</w:t>
      </w:r>
      <w:r>
        <w:t xml:space="preserve"> e fabrico, contrariando abordagens que tratam o fabrico como etapa posterior e correctiva (Chtioui et al., 2023; Wiberg et al., 2019).</w:t>
      </w:r>
    </w:p>
    <w:p>
      <w:pPr>
        <w:pStyle w:val="TextoNormal-IPCA"/>
        <w:rPr/>
      </w:pPr>
      <w: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t>Este modelo “</w:t>
      </w:r>
      <w:r>
        <w:rPr>
          <w:i/>
          <w:iCs/>
        </w:rPr>
        <w:t>file-to-factory</w:t>
      </w:r>
      <w:r>
        <w:t>”</w:t>
      </w:r>
      <w:r>
        <w:rPr>
          <w:rStyle w:val="FootnoteReference"/>
        </w:rPr>
        <w:footnoteReference w:id="3"/>
      </w:r>
      <w: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customização em massa (</w:t>
      </w:r>
      <w:r>
        <w:rPr>
          <w:i/>
          <w:iCs/>
        </w:rPr>
        <w:t>mass customization</w:t>
      </w:r>
      <w:r>
        <w:t>) e personalização em massa (</w:t>
      </w:r>
      <w:r>
        <w:rPr>
          <w:i/>
          <w:iCs/>
        </w:rPr>
        <w:t>mass personalization</w:t>
      </w:r>
      <w: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t xml:space="preserve">A personalização em escala depende de uma definição controlada do espaço de variação. Os parâmetros de </w:t>
      </w:r>
      <w:r>
        <w:rPr>
          <w:i/>
          <w:iCs/>
        </w:rPr>
        <w:t>design</w:t>
      </w:r>
      <w:r>
        <w:t xml:space="preserve">, as relações entre esses parâmetros e os respectivos constrangimentos delimitam as combinações válidas e devem ser caracterizados por meio de simulação ou experimentação. Para o </w:t>
      </w:r>
      <w:r>
        <w:rPr>
          <w:i/>
          <w:iCs/>
        </w:rPr>
        <w:t>design</w:t>
      </w:r>
      <w:r>
        <w:t>, esta estrutura permite ampliar a variedade de soluções sem gerar configurações inviáveis ou difíceis de fabricar (Ozdemir et al., 2022).</w:t>
      </w:r>
    </w:p>
    <w:p>
      <w:pPr>
        <w:pStyle w:val="TextoNormal-IPCA"/>
        <w:rPr/>
      </w:pPr>
      <w:r>
        <w:rPr/>
        <w:t>Assim, a qualidade da definição paramétrica desempenha um papel estratégico para a viabilidade de sistemas adaptáveis (Ozdemir et al., 2022).</w:t>
      </w:r>
    </w:p>
    <w:p>
      <w:pPr>
        <w:pStyle w:val="TextoNormal-IPCA"/>
        <w:rPr/>
      </w:pPr>
      <w: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(Wang &amp; Hu, 2024). A aplicação destes sistemas permanece delimitada: no contexto do </w:t>
      </w:r>
      <w:r>
        <w:rPr>
          <w:i/>
          <w:iCs/>
        </w:rPr>
        <w:t>design</w:t>
      </w:r>
      <w:r>
        <w:t>, um algoritmo desenvolvido para um problema particular geralmente não é aplicável a outros e revela pouca capacidade de adaptação a condições diferentes (Yüksel et al., 2023). Por esse motivo, nesta dissertação, o desempenho numa tarefa específica não é equiparado a uma capacidade geral de pensamento.</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t xml:space="preserve">Na avaliação das próteses do membro superior, a literatura identifica a falta de critérios comuns e de medidas especificamente desenvolvidas para esta população, o que limita a produção de dados objectivos e comparáveis sobre a experiência e o desempenho dos dispositivos (Cordella et al., 2016; Jones et al., 2023). Para o </w:t>
      </w:r>
      <w:r>
        <w:rPr>
          <w:i/>
          <w:iCs/>
        </w:rPr>
        <w:t>design</w:t>
      </w:r>
      <w:r>
        <w:t>, Chadwell et al. (2020) assinalam que continuam a existir poucos dados objectivos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adopção desta prática em contexto clínico corrente.</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2020).</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2020).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 personalização em massa, em que uma arquitectura de base integra características variáveis e informação sobre a forma como podem ser modificadas (Ozdemir et al., 2022).</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t xml:space="preserve">Quanto à expansão, a separação entre modelos, parâmetros, interface, autenticação e persistência permite acrescentar modelos OpenSCAD sem redesenhar todo o percurso. Em sistemas de personalização, a arquitectura de base deve identificar as características variáveis e a forma como podem ser modificadas; os parâmetros, as respectivas dependências e os constrangimentos delimitam depois o espaço de soluções válidas (Ozdemir et al., 2022). No HandFab, a integração do Paraglider, do Phoenix, do Flexy Beast e do Cyborg Beast mostrou que não bastava acrescentar um ficheiro .scad: foi necessário declarar parâmetros, limites, dependências e modos de visualização e, em alguns casos, corrigir incompatibilidades ou preservar interfaces mecânicas herdadas. A expansão correspondeu, assim, a uma adaptação de </w:t>
      </w:r>
      <w:r>
        <w:rPr>
          <w:i/>
          <w:iCs/>
        </w:rPr>
        <w:t>design</w:t>
      </w:r>
      <w:r>
        <w:t xml:space="preserve"> controlada, na qual a lógica geométrica e mecânica de cada modelo foi traduzida para a arquitectura configurável da plataforma; não constituiu uma importação automática de geometrias.</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 xml:space="preserve">O estudo documenta a relação entre os dados de entrada, as decisões de </w:t>
            </w:r>
            <w:r>
              <w:rPr>
                <w:i/>
                <w:iCs/>
              </w:rPr>
              <w:t>design</w:t>
            </w:r>
            <w:r>
              <w:t xml:space="preserve"> e o artefacto produzido, mas permanece no domínio de uma avaliação técnica preliminar. Esta delimitação é coerente com as limitações identificadas na investigação sobre próteses do membro superior: predominância de demonstrações de viabilidade sem avaliação da eficácia, estudos com amostras reduzidas e métodos de avaliação heterogéneos e escassez de dados objectivos sobre a utilização quotidiana dos dispositivos (Diment et al., 2018; Chadwell et al., 2020; Jones et al., 2023)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(2020)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t xml:space="preserve">Center for Universal Design. (1997). </w:t>
      </w:r>
      <w:r>
        <w:rPr>
          <w:i/>
          <w:iCs/>
        </w:rPr>
        <w:t>The principles of universal design</w:t>
      </w:r>
      <w:r>
        <w:t xml:space="preserve"> (Version 2.0). North Carolina State University. https://design.ncsu.edu/research/center-for-universal-design/</w:t>
      </w:r>
    </w:p>
    <w:p>
      <w:pPr>
        <w:pStyle w:val="Bibliography"/>
        <w:jc w:val="start"/>
        <w:rPr/>
      </w:pPr>
      <w:r>
        <w:t xml:space="preserve">Chadwell, A., Diment, L., Micó-Amigo, M., Morgado Ramírez, D. Z., Dickinson, A., Granat, M., Kenney, L., Kheng, S., Sobuh, M., Ssekitoleko, R., &amp; Worsley, P. (2020). Technology for monitoring everyday prosthesis use: A systematic review. </w:t>
      </w:r>
      <w:r>
        <w:rPr>
          <w:i/>
          <w:iCs/>
        </w:rPr>
        <w:t>Journal of NeuroEngineering and Rehabilitation, 17</w:t>
      </w:r>
      <w:r>
        <w:t>, Article 93. https://doi.org/10.1186/s12984-020-00711-4</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t xml:space="preserve">Cordella, F., Ciancio, A. L., Sacchetti, R., Davalli, A., Cutti, A. G., Guglielmelli, E., &amp; Zollo, L. (2016). Literature review on needs of upper limb prosthesis users. </w:t>
      </w:r>
      <w:r>
        <w:rPr>
          <w:i/>
          <w:iCs/>
        </w:rPr>
        <w:t>Frontiers in Neuroscience, 10</w:t>
      </w:r>
      <w:r>
        <w:t>, Article 209. https://doi.org/10.3389/fnins.2016.00209</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t xml:space="preserve">Lei, N., Yao, X., Moon, S. K., &amp; Bi, G. (2016). An additive manufacturing process model for product family design. </w:t>
      </w:r>
      <w:r>
        <w:rPr>
          <w:i/>
          <w:iCs/>
        </w:rPr>
        <w:t>Journal of Engineering Design, 27</w:t>
      </w:r>
      <w:r>
        <w:t>(11), 751–767. https://doi.org/10.1080/09544828.2016.1228101</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t xml:space="preserve">Ozdemir, M., Verlinden, J., &amp; Cascini, G. (2022). Design methodology for mass personalisation enabled by digital manufacturing. </w:t>
      </w:r>
      <w:r>
        <w:rPr>
          <w:i/>
          <w:iCs/>
        </w:rPr>
        <w:t>Design Science, 8</w:t>
      </w:r>
      <w:r>
        <w:t>, e7. https://doi.org/10.1017/dsj.2022.3</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t xml:space="preserve">. </w:t>
      </w:r>
      <w:r>
        <w:rPr>
          <w:i/>
          <w:iCs/>
        </w:rPr>
        <w:t>Jornal Oficial da União Europeia, L 117</w:t>
      </w:r>
      <w: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t xml:space="preserve">Richardson, A., &amp; Dillon, M. P. (2017). User experience of transtibial prosthetic liners: A systematic review. </w:t>
      </w:r>
      <w:r>
        <w:rPr>
          <w:i/>
          <w:iCs/>
        </w:rPr>
        <w:t>Prosthetics and Orthotics International, 41</w:t>
      </w:r>
      <w:r>
        <w:t>(1), 6–18. https://doi.org/10.1177/0309364616631343</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t xml:space="preserve">Walker, M. J., Goddard, E., Stephens-Fripp, B., &amp; Alici, G. (2020). Towards including end-users in the design of prosthetic hands: Ethical analysis of a survey of Australians with upper-limb difference. </w:t>
      </w:r>
      <w:r>
        <w:rPr>
          <w:i/>
          <w:iCs/>
        </w:rPr>
        <w:t>Science and Engineering Ethics, 26</w:t>
      </w:r>
      <w:r>
        <w:t>, 981–1007. https://doi.org/10.1007/s11948-019-00168-2</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