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9.xml" ContentType="application/vnd.openxmlformats-officedocument.wordprocessingml.footer+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7.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footer11.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rPr>
          </w:r>
          <w:r>
            <w:rPr>
              <w:rStyle w:val="TtulodeCapaefolhaderosto-IPCACarter"/>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para obtenção do Grau de Mestre em Design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storeMappedDataAs w:val="dateTime"/>
            <w:calendar w:val="gregorian"/>
          </w:date>
        </w:sdtPr>
        <w:sdtContent>
          <w:r>
            <w:rPr>
              <w:rStyle w:val="Nomes-e-Data-na-Capa-e-Folha-de-Rosto-IPCACarter"/>
            </w:rPr>
          </w:r>
          <w:r>
            <w:rPr>
              <w:rStyle w:val="Nomes-e-Data-na-Capa-e-Folha-de-Rosto-IPCACarter"/>
            </w:rPr>
            <w:t>julho, 2026</w:t>
          </w:r>
          <w:r/>
        </w:sdtContent>
      </w:sdt>
      <w:r>
        <w:rPr>
          <w:rStyle w:val="Nomes-e-Data-na-Capa-e-Folha-de-Rosto-IPCACarte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Style w:val="TtulodeCapaefolhaderosto-IPCACarter"/>
        </w:rPr>
        <w:t>(folha em branco)</w:t>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para obtenção do Grau de Mestre em Design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storeMappedDataAs w:val="dateTime"/>
            <w:calendar w:val="gregorian"/>
          </w:date>
        </w:sdtPr>
        <w:sdtContent>
          <w:r>
            <w:rPr>
              <w:rStyle w:val="Nomes-e-Data-na-Capa-e-Folha-de-Rosto-IPCACarter"/>
            </w:rPr>
          </w:r>
          <w:r>
            <w:rPr>
              <w:rStyle w:val="Nomes-e-Data-na-Capa-e-Folha-de-Rosto-IPCACarter"/>
            </w:rPr>
            <w:t>julho, 2026</w:t>
          </w:r>
          <w:r/>
        </w:sdtContent>
      </w:sdt>
      <w:r>
        <w:rPr>
          <w:rStyle w:val="Nomes-e-Data-na-Capa-e-Folha-de-Rosto-IPCACarter"/>
        </w:rPr>
      </w:r>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Título do Projeto: INTEGRAÇÃO DO DESIGN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Designação do Curso de Mestrado: Mestrado em Design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w:t>
      </w:r>
      <w:r>
        <w:rPr/>
        <w:t xml:space="preserve"> (indicar, caso tal seja necessário, nº máximo de páginas</w:t>
      </w:r>
      <w:r>
        <w:rPr/>
        <w:t>,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ind w:hanging="0"/>
        <w:rPr/>
      </w:pPr>
      <w:r>
        <w:rPr/>
        <w:t>Assinatura: ________________________________________________</w:t>
      </w:r>
    </w:p>
    <w:p>
      <w:pPr>
        <w:pStyle w:val="TextoNormal-IPCA"/>
        <w:spacing w:before="0" w:after="0"/>
        <w:ind w:hanging="708" w:start="708"/>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r>
    </w:p>
    <w:p>
      <w:pPr>
        <w:pStyle w:val="TtulodeCapaefolhaderosto-IPCA"/>
        <w:rPr/>
      </w:pPr>
      <w:r>
        <w:rPr/>
        <w:t>INTEGRAÇÃO DO DESIGN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rPr/>
      </w:pPr>
      <w:r>
        <w:rPr/>
      </w:r>
    </w:p>
    <w:p>
      <w:pPr>
        <w:pStyle w:val="TextoNormal-IPCA"/>
        <w:rPr/>
      </w:pPr>
      <w:r>
        <w:rPr>
          <w:b/>
        </w:rPr>
        <w:t>Palavras-chave: design industrial; próteses de membro superior; design paramétrico; inteligência artificial; impressão 3D; dados antropométricos; fabrico digital.</w:t>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r>
    </w:p>
    <w:p>
      <w:pPr>
        <w:pStyle w:val="TextoNormal-IPCA"/>
        <w:ind w:hanging="0"/>
        <w:rPr>
          <w:rFonts w:ascii="Arial" w:hAnsi="Arial" w:cs="Arial"/>
          <w:b/>
          <w:sz w:val="24"/>
        </w:rPr>
        <w:sectPr>
          <w:footerReference w:type="default" r:id="rId17"/>
          <w:footerReference w:type="first" r:id="rId18"/>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default" r:id="rId19"/>
          <w:footerReference w:type="first" r:id="rId20"/>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r>
        <w:rPr>
          <w:lang w:val="en-US"/>
        </w:rPr>
        <w:br/>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3DP – 3D Printing; impressão 3D.</w:t>
      </w:r>
    </w:p>
    <w:p>
      <w:pPr>
        <w:pStyle w:val="TextoNormal-IPCA"/>
        <w:rPr/>
      </w:pPr>
      <w:r>
        <w:rPr/>
        <w:t>3MF – 3D Manufacturing Format; formato de ficheiro para fabrico aditivo.</w:t>
      </w:r>
    </w:p>
    <w:p>
      <w:pPr>
        <w:pStyle w:val="TextoNormal-IPCA"/>
        <w:rPr/>
      </w:pPr>
      <w:r>
        <w:rPr/>
        <w:t>AMS – Automatic Material System; sistema automático de alimentação de filamento usado em impressoras Bambu Lab.</w:t>
      </w:r>
    </w:p>
    <w:p>
      <w:pPr>
        <w:pStyle w:val="TextoNormal-IPCA"/>
        <w:rPr/>
      </w:pPr>
      <w:r>
        <w:rPr/>
        <w:t>ANSUR – Anthropometric Survey of U.S. Army Personnel; inquérito antropométrico do Exército dos Estados Unidos.</w:t>
      </w:r>
    </w:p>
    <w:p>
      <w:pPr>
        <w:pStyle w:val="TextoNormal-IPCA"/>
        <w:rPr/>
      </w:pPr>
      <w:r>
        <w:rPr/>
        <w:t>API – Application Programming Interface; interface de programação de aplicações.</w:t>
      </w:r>
    </w:p>
    <w:p>
      <w:pPr>
        <w:pStyle w:val="TextoNormal-IPCA"/>
        <w:rPr/>
      </w:pPr>
      <w:r>
        <w:rPr/>
        <w:t>ASTM – American Society for Testing and Materials; organismo internacional de normalização.</w:t>
      </w:r>
    </w:p>
    <w:p>
      <w:pPr>
        <w:pStyle w:val="TextoNormal-IPCA"/>
        <w:rPr/>
      </w:pPr>
      <w:r>
        <w:rPr/>
        <w:t>CAD – Computer-Aided Design; desenho ou projecto assistido por computador.</w:t>
      </w:r>
    </w:p>
    <w:p>
      <w:pPr>
        <w:pStyle w:val="TextoNormal-IPCA"/>
        <w:rPr/>
      </w:pPr>
      <w:r>
        <w:rPr/>
        <w:t>CAM – Computer-Aided Manufacturing; fabrico assistido por computador.</w:t>
      </w:r>
    </w:p>
    <w:p>
      <w:pPr>
        <w:pStyle w:val="TextoNormal-IPCA"/>
        <w:rPr/>
      </w:pPr>
      <w:r>
        <w:rPr/>
        <w:t>CE – Conformité Européenne; marcação europeia de conformidade.</w:t>
      </w:r>
    </w:p>
    <w:p>
      <w:pPr>
        <w:pStyle w:val="TextoNormal-IPCA"/>
        <w:rPr/>
      </w:pPr>
      <w:r>
        <w:rPr/>
        <w:t>CSG – Constructive Solid Geometry; geometria sólida construtiva.</w:t>
      </w:r>
    </w:p>
    <w:p>
      <w:pPr>
        <w:pStyle w:val="TextoNormal-IPCA"/>
        <w:rPr/>
      </w:pPr>
      <w:r>
        <w:rPr/>
        <w:t>CSV – Comma-Separated Values; formato de valores separados por vírgulas.</w:t>
      </w:r>
    </w:p>
    <w:p>
      <w:pPr>
        <w:pStyle w:val="TextoNormal-IPCA"/>
        <w:rPr/>
      </w:pPr>
      <w:r>
        <w:rPr/>
        <w:t>CT – Computed Tomography; tomografia computorizada.</w:t>
      </w:r>
    </w:p>
    <w:p>
      <w:pPr>
        <w:pStyle w:val="TextoNormal-IPCA"/>
        <w:rPr/>
      </w:pPr>
      <w:r>
        <w:rPr/>
        <w:t>DfAM – Design for Additive Manufacturing; design para fabrico aditivo.</w:t>
      </w:r>
    </w:p>
    <w:p>
      <w:pPr>
        <w:pStyle w:val="TextoNormal-IPCA"/>
        <w:rPr/>
      </w:pPr>
      <w:r>
        <w:rPr/>
        <w:t>DINED – Delft Institute of Ergonomics and Design; base de dados antropométrica da TU Delft.</w:t>
      </w:r>
    </w:p>
    <w:p>
      <w:pPr>
        <w:pStyle w:val="TextoNormal-IPCA"/>
        <w:rPr/>
      </w:pPr>
      <w:r>
        <w:rPr/>
        <w:t>DOI – Digital Object Identifier; identificador digital de objecto.</w:t>
      </w:r>
    </w:p>
    <w:p>
      <w:pPr>
        <w:pStyle w:val="TextoNormal-IPCA"/>
        <w:rPr/>
      </w:pPr>
      <w:r>
        <w:rPr/>
        <w:t>EMG – Eletromiografia; registo da actividade elétrica muscular.</w:t>
      </w:r>
    </w:p>
    <w:p>
      <w:pPr>
        <w:pStyle w:val="TextoNormal-IPCA"/>
        <w:rPr/>
      </w:pPr>
      <w:r>
        <w:rPr/>
        <w:t>EU – European Union; União Europeia.</w:t>
      </w:r>
    </w:p>
    <w:p>
      <w:pPr>
        <w:pStyle w:val="TextoNormal-IPCA"/>
        <w:rPr/>
      </w:pPr>
      <w:r>
        <w:rPr/>
        <w:t>EUA – Estados Unidos da América.</w:t>
      </w:r>
    </w:p>
    <w:p>
      <w:pPr>
        <w:pStyle w:val="TextoNormal-IPCA"/>
        <w:rPr/>
      </w:pPr>
      <w:r>
        <w:rPr/>
        <w:t>FA/FdA – Fabrico aditivo.</w:t>
      </w:r>
    </w:p>
    <w:p>
      <w:pPr>
        <w:pStyle w:val="TextoNormal-IPCA"/>
        <w:rPr/>
      </w:pPr>
      <w:r>
        <w:rPr/>
        <w:t>FDA – Food and Drug Administration; agência reguladora dos Estados Unidos para alimentos, medicamentos e dispositivos médicos.</w:t>
      </w:r>
    </w:p>
    <w:p>
      <w:pPr>
        <w:pStyle w:val="TextoNormal-IPCA"/>
        <w:rPr/>
      </w:pPr>
      <w:r>
        <w:rPr/>
        <w:t>FDM – Fused Deposition Modelling; modelação por deposição fundida.</w:t>
      </w:r>
    </w:p>
    <w:p>
      <w:pPr>
        <w:pStyle w:val="TextoNormal-IPCA"/>
        <w:rPr/>
      </w:pPr>
      <w:r>
        <w:rPr/>
        <w:t>FEA – Finite Element Analysis; análise por elementos finitos.</w:t>
      </w:r>
    </w:p>
    <w:p>
      <w:pPr>
        <w:pStyle w:val="TextoNormal-IPCA"/>
        <w:rPr/>
      </w:pPr>
      <w:r>
        <w:rPr/>
        <w:t>FEM – Finite Element Method; método dos elementos finitos.</w:t>
      </w:r>
    </w:p>
    <w:p>
      <w:pPr>
        <w:pStyle w:val="TextoNormal-IPCA"/>
        <w:rPr/>
      </w:pPr>
      <w:r>
        <w:rPr/>
        <w:t>FFF – Fused Filament Fabrication; fabrico por filamento fundido.</w:t>
      </w:r>
    </w:p>
    <w:p>
      <w:pPr>
        <w:pStyle w:val="TextoNormal-IPCA"/>
        <w:rPr/>
      </w:pPr>
      <w:r>
        <w:rPr/>
        <w:t>FFD – Free-Form Deformation; deformação de forma livre.</w:t>
      </w:r>
    </w:p>
    <w:p>
      <w:pPr>
        <w:pStyle w:val="TextoNormal-IPCA"/>
        <w:rPr/>
      </w:pPr>
      <w:r>
        <w:rPr/>
        <w:t>GB/T – Norma nacional recomendada chinesa.</w:t>
      </w:r>
    </w:p>
    <w:p>
      <w:pPr>
        <w:pStyle w:val="TextoNormal-IPCA"/>
        <w:rPr/>
      </w:pPr>
      <w:r>
        <w:rPr/>
        <w:t>HB – Hand Breadth; largura da mão.</w:t>
      </w:r>
    </w:p>
    <w:p>
      <w:pPr>
        <w:pStyle w:val="TextoNormal-IPCA"/>
        <w:rPr/>
      </w:pPr>
      <w:r>
        <w:rPr/>
        <w:t>HCD – Human-Centred Design; design centrado no humano.</w:t>
      </w:r>
    </w:p>
    <w:p>
      <w:pPr>
        <w:pStyle w:val="TextoNormal-IPCA"/>
        <w:rPr/>
      </w:pPr>
      <w:r>
        <w:rPr/>
        <w:t>HGD – Hand Grip Diameter; diâmetro de preensão da mão.</w:t>
      </w:r>
    </w:p>
    <w:p>
      <w:pPr>
        <w:pStyle w:val="TextoNormal-IPCA"/>
        <w:rPr/>
      </w:pPr>
      <w:r>
        <w:rPr/>
        <w:t>HL – Hand Length; comprimento da mão.</w:t>
      </w:r>
    </w:p>
    <w:p>
      <w:pPr>
        <w:pStyle w:val="TextoNormal-IPCA"/>
        <w:rPr/>
      </w:pPr>
      <w:r>
        <w:rPr/>
        <w:t>HTML – HyperText Markup Language; linguagem de marcação de hipertexto.</w:t>
      </w:r>
    </w:p>
    <w:p>
      <w:pPr>
        <w:pStyle w:val="TextoNormal-IPCA"/>
        <w:rPr/>
      </w:pPr>
      <w:r>
        <w:rPr/>
        <w:t>IA – Inteligência Artificial.</w:t>
      </w:r>
    </w:p>
    <w:p>
      <w:pPr>
        <w:pStyle w:val="TextoNormal-IPCA"/>
        <w:rPr/>
      </w:pPr>
      <w:r>
        <w:rPr/>
        <w:t>ICF – International Classification of Functioning, Disability and Health; Classificação Internacional de Funcionalidade, Incapacidade e Saúde.</w:t>
      </w:r>
    </w:p>
    <w:p>
      <w:pPr>
        <w:pStyle w:val="TextoNormal-IPCA"/>
        <w:rPr/>
      </w:pPr>
      <w:r>
        <w:rPr/>
        <w:t>IEEE – Institute of Electrical and Electronics Engineers; associação técnico-científica e entidade editorial/de normalização.</w:t>
      </w:r>
    </w:p>
    <w:p>
      <w:pPr>
        <w:pStyle w:val="TextoNormal-IPCA"/>
        <w:rPr/>
      </w:pPr>
      <w:r>
        <w:rPr/>
        <w:t>ISO – International Organization for Standardization; Organização Internacional de Normalização.</w:t>
      </w:r>
    </w:p>
    <w:p>
      <w:pPr>
        <w:pStyle w:val="TextoNormal-IPCA"/>
        <w:rPr/>
      </w:pPr>
      <w:r>
        <w:rPr/>
        <w:t>JSON – JavaScript Object Notation; formato leve de intercâmbio de dados.</w:t>
      </w:r>
    </w:p>
    <w:p>
      <w:pPr>
        <w:pStyle w:val="TextoNormal-IPCA"/>
        <w:rPr/>
      </w:pPr>
      <w:r>
        <w:rPr/>
        <w:t>JWT – JSON Web Token; token web em formato JSON para autenticação e autorização.</w:t>
      </w:r>
    </w:p>
    <w:p>
      <w:pPr>
        <w:pStyle w:val="TextoNormal-IPCA"/>
        <w:rPr/>
      </w:pPr>
      <w:r>
        <w:rPr/>
        <w:t>LL – Lower Limb; membro inferior.</w:t>
      </w:r>
    </w:p>
    <w:p>
      <w:pPr>
        <w:pStyle w:val="TextoNormal-IPCA"/>
        <w:rPr/>
      </w:pPr>
      <w:r>
        <w:rPr/>
        <w:t>MCP – Metacarpophalangeal; articulação metacarpofalângica.</w:t>
      </w:r>
    </w:p>
    <w:p>
      <w:pPr>
        <w:pStyle w:val="TextoNormal-IPCA"/>
        <w:rPr/>
      </w:pPr>
      <w:r>
        <w:rPr/>
        <w:t>MDR – Medical Device Regulation; Regulamento Europeu dos Dispositivos Médicos.</w:t>
      </w:r>
    </w:p>
    <w:p>
      <w:pPr>
        <w:pStyle w:val="TextoNormal-IPCA"/>
        <w:rPr/>
      </w:pPr>
      <w:r>
        <w:rPr/>
        <w:t>MPT – Matching Person and Technology; modelo de adequação entre pessoa e tecnologia.</w:t>
      </w:r>
    </w:p>
    <w:p>
      <w:pPr>
        <w:pStyle w:val="TextoNormal-IPCA"/>
        <w:rPr/>
      </w:pPr>
      <w:r>
        <w:rPr/>
        <w:t>MRI – Magnetic Resonance Imaging; ressonância magnética.</w:t>
      </w:r>
    </w:p>
    <w:p>
      <w:pPr>
        <w:pStyle w:val="TextoNormal-IPCA"/>
        <w:rPr/>
      </w:pPr>
      <w:r>
        <w:rPr/>
        <w:t>PCA – Principal Component Analysis; análise de componentes principais.</w:t>
      </w:r>
    </w:p>
    <w:p>
      <w:pPr>
        <w:pStyle w:val="TextoNormal-IPCA"/>
        <w:rPr/>
      </w:pPr>
      <w:r>
        <w:rPr/>
        <w:t>PDF – Portable Document Format; formato portátil de documento.</w:t>
      </w:r>
    </w:p>
    <w:p>
      <w:pPr>
        <w:pStyle w:val="TextoNormal-IPCA"/>
        <w:rPr/>
      </w:pPr>
      <w:r>
        <w:rPr/>
        <w:t>PIP – Proximal Interphalangeal; articulação interfalângica proximal.</w:t>
      </w:r>
    </w:p>
    <w:p>
      <w:pPr>
        <w:pStyle w:val="TextoNormal-IPCA"/>
        <w:rPr/>
      </w:pPr>
      <w:r>
        <w:rPr/>
        <w:t>PL – Palm Length; comprimento da palma.</w:t>
      </w:r>
    </w:p>
    <w:p>
      <w:pPr>
        <w:pStyle w:val="TextoNormal-IPCA"/>
        <w:rPr/>
      </w:pPr>
      <w:r>
        <w:rPr/>
        <w:t>PRISMA – Preferred Reporting Items for Systematic Reviews and Meta-Analyses; diretrizes para reporte de revisões sistemáticas e meta-análises.</w:t>
      </w:r>
    </w:p>
    <w:p>
      <w:pPr>
        <w:pStyle w:val="TextoNormal-IPCA"/>
        <w:rPr/>
      </w:pPr>
      <w:r>
        <w:rPr/>
        <w:t>RTD – Research Through Design; investigação através do design.</w:t>
      </w:r>
    </w:p>
    <w:p>
      <w:pPr>
        <w:pStyle w:val="TextoNormal-IPCA"/>
        <w:rPr/>
      </w:pPr>
      <w:r>
        <w:rPr/>
        <w:t>SD – Standard Deviation; desvio-padrão.</w:t>
      </w:r>
    </w:p>
    <w:p>
      <w:pPr>
        <w:pStyle w:val="TextoNormal-IPCA"/>
        <w:rPr/>
      </w:pPr>
      <w:r>
        <w:rPr/>
        <w:t>SLA – Stereolithography; estereolitografia.</w:t>
      </w:r>
    </w:p>
    <w:p>
      <w:pPr>
        <w:pStyle w:val="TextoNormal-IPCA"/>
        <w:rPr/>
      </w:pPr>
      <w:r>
        <w:rPr/>
        <w:t>SLS – Selective Laser Sintering; sinterização selectiva a laser.</w:t>
      </w:r>
    </w:p>
    <w:p>
      <w:pPr>
        <w:pStyle w:val="TextoNormal-IPCA"/>
        <w:rPr/>
      </w:pPr>
      <w:r>
        <w:rPr/>
        <w:t>SSM – Statistical Shape Modelling; modelação estatística da forma.</w:t>
      </w:r>
    </w:p>
    <w:p>
      <w:pPr>
        <w:pStyle w:val="TextoNormal-IPCA"/>
        <w:rPr/>
      </w:pPr>
      <w:r>
        <w:rPr/>
        <w:t>SQLite – Motor leve de base de dados relacional baseado em SQL, autónomo e incorporável na aplicação.</w:t>
      </w:r>
    </w:p>
    <w:p>
      <w:pPr>
        <w:pStyle w:val="TextoNormal-IPCA"/>
        <w:rPr/>
      </w:pPr>
      <w:r>
        <w:rPr/>
        <w:t>STL – Stereolithography; formato de ficheiro de malha tridimensional usado em impressão 3D.</w:t>
      </w:r>
    </w:p>
    <w:p>
      <w:pPr>
        <w:pStyle w:val="TextoNormal-IPCA"/>
        <w:rPr/>
      </w:pPr>
      <w:r>
        <w:rPr/>
        <w:t>TC – Technical Committee; comité técnico.</w:t>
      </w:r>
    </w:p>
    <w:p>
      <w:pPr>
        <w:pStyle w:val="TextoNormal-IPCA"/>
        <w:rPr/>
      </w:pPr>
      <w:r>
        <w:rPr/>
        <w:t>TRL – Technology Readiness Level; nível de prontidão tecnológica.</w:t>
      </w:r>
    </w:p>
    <w:p>
      <w:pPr>
        <w:pStyle w:val="TextoNormal-IPCA"/>
        <w:rPr/>
      </w:pPr>
      <w:r>
        <w:rPr/>
        <w:t>UCD – User-Centred Design; design centrado no utilizador.</w:t>
      </w:r>
    </w:p>
    <w:p>
      <w:pPr>
        <w:pStyle w:val="TextoNormal-IPCA"/>
        <w:rPr/>
      </w:pPr>
      <w:r>
        <w:rPr/>
        <w:t>UI – User Interface; interface do utilizador.</w:t>
      </w:r>
    </w:p>
    <w:p>
      <w:pPr>
        <w:pStyle w:val="TextoNormal-IPCA"/>
        <w:rPr/>
      </w:pPr>
      <w:r>
        <w:rPr/>
        <w:t>UL – Upper Limb; membro superior.</w:t>
      </w:r>
    </w:p>
    <w:p>
      <w:pPr>
        <w:pStyle w:val="TextoNormal-IPCA"/>
        <w:rPr/>
      </w:pPr>
      <w:r>
        <w:rPr/>
        <w:t>UX – User Experience; experiência do utilizador.</w:t>
      </w:r>
    </w:p>
    <w:p>
      <w:pPr>
        <w:pStyle w:val="TextoNormal-IPCA"/>
        <w:rPr/>
      </w:pPr>
      <w:r>
        <w:rPr/>
        <w:t>WASM – WebAssembly; tecnologia para execução de código compilado no navegador.</w:t>
      </w:r>
    </w:p>
    <w:p>
      <w:pPr>
        <w:pStyle w:val="TextoNormal-IPCA"/>
        <w:rPr/>
      </w:pPr>
      <w:r>
        <w:rPr/>
        <w:t>XAI – Explainable Artificial Intelligence; inteligência artificial explicável.</w:t>
      </w:r>
      <w:r>
        <w:br w:type="page"/>
      </w:r>
    </w:p>
    <w:p>
      <w:pPr>
        <w:pStyle w:val="TtulosPrembulo-IPCA"/>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actividades,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respectivas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versões e limites do protótipo examinado</w:t>
        <w:tab/>
        <w:t>62</w:t>
      </w:r>
    </w:p>
    <w:p>
      <w:pPr>
        <w:pStyle w:val="TOC1"/>
        <w:rPr/>
      </w:pPr>
      <w:r>
        <w:rPr/>
        <w:t>Tabela 5.3</w:t>
        <w:tab/>
        <w:t>Modelos integrados na plataforma e respectiva avaliação</w:t>
        <w:tab/>
        <w:t>68</w:t>
      </w:r>
    </w:p>
    <w:p>
      <w:pPr>
        <w:pStyle w:val="TOC1"/>
        <w:rPr/>
      </w:pPr>
      <w:r>
        <w:rPr/>
        <w:t>Tabela 6.1 — Especificação técnica dos modelos de IA e do contrato de sugestão paramétrica</w:t>
        <w:tab/>
        <w:t>80</w:t>
      </w:r>
    </w:p>
    <w:p>
      <w:pPr>
        <w:pStyle w:val="TOC1"/>
        <w:rPr/>
      </w:pPr>
      <w:r>
        <w:rPr/>
        <w:t>Tabela 6.2 — Distribuição de tarefas entre regras, IA e supervisão humana</w:t>
        <w:tab/>
        <w:t>83</w:t>
      </w:r>
    </w:p>
    <w:p>
      <w:pPr>
        <w:pStyle w:val="TOC1"/>
        <w:rPr/>
      </w:pPr>
      <w:r>
        <w:rPr/>
        <w:t>Tabela 8.1 — Evidência técnica do funcionamento da plataforma</w:t>
        <w:tab/>
        <w:t>89</w:t>
      </w:r>
    </w:p>
    <w:p>
      <w:pPr>
        <w:pStyle w:val="TOC1"/>
        <w:rPr/>
      </w:pPr>
      <w:r>
        <w:rPr/>
        <w:t>Tabela 8.2 — Projectos de preparação digital para impressão 3D com configuração analisada</w:t>
        <w:tab/>
        <w:t>91</w:t>
      </w:r>
    </w:p>
    <w:p>
      <w:pPr>
        <w:pStyle w:val="TOC1"/>
        <w:rPr/>
      </w:pPr>
      <w:r>
        <w:rPr/>
        <w:t>Tabela 8.3 — Inspecção computacional de malhas na configuração infantil</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Factor de escala da maior dimensão da palma exportada relativamente à configuração de referência</w:t>
        <w:tab/>
        <w:t>99</w:t>
      </w:r>
    </w:p>
    <w:p>
      <w:pPr>
        <w:pStyle w:val="TOC1"/>
        <w:rPr/>
      </w:pPr>
      <w:r>
        <w:rPr/>
        <w:t>Tabela 8.8 — Discussão dos resultados face às lacunas seleccionadas do estado da arte</w:t>
        <w:tab/>
        <w:t>101</w:t>
      </w:r>
    </w:p>
    <w:p>
      <w:pPr>
        <w:pStyle w:val="TOC1"/>
        <w:rPr/>
      </w:pPr>
      <w:r>
        <w:rPr/>
        <w:t>Tabela 9.1 — Estado da resposta às perguntas de investigação aprovadas</w:t>
        <w:tab/>
        <w:t>103</w:t>
      </w:r>
      <w:r>
        <w:br w:type="page"/>
      </w:r>
    </w:p>
    <w:p>
      <w:pPr>
        <w:pStyle w:val="TtulosPrembulo-IPCA"/>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 Fab</w:t>
        <w:tab/>
        <w:t>62</w:t>
      </w:r>
    </w:p>
    <w:p>
      <w:pPr>
        <w:pStyle w:val="TOC1"/>
        <w:rPr/>
      </w:pPr>
      <w:r>
        <w:rPr/>
        <w:t>Figura 5.2 — Painel de configuração dos perfis de utilizador na plataforma HandFab.</w:t>
        <w:tab/>
        <w:t>63</w:t>
      </w:r>
    </w:p>
    <w:p>
      <w:pPr>
        <w:pStyle w:val="TOC1"/>
        <w:rPr/>
      </w:pPr>
      <w:r>
        <w:rPr/>
        <w:t>Figura 5.3 — Arquitectura da plataforma e fronteiras entre navegador, servidor, serviço externo de IA e preparação do fabrico.</w:t>
        <w:tab/>
        <w:t>65</w:t>
      </w:r>
    </w:p>
    <w:p>
      <w:pPr>
        <w:pStyle w:val="TOC1"/>
        <w:rPr/>
      </w:pPr>
      <w:r>
        <w:rPr/>
        <w:t>Figura 5.4 — Sequência de dados e decisões desde o perfil ou descrição até à sugestão, confirmação, geração determinística e exportação.</w:t>
        <w:tab/>
        <w:t>66</w:t>
      </w:r>
    </w:p>
    <w:p>
      <w:pPr>
        <w:pStyle w:val="TOC1"/>
        <w:rPr/>
      </w:pPr>
      <w:r>
        <w:rPr/>
        <w:t>Figura 5.5 — Fluxo geral de produção personalizada de próteses a partir de digitalização, CAD adaptativo e fabrico aditivo.</w:t>
        <w:tab/>
        <w:t>68</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selecção, configuração paramétrica e materiais da plataforma HandFab.</w:t>
        <w:tab/>
        <w:t>73</w:t>
      </w:r>
    </w:p>
    <w:p>
      <w:pPr>
        <w:pStyle w:val="TOC1"/>
        <w:rPr/>
      </w:pPr>
      <w:r>
        <w:rPr/>
        <w:t>Figura 6.1 — Relação entre desafios de compreensão das decisões e princípios de IA responsável.</w:t>
        <w:tab/>
        <w:t>84</w:t>
      </w:r>
    </w:p>
    <w:p>
      <w:pPr>
        <w:pStyle w:val="TOC1"/>
        <w:rPr/>
      </w:pPr>
      <w:r>
        <w:rPr/>
        <w:t>Figura 7.1 — Exemplo publicado de teste de uma prótese impressa em 3D com um utilizador; esta actividade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143</w:t>
      </w:r>
      <w:r>
        <w:br w:type="page"/>
      </w:r>
    </w:p>
    <w:p>
      <w:pPr>
        <w:pStyle w:val="TtulosPrembulo-IPCA"/>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Objectivos da investigação</w:t>
        <w:tab/>
        <w:t>2</w:t>
      </w:r>
    </w:p>
    <w:p>
      <w:pPr>
        <w:pStyle w:val="TOC3"/>
        <w:tabs>
          <w:tab w:val="clear" w:pos="708"/>
          <w:tab w:val="right" w:pos="8204" w:leader="dot"/>
        </w:tabs>
        <w:rPr/>
      </w:pPr>
      <w:r>
        <w:rPr/>
        <w:t>1.3.1 Objectivo geral</w:t>
        <w:tab/>
        <w:t>2</w:t>
      </w:r>
    </w:p>
    <w:p>
      <w:pPr>
        <w:pStyle w:val="TOC3"/>
        <w:tabs>
          <w:tab w:val="clear" w:pos="708"/>
          <w:tab w:val="right" w:pos="8204" w:leader="dot"/>
        </w:tabs>
        <w:rPr/>
      </w:pPr>
      <w:r>
        <w:rPr/>
        <w:t>1.3.2 Objectivos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Optimização,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projecto</w:t>
        <w:tab/>
        <w:t>18</w:t>
      </w:r>
    </w:p>
    <w:p>
      <w:pPr>
        <w:pStyle w:val="TOC2"/>
        <w:rPr/>
      </w:pPr>
      <w:r>
        <w:rPr/>
        <w:t>Métodos de recolha antropométrica em próteses e tecnologias de apoio</w:t>
        <w:tab/>
        <w:t>19</w:t>
      </w:r>
    </w:p>
    <w:p>
      <w:pPr>
        <w:pStyle w:val="TOC2"/>
        <w:rPr/>
      </w:pPr>
      <w:r>
        <w:rPr/>
        <w:t>Interpretação e aplicação de dados antropométricos no projecto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adopção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interacção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investigativa</w:t>
        <w:tab/>
        <w:t>37</w:t>
      </w:r>
    </w:p>
    <w:p>
      <w:pPr>
        <w:pStyle w:val="TOC2"/>
        <w:rPr/>
      </w:pPr>
      <w:r>
        <w:rPr/>
        <w:t>3.3 Estrutura metodológica do projecto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extracção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projecto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Arquitectura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Interacção</w:t>
        <w:tab/>
        <w:t>85</w:t>
      </w:r>
    </w:p>
    <w:p>
      <w:pPr>
        <w:pStyle w:val="TOC2"/>
        <w:rPr/>
      </w:pPr>
      <w:r>
        <w:rPr/>
        <w:t>7.1 Estratégia de interacção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objectivos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extracção e codificação de dados antropométricos da mão</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1"/>
          <w:footerReference w:type="default" r:id="rId22"/>
          <w:footerReference w:type="first" r:id="rId23"/>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4"/>
          <w:footerReference w:type="default" r:id="rId25"/>
          <w:footerReference w:type="first" r:id="rId26"/>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7"/>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rPr/>
      </w:pPr>
      <w:r>
        <w:rP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Heading2"/>
        <w:numPr>
          <w:ilvl w:val="0"/>
          <w:numId w:val="0"/>
        </w:numPr>
        <w:ind w:hanging="0" w:start="0"/>
        <w:rPr/>
      </w:pPr>
      <w:r>
        <w:rPr/>
        <w:t>1.3 Objectivos da investigação</w:t>
      </w:r>
    </w:p>
    <w:p>
      <w:pPr>
        <w:pStyle w:val="Heading3"/>
        <w:numPr>
          <w:ilvl w:val="0"/>
          <w:numId w:val="0"/>
        </w:numPr>
        <w:ind w:hanging="0" w:start="0"/>
        <w:rPr/>
      </w:pPr>
      <w:r>
        <w:rPr/>
        <w:t>1.3.1 Objectivo geral</w:t>
      </w:r>
    </w:p>
    <w:p>
      <w:pPr>
        <w:pStyle w:val="TextoNormal-IPCA"/>
        <w:rPr/>
      </w:pPr>
      <w:r>
        <w:rP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t>1.3.2 Objectivos específicos</w:t>
      </w:r>
    </w:p>
    <w:p>
      <w:pPr>
        <w:pStyle w:val="TextoNormal-IPCA"/>
        <w:rPr/>
      </w:pPr>
      <w:r>
        <w:rPr/>
        <w:t>Para concretizar este objectivo, a investigação procura:</w:t>
      </w:r>
    </w:p>
    <w:p>
      <w:pPr>
        <w:pStyle w:val="TextoNormal-IPCA"/>
        <w:rPr/>
      </w:pPr>
      <w:r>
        <w:rPr/>
        <w:t>- analisar o papel do design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desenvolver uma plataforma web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1. Como o design de produto, métodos paramétricos e inteligência artificial podem melhorar a personalização, o conforto e a adequação funcional de próteses, mantendo a acessibilidade e o controlo projectual?</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3. Como o design industrial concilia requisitos anatómicos, funcionais, ergonómicos, estéticos e simbólicos, promovendo a aceitação, a dignidade e a autonomia?</w:t>
      </w:r>
    </w:p>
    <w:p>
      <w:pPr>
        <w:pStyle w:val="TextoNormal-IPCA"/>
        <w:rPr/>
      </w:pPr>
      <w:r>
        <w:rPr/>
        <w:t>Estas perguntas conservam o conteúdo aprovado para o projecto de investigação, com uniformização ortográfica para português europeu. O seu alcance é mais amplo do que a componente empírica realizada. Por esse motivo, a dissertação distingue os mecanismos projectuais desenvolvidos e verificados dos efeitos humanos que esses mecanismos procuram favorecer. Foram recolhidos dados sobre parametrização, coerência dimensional, geração geométrica, preparação para fabrico e materialização preliminar. Conforto percebido, usabilidade em utilização real, adequação funcional em uso, aceitação e impacto na dignidade ou na autonomia quotidiana não foram medidos junto de participantes.</w:t>
      </w:r>
    </w:p>
    <w:p>
      <w:pPr>
        <w:pStyle w:val="Heading2"/>
        <w:numPr>
          <w:ilvl w:val="0"/>
          <w:numId w:val="0"/>
        </w:numPr>
        <w:ind w:hanging="0" w:start="0"/>
        <w:rPr/>
      </w:pPr>
      <w:r>
        <w:rPr/>
        <w:t>1.4 Abordagem metodológica geral</w:t>
      </w:r>
    </w:p>
    <w:p>
      <w:pPr>
        <w:pStyle w:val="TextoNormal-IPCA"/>
        <w:rPr/>
      </w:pPr>
      <w:r>
        <w:rP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rPr/>
      </w:pPr>
      <w:r>
        <w:rP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Heading2"/>
        <w:numPr>
          <w:ilvl w:val="0"/>
          <w:numId w:val="0"/>
        </w:numPr>
        <w:ind w:hanging="0" w:start="0"/>
        <w:rPr/>
      </w:pPr>
      <w:r>
        <w:rPr/>
        <w:t>1.5 Estrutura da dissertação</w:t>
      </w:r>
    </w:p>
    <w:p>
      <w:pPr>
        <w:pStyle w:val="TextoNormal-IPCA"/>
        <w:rPr/>
      </w:pPr>
      <w:r>
        <w:rP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apresenta os princípios de interface e as decisões de interacção implementadas. O Capítulo 8 reúne a avaliação e a discussão dos resultados. Por fim, o Capítulo 9 sintetiza as conclusões e os trabalhos futuros.</w:t>
      </w:r>
      <w:r>
        <w:br w:type="page"/>
      </w:r>
    </w:p>
    <w:p>
      <w:pPr>
        <w:pStyle w:val="Heading1"/>
        <w:numPr>
          <w:ilvl w:val="0"/>
          <w:numId w:val="0"/>
        </w:numPr>
        <w:ind w:hanging="0" w:start="0"/>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rPr/>
      </w:pPr>
      <w:r>
        <w:rPr/>
        <w:t>.</w:t>
      </w:r>
    </w:p>
    <w:p>
      <w:pPr>
        <w:pStyle w:val="TextoNormal-IPCA"/>
        <w:rPr/>
      </w:pPr>
      <w:r>
        <w:rP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accionadas pelo corpo (body-powered)</w:t>
      </w:r>
    </w:p>
    <w:p>
      <w:pPr>
        <w:pStyle w:val="TextoNormal-IPCA"/>
        <w:rPr/>
      </w:pPr>
      <w:r>
        <w:rPr/>
        <w:t>As próteses mecânicas utilizam um sistema de arnês e cabos que converte movimentos do ombro, do tronco ou da cintura escapular em acção no dispositivo terminal, tipicamente um gancho ou uma mão mecânica. São soluções tradicionalmente valorizadas pela robustez, pela comportamento mecânico previsível, pelo menor custo e pela relativa facilidade de manutenção.</w:t>
      </w:r>
    </w:p>
    <w:p>
      <w:pPr>
        <w:pStyle w:val="TextoNormal-IPCA"/>
        <w:rPr/>
      </w:pPr>
      <w:r>
        <w:rP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t>Próteses mioeléctricas</w:t>
      </w:r>
    </w:p>
    <w:p>
      <w:pPr>
        <w:pStyle w:val="TextoNormal-IPCA"/>
        <w:rPr/>
      </w:pPr>
      <w:r>
        <w:rP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28"/>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rPr/>
      </w:pPr>
      <w:r>
        <w:rP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29"/>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rPr/>
      </w:pPr>
      <w:r>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Heading2"/>
        <w:numPr>
          <w:ilvl w:val="0"/>
          <w:numId w:val="0"/>
        </w:numPr>
        <w:ind w:hanging="0" w:start="0"/>
        <w:rPr/>
      </w:pPr>
      <w:r>
        <w:rPr/>
        <w:t>2.2 design industrial, design inclusivo e design centrado no utilizador</w:t>
      </w:r>
    </w:p>
    <w:p>
      <w:pPr>
        <w:pStyle w:val="TextoNormal-IPCA"/>
        <w:rPr/>
      </w:pPr>
      <w:r>
        <w:rPr/>
        <w:t>O design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t>Design industrial em dispositivos médicos</w:t>
      </w:r>
    </w:p>
    <w:p>
      <w:pPr>
        <w:pStyle w:val="TextoNormal-IPCA"/>
        <w:rPr/>
      </w:pPr>
      <w:r>
        <w:rP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rPr/>
      </w:pPr>
      <w:r>
        <w:rP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t>design inclusivo e design universal</w:t>
      </w:r>
    </w:p>
    <w:p>
      <w:pPr>
        <w:pStyle w:val="TextoNormal-IPCA"/>
        <w:rPr/>
      </w:pPr>
      <w:r>
        <w:rP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rPr/>
      </w:pPr>
      <w:r>
        <w:rPr/>
        <w:t>Esta perspectiva aproxima-se dos modelos sociais e relacionais da deficiência, enfatizando que a exclusão pode ser produzida por decisões de projecto que não contemplam a diversidade de utilizadores (Clarkson &amp; Coleman, 2010).</w:t>
      </w:r>
    </w:p>
    <w:p>
      <w:pPr>
        <w:pStyle w:val="TextoNormal-IPCA"/>
        <w:rPr/>
      </w:pPr>
      <w:r>
        <w:rP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rPr/>
      </w:pPr>
      <w:r>
        <w:rP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Heading3"/>
        <w:numPr>
          <w:ilvl w:val="0"/>
          <w:numId w:val="0"/>
        </w:numPr>
        <w:ind w:hanging="0" w:start="0"/>
        <w:rPr/>
      </w:pPr>
      <w:r>
        <w:rPr/>
        <w:t>design centrado no utilizador e design centrado no humano</w:t>
      </w:r>
    </w:p>
    <w:p>
      <w:pPr>
        <w:pStyle w:val="TextoNormal-IPCA"/>
        <w:rPr/>
      </w:pPr>
      <w:r>
        <w:rP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rPr/>
      </w:pPr>
      <w:r>
        <w:rP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rPr/>
      </w:pPr>
      <w:r>
        <w:rP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Heading3"/>
        <w:numPr>
          <w:ilvl w:val="0"/>
          <w:numId w:val="0"/>
        </w:numPr>
        <w:ind w:hanging="0" w:start="0"/>
        <w:rPr/>
      </w:pPr>
      <w:r>
        <w:rPr/>
        <w:t>Design Participativo e Co-design</w:t>
      </w:r>
    </w:p>
    <w:p>
      <w:pPr>
        <w:pStyle w:val="TextoNormal-IPCA"/>
        <w:rPr/>
      </w:pPr>
      <w:r>
        <w:rP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rPr/>
      </w:pPr>
      <w:r>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Heading3"/>
        <w:numPr>
          <w:ilvl w:val="0"/>
          <w:numId w:val="0"/>
        </w:numPr>
        <w:ind w:hanging="0" w:start="0"/>
        <w:rPr/>
      </w:pPr>
      <w:r>
        <w:rPr/>
        <w:t>Metodologias, instrumentos e avaliação</w:t>
      </w:r>
    </w:p>
    <w:p>
      <w:pPr>
        <w:pStyle w:val="TextoNormal-IPCA"/>
        <w:rPr/>
      </w:pPr>
      <w:r>
        <w:rP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rPr/>
      </w:pPr>
      <w:r>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rPr/>
      </w:pPr>
      <w:r>
        <w:rP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Heading2"/>
        <w:numPr>
          <w:ilvl w:val="0"/>
          <w:numId w:val="0"/>
        </w:numPr>
        <w:ind w:hanging="0" w:start="0"/>
        <w:rPr/>
      </w:pPr>
      <w:r>
        <w:rPr/>
        <w:t>2.3 Fabrico Aditivo e parametrização no design de produto</w:t>
      </w:r>
    </w:p>
    <w:p>
      <w:pPr>
        <w:pStyle w:val="TextoNormal-IPCA"/>
        <w:rPr/>
      </w:pPr>
      <w:r>
        <w:rP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0"/>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Heading3"/>
        <w:numPr>
          <w:ilvl w:val="0"/>
          <w:numId w:val="0"/>
        </w:numPr>
        <w:ind w:hanging="0" w:start="0"/>
        <w:rPr/>
      </w:pPr>
      <w:r>
        <w:rPr/>
        <w:t>Integração com Fabrico Aditivo e Design for Additive Manufacturing</w:t>
      </w:r>
    </w:p>
    <w:p>
      <w:pPr>
        <w:pStyle w:val="TextoNormal-IPCA"/>
        <w:rPr/>
      </w:pPr>
      <w:r>
        <w:rP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rPr/>
      </w:pPr>
      <w:r>
        <w:rPr/>
        <w:t>Esta evidência reforça a necessidade de uma ligação sistemática entre as fases de design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Heading3"/>
        <w:numPr>
          <w:ilvl w:val="0"/>
          <w:numId w:val="0"/>
        </w:numPr>
        <w:ind w:hanging="0" w:start="0"/>
        <w:rPr/>
      </w:pPr>
      <w:r>
        <w:rPr/>
        <w:t>Configuradores e Cocriação Digital</w:t>
      </w:r>
    </w:p>
    <w:p>
      <w:pPr>
        <w:pStyle w:val="TextoNormal-IPCA"/>
        <w:rPr/>
      </w:pPr>
      <w:r>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1"/>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Implicações para o design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No plano educativo e profissional, recomenda-se a integração de DfAM nos currículos de design industrial, promovendo competências que articulem a concepção, a simulação e a fabrico digital em fluxo contínuo (Kandikjan et al., 2022).</w:t>
      </w:r>
    </w:p>
    <w:p>
      <w:pPr>
        <w:pStyle w:val="Heading2"/>
        <w:numPr>
          <w:ilvl w:val="0"/>
          <w:numId w:val="0"/>
        </w:numPr>
        <w:ind w:hanging="0" w:start="0"/>
        <w:rPr/>
      </w:pPr>
      <w:r>
        <w:rPr/>
        <w:t>2.4 Próteses open source de membro superior passíveis de impressão 3D</w:t>
      </w:r>
    </w:p>
    <w:p>
      <w:pPr>
        <w:pStyle w:val="TextoNormal-IPCA"/>
        <w:rPr/>
      </w:pPr>
      <w:r>
        <w:rP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rPr/>
      </w:pPr>
      <w:r>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Heading2"/>
        <w:numPr>
          <w:ilvl w:val="0"/>
          <w:numId w:val="0"/>
        </w:numPr>
        <w:ind w:hanging="0" w:start="0"/>
        <w:rPr/>
      </w:pPr>
      <w:r>
        <w:rPr/>
        <w:t>2.5 Antropometria aplicada ao design protésico</w:t>
      </w:r>
    </w:p>
    <w:p>
      <w:pPr>
        <w:pStyle w:val="TextoNormal-IPCA"/>
        <w:rPr/>
      </w:pPr>
      <w:r>
        <w:rP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Heading3"/>
        <w:numPr>
          <w:ilvl w:val="0"/>
          <w:numId w:val="0"/>
        </w:numPr>
        <w:ind w:hanging="0" w:start="0"/>
        <w:rPr/>
      </w:pPr>
      <w:r>
        <w:rPr/>
        <w:t>Da dimensão linear à “forma” como dado de projecto</w:t>
      </w:r>
    </w:p>
    <w:p>
      <w:pPr>
        <w:pStyle w:val="TextoNormal-IPCA"/>
        <w:rPr/>
      </w:pPr>
      <w:r>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2"/>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A literatura organiza os métodos de recolha em famílias, cada uma com potencialidades e limitações específicas para o design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rPr/>
      </w:pPr>
      <w:r>
        <w:rP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rPr/>
      </w:pPr>
      <w:r>
        <w:rP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rPr/>
      </w:pPr>
      <w:r>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rPr/>
      </w:pPr>
      <w:r>
        <w:rP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Heading3"/>
        <w:numPr>
          <w:ilvl w:val="0"/>
          <w:numId w:val="0"/>
        </w:numPr>
        <w:ind w:hanging="0" w:start="0"/>
        <w:rPr/>
      </w:pPr>
      <w:r>
        <w:rPr/>
        <w:t>Estruturação de dados</w:t>
      </w:r>
    </w:p>
    <w:p>
      <w:pPr>
        <w:pStyle w:val="TextoNormal-IPCA"/>
        <w:rPr/>
      </w:pPr>
      <w:r>
        <w:rP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t>2.6 Inteligência Artificial no processo de design</w:t>
      </w:r>
    </w:p>
    <w:p>
      <w:pPr>
        <w:pStyle w:val="TextoNormal-IPCA"/>
        <w:rPr/>
      </w:pPr>
      <w:r>
        <w:rP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3"/>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t>O que é a Inteligência Artificial</w:t>
      </w:r>
    </w:p>
    <w:p>
      <w:pPr>
        <w:pStyle w:val="TextoNormal-IPCA"/>
        <w:rPr/>
      </w:pPr>
      <w:r>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t>Nos modelos de linguagem, o texto é processado em unidades designadas por tokens. Um token pode corresponder a uma palavra completa, a parte de uma palavra, a um número ou a um sinal de pontuação. O limite de tokens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Heading3"/>
        <w:numPr>
          <w:ilvl w:val="0"/>
          <w:numId w:val="0"/>
        </w:numPr>
        <w:ind w:hanging="0" w:start="0"/>
        <w:rPr/>
      </w:pPr>
      <w:r>
        <w:rPr/>
        <w:t>Formas de IA mais relevantes para o 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Heading3"/>
        <w:numPr>
          <w:ilvl w:val="0"/>
          <w:numId w:val="0"/>
        </w:numPr>
        <w:ind w:hanging="0" w:start="0"/>
        <w:rPr/>
      </w:pPr>
      <w:r>
        <w:rPr/>
        <w:t>IA ao longo do processo de design</w:t>
      </w:r>
    </w:p>
    <w:p>
      <w:pPr>
        <w:pStyle w:val="TextoNormal-IPCA"/>
        <w:rPr/>
      </w:pPr>
      <w:r>
        <w:rP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t>Papel do designer, riscos e necessidade de supervisão humana</w:t>
      </w:r>
    </w:p>
    <w:p>
      <w:pPr>
        <w:pStyle w:val="TextoNormal-IPCA"/>
        <w:rPr/>
      </w:pPr>
      <w:r>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Heading3"/>
        <w:numPr>
          <w:ilvl w:val="0"/>
          <w:numId w:val="0"/>
        </w:numPr>
        <w:ind w:hanging="0" w:start="0"/>
        <w:rPr/>
      </w:pPr>
      <w:r>
        <w:rPr/>
        <w:t>Fundamentos conceptuais: toolkits, meta-design e end-user development.</w:t>
      </w:r>
    </w:p>
    <w:p>
      <w:pPr>
        <w:pStyle w:val="TextoNormal-IPCA"/>
        <w:rPr/>
      </w:pPr>
      <w:r>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4"/>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Heading3"/>
        <w:numPr>
          <w:ilvl w:val="0"/>
          <w:numId w:val="0"/>
        </w:numPr>
        <w:ind w:hanging="0" w:start="0"/>
        <w:rPr/>
      </w:pPr>
      <w:r>
        <w:rPr/>
        <w:t>Aplicações em saúde, reabilitação e próteses</w:t>
      </w:r>
    </w:p>
    <w:p>
      <w:pPr>
        <w:pStyle w:val="TextoNormal-IPCA"/>
        <w:rPr/>
      </w:pPr>
      <w:r>
        <w:rP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5"/>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considerem a acessibilidade, a manutenção e o contexto de serviço como dimensões constitutivas do problema de design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projectuais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Registo de versões,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Distinguir mecanismos projectuais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Explorar uma arquitectura configurável baseada em tecnologias web,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Ciclos de Research Through Design,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versão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Co-design,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ind w:hanging="0" w:start="0"/>
        <w:rPr/>
      </w:pPr>
      <w:r>
        <w:rPr/>
        <w:t>Capítulo 3 — Metodologia de Investigação</w:t>
      </w:r>
    </w:p>
    <w:p>
      <w:pPr>
        <w:pStyle w:val="Heading2"/>
        <w:numPr>
          <w:ilvl w:val="0"/>
          <w:numId w:val="0"/>
        </w:numPr>
        <w:ind w:hanging="0" w:start="0"/>
        <w:rPr/>
      </w:pPr>
      <w:r>
        <w:rPr/>
        <w:t>3.1 Enquadramento metodológico e abordagem Research Through Design</w:t>
      </w:r>
    </w:p>
    <w:p>
      <w:pPr>
        <w:pStyle w:val="TextoNormal-IPCA"/>
        <w:rPr/>
      </w:pPr>
      <w:r>
        <w:rP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rPr/>
      </w:pPr>
      <w:r>
        <w:rP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rPr/>
      </w:pPr>
      <w:r>
        <w:rP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Tabela 3.1 — Ciclos de Research Through Design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 em placa nas versões 14.15.0 e seguintes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 versão 14.16.0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 versão 14.17.0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Perfil infantil e exportação, versão 14.18.0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 versões 14.19.0–14.20.0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 3MF, versão 14.22.0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6"/>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3.2 O design industrial como prática investigativa</w:t>
      </w:r>
    </w:p>
    <w:p>
      <w:pPr>
        <w:pStyle w:val="TextoNormal-IPCA"/>
        <w:rPr/>
      </w:pPr>
      <w:r>
        <w:rP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Design for Additive Manufacturing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projectuais: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A metodologia aprovada organiza-se em três fases interligadas — conceptual, metodológica e empírica —, articuladas por ciclos de divergência e convergência do Double Diamond. A fase conceptual reúne a revisão crítica da literatura, a análise de soluções open source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Research Through Design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projectual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Registo de versões, dez testes unitários aprovados na versão 14.67.0,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projectual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As versões são identificadas por actividade. Os ensaios iniciais de correspondência e geometria incidiram na versão 14.67.0; as séries complementares da plataforma do Anexo B foram executadas na versão 14.69.0; e o estado actual examinado corresponde à versão 14.72.0.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Ciclos de 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Versão,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versionado dos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7"/>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Como complemento à avaliação inicial, foram executadas, em 13 e 14 de Julho de 2026, séries automatizadas de ensaios orientadas para três qualidades relevantes do processo de design: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ind w:hanging="0" w:start="0"/>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projectual, sem ser incluído nas séries comparativas ou físicas. A reconstrução pec Phoenix hand permanece material de desenvolvimento e fica fora do âmbito deste capítulo. O inventário consolidado dos modelos, com origem, licença, versão,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Heading2"/>
        <w:numPr>
          <w:ilvl w:val="0"/>
          <w:numId w:val="0"/>
        </w:numPr>
        <w:ind w:hanging="0" w:start="0"/>
        <w:rPr/>
      </w:pPr>
      <w:r>
        <w:rPr/>
        <w:t>4.1 Definição do problema de design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38"/>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39"/>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7"/>
        <w:gridCol w:w="1758"/>
        <w:gridCol w:w="1757"/>
        <w:gridCol w:w="1758"/>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41"/>
        <w:gridCol w:w="3670"/>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Em segundo lugar, o OpenSCAD adapta-se bem à arquitectura web proposta nesta dissertação. A separação entre definição geométrica e interface permite que o ficheiro .scad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rPr/>
      </w:pPr>
      <w:r>
        <w:rP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0"/>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A versão 14.67.0 corresponde ao fecho dos ensaios principais e ao dicionário suplementar arquivado. A versão 14.71.0 acrescentou a braçadeira comum do Flexy Beast e relações mais completas do Cyborg Beast. A versão 14.72.0 uniformizou a organização dos grupos e os nomes dos controlos de lateralidade e disposição, sem alterar as relações geométricas avaliadas. Estes desenvolvimentos posteriores não são retroactivamente apresentados como parte dos ensaios concluídos na versão 14.67.0.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9"/>
        <w:gridCol w:w="2028"/>
        <w:gridCol w:w="2704"/>
        <w:gridCol w:w="2656"/>
      </w:tblGrid>
      <w:tr>
        <w:trPr>
          <w:tblHeader w:val="true"/>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Na versão 14.72.0,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tornar auditável a passagem entre dados, configuração e geometria, a Tabela 4.9 consolida os parâmetros numéricos com efeito antropométrico, geométrico ou mecânico nos três modelos comparados. O dicionário corresponde à versão 14.67.0 da plataforma.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rPr/>
      </w:pPr>
      <w:r>
        <w:rP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Regra ou efeito geométrico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 polegar e divisão proximal–distal</w:t>
            </w:r>
          </w:p>
        </w:tc>
      </w:tr>
    </w:tbl>
    <w:p>
      <w:pPr>
        <w:pStyle w:val="TextoNormal-IPCA"/>
        <w:rPr/>
      </w:pPr>
      <w:r>
        <w:rP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rPr/>
      </w:pPr>
      <w:r>
        <w:rPr/>
        <w:t>O Anexo C complementa o dicionário da versão 14.67.0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Heading3"/>
        <w:numPr>
          <w:ilvl w:val="0"/>
          <w:numId w:val="0"/>
        </w:numPr>
        <w:ind w:hanging="0" w:start="0"/>
        <w:rPr/>
      </w:pPr>
      <w:r>
        <w:rPr/>
        <w:t>4.3.5 Exemplo numérico completo: perfil infantil no Flexy Beast</w:t>
      </w:r>
    </w:p>
    <w:p>
      <w:pPr>
        <w:pStyle w:val="TextoNormal-IPCA"/>
        <w:rPr/>
      </w:pPr>
      <w:r>
        <w:rP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303"/>
        <w:gridCol w:w="3525"/>
        <w:gridCol w:w="3959"/>
      </w:tblGrid>
      <w:tr>
        <w:trPr>
          <w:tblHeader w:val="true"/>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6"/>
                <w:szCs w:val="16"/>
                <w:lang w:val="pt-PT" w:eastAsia="en-US" w:bidi="ar-SA"/>
              </w:rPr>
              <w:t>Etapa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6"/>
                <w:szCs w:val="16"/>
                <w:lang w:val="pt-PT" w:eastAsia="en-US" w:bidi="ar-SA"/>
              </w:rPr>
              <w:t>Operação ou evidência</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6"/>
                <w:szCs w:val="16"/>
                <w:lang w:val="pt-PT" w:eastAsia="en-US" w:bidi="ar-SA"/>
              </w:rPr>
              <w:t>Valor obtido</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1. Vector aplicado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Palma; indicador; médio; anelar; mindinho; polegar</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64; 57; 60; 57; 46; 50 mm</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2. Verificação pelo esquema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Comparação com os intervalos da Tabela 4.9</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Seis valores dentro dos intervalos; sem limitação</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3. Escala global</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xScaleFactor = (64 + 5) / 55</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1,254545</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4. Multiplicador mestre</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fingerLength = 60 / (37 × 1,254545)</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1,292597</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5. Proporções digitais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Indicador/60; médio/60; anelar/60; mindinho/60; polegar/60</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0,950000; 1,000000; 0,950000; 0,766667; 0,833333</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6. Parâmetros mecânicos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joint_dia; joint_thick; braçadeira L × C × parede; wrist_pin_dia</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5 mm; 2 mm; 47 × 80 × 2 mm; 5 mm; dentro dos limites</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7. Malha da palma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97,385 × 80,103 × 37,123 mm; 51,381 cm³; 11.186 faces; fechada</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8. Proximal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37,451 × 14,913 × 14,775 mm; 5,225 cm³; 888 faces; fechada</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9. Distal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Caixa XYZ; faces; estanquidade</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52,183 × 14,913 × 22,697 mm; 1.198 faces; aberta</w:t>
            </w:r>
          </w:p>
        </w:tc>
      </w:tr>
    </w:tbl>
    <w:p>
      <w:pPr>
        <w:pStyle w:val="TextoNormal-IPCA"/>
        <w:rPr/>
      </w:pPr>
      <w:r>
        <w:rP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rPr/>
      </w:pPr>
      <w:r>
        <w:rP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rPr/>
      </w:pPr>
      <w:r>
        <w:rP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rPr/>
      </w:pPr>
      <w:r>
        <w:rP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Heading2"/>
        <w:numPr>
          <w:ilvl w:val="0"/>
          <w:numId w:val="0"/>
        </w:numPr>
        <w:ind w:hanging="0" w:start="0"/>
        <w:rPr/>
      </w:pPr>
      <w:r>
        <w:rPr/>
        <w:t>4.4 Iterações e decisões de projecto</w:t>
      </w:r>
    </w:p>
    <w:p>
      <w:pPr>
        <w:pStyle w:val="TextoNormal-IPCA"/>
        <w:rPr/>
      </w:pPr>
      <w:r>
        <w:rPr/>
        <w:t>A evolução dos modelos foi documentada através de episódios em que uma configuração, uma malha ou uma montagem tornou visível uma limitação e conduziu a uma alteração específica. A Tabela 4.11 resume os episódios com maior influência na estrutura paramétrica. As versões posteriores ao fecho da comparação principal são apresentadas como desenvolvimento subsequente e não como resultados retroactivos dos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1448"/>
        <w:gridCol w:w="2366"/>
        <w:gridCol w:w="2559"/>
        <w:gridCol w:w="2414"/>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Data e versão</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15–16 Jun. 2026; 14.10–14.11</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Ficheiros Paraglider dispersos e nomes incompatíveis com a plataforma</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Consolidação da família num modelo com componentes e duas palmas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Integrar um modelo aberto exige declarar dependências, variantes e campos comuns antes de expor parâmetros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28 Jun. 2026; 14.16–14.17</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Reborn permanecia no tamanho médio apesar de variar palm_breadth_mm</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Compensação da escala 1,25 preservada no módulo carregado por use</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resposta de um controlo não pode ser inferida pelo nome; deve ser confirmada na malha gerada</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 14.18</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HandPerc_override permitia ao Phoenix contornar o limite mínimo de 100%</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Aplicação do mesmo intervalo de 100%–160% aos dois percursos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t>Limites equivalentes devem actuar em todos os percursos que conduzem à mesma transformação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 14.19</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IA alterava a lateralidade apesar de esta ser uma decisão binária do projecto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Lateralidade transferida para a interface determinística e excluída das sugestões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Decisões inequívocas e críticas não devem permanecer num processo probabilístico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9–10 Jul. 2026; 14.32–14.37</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 sem controlo independente dos segmentos e com desalinhamentos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Calibração do alcance, divisão proximal–distal e reposicionamento sobre os eixos MCP/PIP</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adaptação paramétrica exige preservar interfaces articulares enquanto se altera o alcance dos segmentos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 Jul. 2026; 14.40–14.44</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desligada da circunferência do punho e polegar sem correspondência estável</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dimensionada por circunferência/π, assentamento automático no pino e calibração do polegar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Mão, punho e antebraço não devem depender de uma única escala global</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10–11 Jul. 2026; 14.48</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Dedos Phoenix constituídos por malhas fixas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Divisão das colunas e alongamento apenas das faixas sem furos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Modelos de malha podem receber variação local se as zonas funcionais forem isoladas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 14.71</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Flexy sem ligação directa ao mapa do punho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Adopção da braçadeira comum do Cyborg e de wrist_circumference_mm</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Uma gramática comum deve ligar a mesma medida corporal a funções equivalentes entre modelos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 14.72</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Grupos e nomes de controlos equivalentes variavam entre modelos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Ordem comum; LeftRight passou a mirrored no Phoenix e show_assembled passou a print_layout no Paraglider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coerência da interface beneficia de nomes comuns para decisões equivalentes, sem uniformizar diferenças geométricas legítimas</w:t>
            </w:r>
          </w:p>
        </w:tc>
      </w:tr>
    </w:tbl>
    <w:p>
      <w:pPr>
        <w:pStyle w:val="TextoNormal-IPCA"/>
        <w:rPr/>
      </w:pPr>
      <w:r>
        <w:rP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rPr/>
      </w:pPr>
      <w:r>
        <w:rPr/>
        <w:t>A iteração funcionou, assim, como instrumento de investigação através do design: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ind w:hanging="0" w:start="0"/>
        <w:rPr/>
      </w:pPr>
      <w:r>
        <w:rPr/>
        <w:t>Capítulo 5 — Plataforma Web e Integração Digital</w:t>
      </w:r>
    </w:p>
    <w:p>
      <w:pPr>
        <w:pStyle w:val="Heading2"/>
        <w:numPr>
          <w:ilvl w:val="0"/>
          <w:numId w:val="0"/>
        </w:numPr>
        <w:ind w:hanging="0" w:start="0"/>
        <w:rPr/>
      </w:pPr>
      <w:r>
        <w:rPr/>
        <w:t>5.1 Enquadramento conceptual e perfis de utilizador</w:t>
      </w:r>
    </w:p>
    <w:p>
      <w:pPr>
        <w:pStyle w:val="TextoNormal-IPCA"/>
        <w:rPr/>
      </w:pPr>
      <w:r>
        <w:rPr/>
        <w:t>A plataforma web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rPr/>
      </w:pPr>
      <w:r>
        <w:rPr/>
        <w:t>O estado actual examinado corresponde à versão 14.72.0, em 14 de Julho de 2026. Os ensaios principais incidiram na versão 14.67.0 e a série complementar de ensaios de interface na versão 14.69.0.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Do ponto de vista do Design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projectual;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1"/>
                    <a:stretch>
                      <a:fillRect/>
                    </a:stretch>
                  </pic:blipFill>
                  <pic:spPr bwMode="auto">
                    <a:xfrm>
                      <a:off x="0" y="0"/>
                      <a:ext cx="5579745" cy="2613025"/>
                    </a:xfrm>
                    <a:prstGeom prst="rect">
                      <a:avLst/>
                    </a:prstGeom>
                    <a:noFill/>
                  </pic:spPr>
                </pic:pic>
              </a:graphicData>
            </a:graphic>
          </wp:inline>
        </w:drawing>
      </w:r>
    </w:p>
    <w:p>
      <w:pPr>
        <w:pStyle w:val="Caption"/>
        <w:rPr/>
      </w:pPr>
      <w:r>
        <w:rPr/>
        <w:t>Figura 5.1 — Fluxo geral de produção personalizada de próteses a partir de plataforma web – Hand Fab</w:t>
      </w:r>
    </w:p>
    <w:p>
      <w:pPr>
        <w:pStyle w:val="Nota-IPCA"/>
        <w:rPr/>
      </w:pPr>
      <w:r>
        <w:rPr/>
        <w:t>Fonte: produção própria.</w:t>
      </w:r>
    </w:p>
    <w:p>
      <w:pPr>
        <w:pStyle w:val="TextoNormal-IPCA"/>
        <w:rPr/>
      </w:pPr>
      <w:r>
        <w:rP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2"/>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rPr/>
      </w:pPr>
      <w:r>
        <w:rPr/>
        <w:t>Deste modo, o enquadramento conceptual articula três objectivos: tornar a lógica paramétrica operável em ambiente web,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Heading2"/>
        <w:numPr>
          <w:ilvl w:val="0"/>
          <w:numId w:val="0"/>
        </w:numPr>
        <w:ind w:hanging="0" w:start="0"/>
        <w:rPr/>
      </w:pPr>
      <w:r>
        <w:rPr/>
        <w:t>5.2 Arquitectura geral do sistema</w:t>
      </w:r>
    </w:p>
    <w:p>
      <w:pPr>
        <w:pStyle w:val="TextoNormal-IPCA"/>
        <w:rPr/>
      </w:pPr>
      <w:r>
        <w:rP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Etapa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Interface web</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Modelo, perfil e valores editados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Configuração do modelo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catálogo versionado dos modelos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3</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4</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Web Worker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5</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OpenSCAD em WebAssembly</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Script e dependências; saída OFF, STL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6</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OFF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7</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Malha STL ou pacote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8</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9</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3"/>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4"/>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t>A Tabela 5.2 identifica o estado técnico necessário para interpretar o artefacto sem converter esta dissertação numa descrição exaustiva da implementação. As versões são registadas porque condicionam a leitura dos ensaios; a sua enumeração não constitui comparação entre tecnologias.</w:t>
      </w:r>
    </w:p>
    <w:p>
      <w:pPr>
        <w:pStyle w:val="Caption"/>
        <w:keepNext w:val="true"/>
        <w:rPr/>
      </w:pPr>
      <w:r>
        <w:rPr/>
        <w:t>Tabela 5.2 — Componentes, versões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4"/>
        <w:gridCol w:w="2539"/>
        <w:gridCol w:w="2147"/>
        <w:gridCol w:w="2637"/>
      </w:tblGrid>
      <w:tr>
        <w:trPr>
          <w:tblHeader w:val="true"/>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Elemento do percurso</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Implementação e estado examinado</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Função no processo de design</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Limite da evidência</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Protótipo HandFab</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Versão actual 14.72.0; ensaios principais em 14.67.0 e complementares em 14.69.0</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Reunir configuração, pré-visualização, conservação de variantes e exportação</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 evolução entre versões impede atribuir retroactivamente funções novas aos ensaios anteriores</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Interface no navegador</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Aplicação web com visualizador tridimensional; demonstração pública em handfab.pedrocandeias.net</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Tornar visível a relação entre parâmetros, forma e decisão de exportar</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Chromium e Firefox produziram o mesmo resultado no caso comparado; WebKit permaneceu inconclusivo; não foi demonstrada compatibilidade universal</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Geração geométrica</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OpenSCAD executado em WebAssembly num Web Worker</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Aplicar as relações paramétricas e produzir a geometria sem instalação local de CAD</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O tempo e a conclusão dependem do modelo e dos recursos do equipamento; não houve estudo comparativo de desempenho</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Servidor e acesso</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Node.js 22.14.0, Express 4.18.3 e autenticação por perfis</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Guardar contas e configurações e intermediar os pedidos externos</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O funcionamento foi examinado em casos delimitados; não foram avaliados carga, acessos simultâneos ou segurança integral</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Dados guardados</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SQLite integrado no Node.js</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Conservar perfis, configurações e relações de atribuição</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Adequado ao protótipo examinado; não foi comparado com outras soluções nem testado em utilização intensiva</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Serviço externo de IA</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Anthropic ou OpenAI, seleccionável; claude-sonnet-4-6 no ensaio reportado</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Sugerir valores iniciais condicionados pelo modelo activo</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Depende da disponibilidade externa e da qualidade do pedido; não gera nem aprova a geometria</w:t>
            </w:r>
          </w:p>
        </w:tc>
      </w:tr>
    </w:tbl>
    <w:p>
      <w:pPr>
        <w:pStyle w:val="TextoNormal-IPCA"/>
        <w:rPr/>
      </w:pPr>
      <w:r>
        <w:rP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projectual.</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A Figura 5.5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5"/>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rPr/>
      </w:pPr>
      <w:r>
        <w:rP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rPr/>
      </w:pPr>
      <w:r>
        <w:rP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rPr/>
      </w:pPr>
      <w:r>
        <w:rPr/>
        <w:t>O controlo de acesso diferencia administrador, técnico e utilizador através de autenticação por JSON Web Token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projectual reside em impedir que todas as decisões e operações sejam apresentadas indistintamente a todos os perfis (Quintero et al., 2018; Bai et al., 2024).</w:t>
      </w:r>
    </w:p>
    <w:p>
      <w:pPr>
        <w:pStyle w:val="Heading2"/>
        <w:numPr>
          <w:ilvl w:val="0"/>
          <w:numId w:val="0"/>
        </w:numPr>
        <w:ind w:hanging="0" w:start="0"/>
        <w:rPr/>
      </w:pPr>
      <w:r>
        <w:rPr/>
        <w:t>5.3 Integração OpenSCAD via WebAssembly (WASM)</w:t>
      </w:r>
    </w:p>
    <w:p>
      <w:pPr>
        <w:pStyle w:val="TextoNormal-IPCA"/>
        <w:rPr/>
      </w:pPr>
      <w:r>
        <w:rPr/>
        <w:t>A integração do OpenSCAD por meio de WebAssembly permite executar localmente, no navegador, um modelo paramétrico baseado em código, sem depender de um serviço externo de geração contínua. O OpenSCAD define a geometria através de instruções, parâmetros e relações explícitas; o WebAssembly (WASM) permite executar esse núcleo no ambiente web.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rPr/>
      </w:pPr>
      <w:r>
        <w:rPr/>
        <w:t>Operacionalmente, a integração articula três elementos principais: os ficheiros .scad,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rPr/>
      </w:pPr>
      <w:r>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O Web Worker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projectual.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6"/>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7"/>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48"/>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49"/>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rPr/>
      </w:pPr>
      <w:r>
        <w:rPr/>
        <w:t>Esta arquitectura corrige uma fragilidade identificada numa versão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rPr/>
      </w:pPr>
      <w:r>
        <w:rPr/>
        <w:t>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na versão 14.72.0. A reconstrução designada pec Phoenix hand continua como material de desenvolvimento e não integra a plataforma. Esta distinção separa biblioteca actual, conjunto avaliado e trabalhos exploratórios.</w:t>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9"/>
        <w:gridCol w:w="1767"/>
        <w:gridCol w:w="1767"/>
        <w:gridCol w:w="2102"/>
      </w:tblGrid>
      <w:tr>
        <w:trPr>
          <w:tblHeader w:val="true"/>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Modelo, versão e estado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Parâmetros configuráveis</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Ensaios e evidência no estudo</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Flexy Beast; plataforma 14.67.0; activo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Adaptação do Flexy-Beast de daprice, combinação do Parametric Cyborg Beast e do Flexy Hand; CC BY-SA 4.0, indicada no ficheiro-fonte</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51 declarações; 15 numéricas: palma, dedos, articulações, braçadeira e pino</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Bambu A1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Paraglider/Flexible Flyer; plataforma 14.67.0; activo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42 declarações; 15 numéricas: palma, dedos, canais e braço</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Prusa MINI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UnLimbited Phoenix V1.0; plataforma 14.67.0; activo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31 declarações; 12 numéricas: palma, escala e segmentos digitais</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e projecto Bambu A1</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Cyborg Beast; plataforma 14.67.0; activo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MakerBlock/e-NABLE; licença não explicitada no pacote local</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50 declarações; 17 numéricas: palma, dedos, punho, braçadeira e pino</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Integração e renderização; excluído da comparação e das séries físicas</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pec Phoenix hand; desenvolvimento; não registado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Reconstrução baseada na linhagem Phoenix; licença do derivado não formalizada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Sem contrato consolidado em catálogo versionado dos modelos</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Mecanismo não estabilizado na configuração comum</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Material exploratório; excluído dos ensaios comparativos</w:t>
            </w:r>
          </w:p>
        </w:tc>
      </w:tr>
    </w:tbl>
    <w:p>
      <w:pPr>
        <w:pStyle w:val="TextoNormal-IPCA"/>
        <w:rPr/>
      </w:pPr>
      <w:r>
        <w:rP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rPr/>
      </w:pPr>
      <w:r>
        <w:rPr/>
        <w:t>As contagens da Tabela 5.3 referem-se às declarações presentes em catálogo versionado dos modelos no estado versionado da plataforma 14.67.0.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rPr/>
      </w:pPr>
      <w:r>
        <w:rP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rPr/>
      </w:pPr>
      <w:r>
        <w:rP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de adaptação projectual controlada,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ind w:hanging="0" w:start="0"/>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do contrato de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t>Resposta limitada a 1024 tokens;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Contrato de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Versões examinadas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t>A avaliação inicial incidiu sobre a versão 14.67.0. A série complementar de controlo da interface e dos dados submetidos foi executada na versão 14.69.0.</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t>A avaliação utilizou o fornecedor Anthropic e o modelo claude-sonnet-4-6. A resposta estava limitada a 1024 tokens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 e não constituem avaliação centrada no utilizador, porque nenhuma pessoa participou no estudo.</w:t>
      </w:r>
    </w:p>
    <w:p>
      <w:pPr>
        <w:pStyle w:val="TextoNormal-IPCA"/>
        <w:rPr/>
      </w:pPr>
      <w:r>
        <w:rP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versão avaliada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Regras OpenSCAD executadas em 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versão de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versão avaliada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2"/>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ind w:hanging="0" w:start="0"/>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rPr/>
      </w:pPr>
      <w:r>
        <w:rP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projectual,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3"/>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7.3 Mediação do processo de design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versão avaliada implementa apenas parte dessa comunicação.</w:t>
      </w:r>
    </w:p>
    <w:p>
      <w:pPr>
        <w:pStyle w:val="TextoNormal-IPCA"/>
        <w:rPr/>
      </w:pPr>
      <w:r>
        <w:t>A separação entre sugestão, configuração e geometria constitui uma decisão projectual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ind w:hanging="0" w:start="0"/>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A versão 14.67.0 foi inspeccionada no fecho do estudo. A Tabela 8.1 distingue resultados executados nesta verificação, dados observados na base local e registos de ensaios de versões anteriores.</w:t>
      </w:r>
    </w:p>
    <w:p>
      <w:pPr>
        <w:pStyle w:val="Caption"/>
        <w:rPr/>
      </w:pPr>
      <w:r>
        <w:rPr/>
        <w:t>Tabela 8.1 — Evidência técnica do funcionamento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Procedimento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Limite da evidência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Correspondência de perfis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npm run test:unit, 13 de Julho de 2026</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 testes aprovados, 0 falhas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Abrange análise de sexo, idade, grupos etários e selecção de perfil; não cobre a interface completa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Inspecção de catálogo versionado dos modelos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Quatro modelos registados e respectivos parâmetros carregáveis por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 a declaração dos modelos; três integram a comparação dimensional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Base antropométrica da aplicação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Consulta de base local da aplicação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 perfis: 97 importados em lote, dois por CSV e um manual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número de perfis da aplicação difere do número de linhas dos CSV de origem, porque cada perfil agrega várias medições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Persistência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Consulta da estrutura e dos registos de teste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Tabelas de utilizadores, configurações, perfis e atribuições técnicas presentes; uma configuração guardada no estado consultado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 dados existentes, sem ensaio de carga ou acessos simultâneos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Renderização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Relatórios e testes end-to-end arquivados no registo de alterações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Geração em WebAssembly, conversão para GLB e exportação STL/3MF documentadas nas versões correspondentes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bateria Playwright da versão 14.67.0 não foi repetida no ambiente desta revisão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Serviço de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Inspecção das rotas e dos serviços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Chamada autenticada, escolha de fornecedor, limite de frequência, referência populacional e resposta textual implementados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disponibilidade depende de chaves e serviços externos</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consistência entre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t>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design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Em termos de Design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Dois projectos com camada de 0,24 mm, duas paredes e 15% de enchimento: peças atribuídas, respectivamente,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Oito conjuntos de peças em cada projecto;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projectual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t>Uma inspecção complementar com trimesh, arquivada com os cenários de 29 de Junho de 2026, examinou peças da configuração infantil.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Inspecção computacional de malhas na configuração infantil</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rPr/>
        <w:t>.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4"/>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5"/>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6"/>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7"/>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t>A leitura dos registos mostra respostas distintas consoante o detalhe da descrição submetida.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Na resposta arquivada, a IA preservou os valores directamente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Descrições com uma medição directa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Na resposta arquivada, o sistema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t>A bateria complementar reuniu 15 cenários com descrições vagas, comparativas, multilingues, sem medidas ou com valores fora dos limites. Os registos preservam as descrições submetidas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Descrições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dentro dos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responderam de forma semelhante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tinha produzido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design. A configuração dimensional, a visualização, a escolha formal e cromática, a edição dos parâmetros e a possibilidade de aceitar, alterar ou rejeitar sugestões de IA constituem respostas projectuais concretas. Os ensaios verificaram a presença e o funcionamento técnico destes mecanismos, mas não mediram o seu efeito no conforto percebido, na aceitação ou na utilização continuada.</w:t>
      </w:r>
    </w:p>
    <w:p>
      <w:pPr>
        <w:pStyle w:val="TextoNormal-IPCA"/>
        <w:rPr/>
      </w:pPr>
      <w: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projectuais potenciais,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Acesso e manutenção: explorar uma arquitectura web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arquitectura reduz algumas dependências de software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estudo conserva versões, protocolos, falhas, correcções, inventários e anexos ligados aos ciclos de 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houve co-design,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projectual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Quanto à primeira pergunta aprovada, o design paramétrico e a IA apoiaram parcialmente a personalização através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ajuste, acessibilidade do processo e controlo projectual. Não foram medidos conforto percebido, adequação anatómica individual ou desempenho funcional em utilização.</w:t>
      </w:r>
    </w:p>
    <w:p>
      <w:pPr>
        <w:pStyle w:val="TextoNormal-IPCA"/>
        <w:rPr/>
      </w:pPr>
      <w:r>
        <w:t>Quanto à segunda pergunta aprovada, a combinação de ciclos de Research Through Design,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comparação dimensional permanece descritiva e não estima a incerteza de medição; montagem completa e ensaios de utilização ficaram igualmente fora do âmbito avaliado.</w:t>
      </w:r>
    </w:p>
    <w:p>
      <w:pPr>
        <w:pStyle w:val="TextoNormal-IPCA"/>
        <w:rPr/>
      </w:pPr>
      <w:r>
        <w:rPr/>
        <w:t>Quanto à terceira pergunta aprovada, o design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A hipótese principal recebeu apoio parcial ao nível dos mecanismos projectuais: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design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t>O contributo metodológico é a documentação dos ciclos de Research Through Design que ligam situação, artefacto, ensaio, resultado e alteração. A passagem sucessiva pela resposta numérica, geometria exportada, projecto de preparação para impressão e peça física revelou falhas que ficariam ocultas num único nível de análise.</w:t>
      </w:r>
    </w:p>
    <w:p>
      <w:pPr>
        <w:pStyle w:val="TextoNormal-IPCA"/>
        <w:rPr/>
      </w:pPr>
      <w:r>
        <w:rP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versões específicas do código. Não foi realizado um estudo estatístico com amostras extensas por cenário. A versão actual da plataforma foi inspeccionada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t>Uma eventual extensão metrológica poderá aprofundar a comparação dimensional já realizada. As medidas de entrada, as extensões X/Y/Z das malhas e um valor físico por eixo para as palmas em PLA e PETG encontram-se registados no Anexo D. Caso um estudo futuro pretenda calcular média, amplitude e incerteza associada ao reposicionamento do paquímetro, deverá efectuar três leituras independentes por eixo. Esta extensão é opcional e não é necessária para a comparação descritiva nem para as conclusões apresentadas nesta dissertação. Os pontos usados correspondem a extremos geométricos e não são apresentados como pontos anatómicos sem demonstração da sua equivalência.</w:t>
      </w:r>
    </w:p>
    <w:p>
      <w:pPr>
        <w:pStyle w:val="TextoNormal-IPCA"/>
        <w:rPr/>
      </w:pPr>
      <w:r>
        <w:t>Uma eventual extensão orientada para a estabilidade do modelo de linguagem poderá executar cada cenário várias vezes, com registo do modelo, dos parâmetros de geração, da resposta completa, dos erros, dos campos omitidos e da taxa de cumprimento de cada regra. Esta extensão permitiria caracterizar a dispersão entre chamadas, mas não é necessária para as conclusões delimitadas apresentadas nesta dissertação. Independentemente dessa campanha, a interface deverá mostrar a fonte populacional usada, os dados em falta e avisos quando a dimensão estimada fica fora da gama do modelo escolhido. A validação do esquema JSON deverá ocorrer no servidor antes de a sugestão chegar à interface.</w:t>
      </w:r>
    </w:p>
    <w:p>
      <w:pPr>
        <w:pStyle w:val="TextoNormal-IPCA"/>
        <w:rPr/>
      </w:pPr>
      <w: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ind w:hanging="0" w:start="0"/>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multipopulacional da mão,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https://www.semanticscholar.org/paper/3532a770446eb6144ef25a6b0162d1f98b61e0ff</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https://www.mdpi.com/2673-1592/6/2/22/pdf?version=1710818539</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ind w:hanging="0" w:start="0"/>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multipopulacional da mão — 1.790 linhas de dados,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"hand anthropometry normative data population study percentiles" "hand dimensions measurement ergonomics working population" "anthropometric survey finger length breadth caliper"</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(long format)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é documentado de forma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Os dados foram extraídos a partir do HTML da interface web (padrões id="mean{col}{row}" / id="sd{col}{row}"), mapeando índices de coluna para combinações (sub-dataset, sexo, grupo etário) e índices de linha para nomes de medição.</w:t>
      </w:r>
    </w:p>
    <w:p>
      <w:pPr>
        <w:pStyle w:val="Bibliography"/>
        <w:jc w:val="start"/>
        <w:rPr/>
      </w:pPr>
      <w:r>
        <w:rP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Região corporal (hand, forearm, upperarm, lowerlimb, torso, head)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Descrição da população (e.g., "Young adults (age 18-30)")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Tipo de estatística: 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(long format)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A.7.1 Marcação inline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multipopulacional — gera o conjunto de dados da mão a partir de secções correspondentes às fontes e aos subconjuntos incluídos</w:t>
      </w:r>
    </w:p>
    <w:p>
      <w:pPr>
        <w:pStyle w:val="TextoNormal-IPCA"/>
        <w:rPr/>
      </w:pPr>
      <w:r>
        <w:rP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TextoNormal-IPCA"/>
        <w:rPr/>
      </w:pPr>
      <w:r>
        <w:rPr/>
        <w:t>O script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versionado da plataforma 14.67.0.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versionado dos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Base multipopulacional da mão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multipopulacional da mão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base multipopulacional da mão foi construída para reunir diferenças antropométricas da mão em várias dimensões geográficas, demográficas, etárias e estatísticas.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Nove países estão representados, distribuídos por sete regiões do mundo. A cobertura é particularmente densa nos EUA (três fontes independentes) e nos Países Baixos (três sub-datasets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ind w:hanging="0" w:start="0"/>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pPr>
      <w:r>
        <w:rPr/>
        <w:t>Tabela B.5 — Identificação das séries complementares de avaliação da plataforma</w:t>
        <w:tab/>
        <w:t>134</w:t>
      </w:r>
      <w:r>
        <w:br w:type="page"/>
      </w:r>
    </w:p>
    <w:p>
      <w:pPr>
        <w:pStyle w:val="TextoNormal-IPCA"/>
        <w:rPr/>
      </w:pPr>
      <w:r>
        <w:rPr>
          <w:b/>
        </w:rPr>
        <w:t>Data das séries de ensaios: 13 e 14 de Julho de 2026</w:t>
      </w:r>
    </w:p>
    <w:p>
      <w:pPr>
        <w:pStyle w:val="TextoNormal-IPCA"/>
        <w:rPr/>
      </w:pPr>
      <w:r>
        <w:rPr>
          <w:b/>
        </w:rPr>
        <w:t>Versão avaliada:</w:t>
      </w:r>
      <w:r>
        <w:rPr/>
        <w:t xml:space="preserve"> HandFab 14.69.0</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Este anexo documenta a avaliação complementar da plataforma HandFab a partir de questões relevantes para o Design Industrial. O objectivo não foi certificar o programa informático, mas examinar se o processo de configuração apresenta um comportamento suficientemente previsível para apoiar a actividade projectual,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Por conseguinte, este anexo não avalia conforto, ajuste anatómico individual, eficácia protésica, segurança, durabilidade, aprendizagem, satisfação ou uso quotidiano. Também não constitui declaração de conformidade com as Web Content Accessibility Guidelines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Leitura para o processo de 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projectual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Consequência de 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B.7 Aprendizagens para o Design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projectual.</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à versão 14.69.0 da plataforma.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ind w:hanging="0" w:start="0"/>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na versão 14.72.0</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da versão 14.67.0</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ind w:hanging="0" w:start="0"/>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O estado examinado corresponde à versão 14.72.0 da plataforma em 14 de Julho de 2026. A versão 14.71.0 integrou a braçadeira revista do Flexy Beast e alterou o dicionário da versão 14.67.0: os antigos parâmetros de largura, comprimento e parede da braçadeira foram substituídos por circunferência do punho, inclinação, multiplicador de comprimento e furos de correia. A versão 14.72.0 uniformizou a organização dos grupos e os nomes dos controlos equivalentes, sem modificar as relações geométricas descritas neste anexo.</w:t>
      </w:r>
    </w:p>
    <w:p>
      <w:pPr>
        <w:pStyle w:val="TextoNormal-IPCA"/>
        <w:rPr/>
      </w:pPr>
      <w:r>
        <w:rPr/>
        <w:t>O modelo de desenvolvimento pec Phoenix hand não integra este anexo. Embora tenha sido desenvolvido no âmbito do projecto, não pertence ao conjunto de quatro modelos registados que sustenta a comparação principal da dissertação.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58"/>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versionado dos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através de 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na versão 14.72.0</w:t>
      </w:r>
    </w:p>
    <w:p>
      <w:pPr>
        <w:pStyle w:val="TextoNormal-IPCA"/>
        <w:rPr/>
      </w:pPr>
      <w:r>
        <w:rPr/>
        <w:t>A versão 14.72.0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no contrato entre configuração e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A versão actual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14.67.0.</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14.72.0;</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declarada no contrato de parâmetros.</w:t>
      </w:r>
    </w:p>
    <w:p>
      <w:pPr>
        <w:pStyle w:val="Heading3"/>
        <w:numPr>
          <w:ilvl w:val="0"/>
          <w:numId w:val="0"/>
        </w:numPr>
        <w:ind w:hanging="0" w:start="0"/>
        <w:rPr/>
      </w:pPr>
      <w:r>
        <w:rPr/>
        <w:t>C.5.3 Hardware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Estes valores são constantes ou opções de hardware.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os componentes de hardware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dentro dos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da versão 14.67.0</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da versão 14.67.0.</w:t>
      </w:r>
    </w:p>
    <w:p>
      <w:pPr>
        <w:pStyle w:val="TextoNormal-IPCA"/>
        <w:rPr/>
      </w:pPr>
      <w:r>
        <w:rPr/>
        <w:t xml:space="preserve">Depois dessa versão, a braçadeira do Flexy Beast mudou de contrato paramétrico.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14.72.0.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versão.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projectual e técnico: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versionado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versionado dos modelos;</w:t>
      </w:r>
    </w:p>
    <w:p>
      <w:pPr>
        <w:pStyle w:val="TextoNormal-IPCA"/>
        <w:rPr/>
      </w:pPr>
      <w:r>
        <w:rPr/>
        <w:t>- leitura das fórmulas e constantes nos ficheiros OpenSCAD activos;</w:t>
      </w:r>
    </w:p>
    <w:p>
      <w:pPr>
        <w:pStyle w:val="TextoNormal-IPCA"/>
        <w:rPr/>
      </w:pPr>
      <w:r>
        <w:rPr/>
        <w:t>- confronto entre a versão 14.67.0 do suplemento e a versão 14.72.0;</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59"/>
          <w:headerReference w:type="default" r:id="rId60"/>
          <w:headerReference w:type="first" r:id="rId61"/>
          <w:footerReference w:type="even" r:id="rId62"/>
          <w:footerReference w:type="default" r:id="rId63"/>
          <w:footerReference w:type="first" r:id="rId64"/>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ind w:hanging="0" w:start="0"/>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rPr>
        <w:t>Design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«Estanque/manifold» e</w:t>
      </w:r>
    </w:p>
    <w:p>
      <w:pPr>
        <w:pStyle w:val="TextoNormal-IPCA"/>
        <w:rPr/>
      </w:pPr>
      <w:r>
        <w:rPr/>
        <w:t>«faces degeneradas» descrevem a integridade do ficheiro 3D; não são medida da robustez do objecto impresso.</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de perfil de processo ou de firmware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serve para documentar os projectos tal como foram preparados, não para os comparar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w:t>
      </w:r>
      <w:r>
        <w:rPr/>
        <w:t xml:space="preserve"> representa uma impressão física nem uma recomendação de imprimibilidade.</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9"/>
        <w:gridCol w:w="1801"/>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(teen), 296 mm (adult) e 273 mm (elderly),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projectual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 estas propriedades não constituem resultados experimentais desta dissertação.</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5"/>
      <w:headerReference w:type="default" r:id="rId66"/>
      <w:headerReference w:type="first" r:id="rId67"/>
      <w:footerReference w:type="even" r:id="rId68"/>
      <w:footerReference w:type="default" r:id="rId69"/>
      <w:footerReference w:type="first" r:id="rId70"/>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153</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153</w:t>
        </w:r>
        <w:r>
          <w:rPr>
            <w:rStyle w:val="RodapCarter"/>
          </w:rPr>
          <w:fldChar w:fldCharType="end"/>
        </w:r>
      </w:p>
    </w:sdtContent>
  </w:sdt>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168</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168</w:t>
        </w:r>
        <w:r>
          <w:rPr>
            <w:rStyle w:val="RodapCarte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mirrorMargin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bidi w:val="0"/>
      <w:spacing w:lineRule="auto" w:line="348" w:before="0" w:after="0"/>
      <w:ind w:firstLine="340"/>
      <w:jc w:val="both"/>
    </w:pPr>
    <w:rPr>
      <w:rFonts w:ascii="Times New Roman" w:hAnsi="Times New Roman" w:cs="Times New Roman" w:eastAsia="Calibri"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basedOn w:val="DefaultParagraphFont"/>
    <w:uiPriority w:val="99"/>
    <w:semiHidden/>
    <w:unhideWhenUsed/>
    <w:qFormat/>
    <w:rsid w:val="00102e90"/>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basedOn w:val="DefaultParagraphFont"/>
    <w:uiPriority w:val="99"/>
    <w:semiHidden/>
    <w:unhideWhenUsed/>
    <w:qFormat/>
    <w:rsid w:val="00853a05"/>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bidi w:val="0"/>
      <w:spacing w:before="0" w:after="0"/>
      <w:ind w:firstLine="340"/>
      <w:jc w:val="both"/>
    </w:pPr>
    <w:rPr>
      <w:rFonts w:ascii="Times New Roman" w:hAnsi="Times New Roman" w:cs="Times New Roman" w:eastAsia="Calibri"/>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image" Target="media/image3.jpeg"/><Relationship Id="rId28" Type="http://schemas.openxmlformats.org/officeDocument/2006/relationships/image" Target="media/image4.png"/><Relationship Id="rId29" Type="http://schemas.openxmlformats.org/officeDocument/2006/relationships/image" Target="media/image5.jpe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image" Target="media/image24.png"/><Relationship Id="rId49" Type="http://schemas.openxmlformats.org/officeDocument/2006/relationships/image" Target="media/image25.png"/><Relationship Id="rId50" Type="http://schemas.openxmlformats.org/officeDocument/2006/relationships/image" Target="media/image26.png"/><Relationship Id="rId51" Type="http://schemas.openxmlformats.org/officeDocument/2006/relationships/image" Target="media/image27.png"/><Relationship Id="rId52" Type="http://schemas.openxmlformats.org/officeDocument/2006/relationships/image" Target="media/image28.png"/><Relationship Id="rId53" Type="http://schemas.openxmlformats.org/officeDocument/2006/relationships/image" Target="media/image29.png"/><Relationship Id="rId54" Type="http://schemas.openxmlformats.org/officeDocument/2006/relationships/image" Target="media/image30.jpeg"/><Relationship Id="rId55" Type="http://schemas.openxmlformats.org/officeDocument/2006/relationships/image" Target="media/image31.jpeg"/><Relationship Id="rId56" Type="http://schemas.openxmlformats.org/officeDocument/2006/relationships/image" Target="media/image32.jpeg"/><Relationship Id="rId57" Type="http://schemas.openxmlformats.org/officeDocument/2006/relationships/image" Target="media/image33.png"/><Relationship Id="rId58" Type="http://schemas.openxmlformats.org/officeDocument/2006/relationships/image" Target="media/image34.png"/><Relationship Id="rId59" Type="http://schemas.openxmlformats.org/officeDocument/2006/relationships/header" Target="header1.xml"/><Relationship Id="rId60" Type="http://schemas.openxmlformats.org/officeDocument/2006/relationships/header" Target="header2.xml"/><Relationship Id="rId61" Type="http://schemas.openxmlformats.org/officeDocument/2006/relationships/header" Target="header3.xml"/><Relationship Id="rId62" Type="http://schemas.openxmlformats.org/officeDocument/2006/relationships/footer" Target="footer23.xml"/><Relationship Id="rId63" Type="http://schemas.openxmlformats.org/officeDocument/2006/relationships/footer" Target="footer24.xml"/><Relationship Id="rId64" Type="http://schemas.openxmlformats.org/officeDocument/2006/relationships/footer" Target="footer25.xml"/><Relationship Id="rId65" Type="http://schemas.openxmlformats.org/officeDocument/2006/relationships/header" Target="header4.xml"/><Relationship Id="rId66" Type="http://schemas.openxmlformats.org/officeDocument/2006/relationships/header" Target="header5.xml"/><Relationship Id="rId67" Type="http://schemas.openxmlformats.org/officeDocument/2006/relationships/header" Target="header6.xml"/><Relationship Id="rId68" Type="http://schemas.openxmlformats.org/officeDocument/2006/relationships/footer" Target="footer26.xml"/><Relationship Id="rId69" Type="http://schemas.openxmlformats.org/officeDocument/2006/relationships/footer" Target="footer27.xml"/><Relationship Id="rId70" Type="http://schemas.openxmlformats.org/officeDocument/2006/relationships/footer" Target="footer28.xml"/><Relationship Id="rId71" Type="http://schemas.openxmlformats.org/officeDocument/2006/relationships/numbering" Target="numbering.xml"/><Relationship Id="rId72" Type="http://schemas.openxmlformats.org/officeDocument/2006/relationships/fontTable" Target="fontTable.xml"/><Relationship Id="rId73" Type="http://schemas.openxmlformats.org/officeDocument/2006/relationships/settings" Target="settings.xml"/><Relationship Id="rId74" Type="http://schemas.openxmlformats.org/officeDocument/2006/relationships/theme" Target="theme/theme1.xml"/><Relationship Id="rId75" Type="http://schemas.openxmlformats.org/officeDocument/2006/relationships/glossaryDocument" Target="glossary/document.xml"/><Relationship Id="rId76"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LibreOffice/26.2.4.2$Linux_X86_64 LibreOffice_project/3346a99e6b841765b75a9b29714a5b95c6761ce3</Application>
  <AppVersion>15.0000</AppVersion>
  <Pages>190</Pages>
  <Words>63114</Words>
  <Characters>380066</Characters>
  <CharactersWithSpaces>440112</CharactersWithSpaces>
  <Paragraphs>3367</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2026-07-15T10:27:06Z</dcterms:modified>
  <cp:revision>5</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