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projeto de investigação, com uniformização ortográfica para português europeu. O seu alcance é mais amplo do que a componente empírica realizada. Por esse motivo, a dissertação distingue os mecanismos de projeto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através de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ISO 62366 define requisitos específicos para a aplicação da engenharia de usabilidade a dispositivos médicos, reforçando a integração formal de avaliações formativas, realizadas durante o desenvolvimento para orientar melhorias, e de avaliações sumativas, destinadas a verificar o resultado final.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6"/>
        <w:gridCol w:w="1759"/>
        <w:gridCol w:w="1756"/>
        <w:gridCol w:w="1759"/>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0"/>
        <w:gridCol w:w="3671"/>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8"/>
        <w:gridCol w:w="2028"/>
        <w:gridCol w:w="2704"/>
        <w:gridCol w:w="2657"/>
      </w:tblGrid>
      <w:tr>
        <w:trPr>
          <w:tblHeader w:val="true"/>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5"/>
        <w:gridCol w:w="3960"/>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3"/>
        <w:gridCol w:w="2540"/>
        <w:gridCol w:w="2146"/>
        <w:gridCol w:w="2638"/>
      </w:tblGrid>
      <w:tr>
        <w:trPr>
          <w:tblHeader w:val="true"/>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do projecto.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projecto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 xml:space="preserv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154</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169</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basedOn w:val="DefaultParagraphFont"/>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basedOn w:val="DefaultParagraphFont"/>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 Id="rId77" Type="http://schemas.openxmlformats.org/officeDocument/2006/relationships/glossaryDocument" Target="glossary/document.xml"/><Relationship Id="rId78"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LibreOffice/26.2.4.2$Linux_X86_64 LibreOffice_project/3346a99e6b841765b75a9b29714a5b95c6761ce3</Application>
  <AppVersion>15.0000</AppVersion>
  <Pages>191</Pages>
  <Words>63696</Words>
  <Characters>383250</Characters>
  <CharactersWithSpaces>443870</CharactersWithSpaces>
  <Paragraphs>3378</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2026-07-15T21:23:24Z</dcterms:modified>
  <cp:revision>6</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