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Style w:val="TtulodeCapaefolhaderosto-IPCACarter"/>
        </w:rPr>
        <w:t>(folha em branco)</w:t>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 mão protésica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por cenários simulados,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Projetos de preparação digital para impressão 3D com configuração analisada</w:t>
        <w:tab/>
        <w:t>91</w:t>
      </w:r>
    </w:p>
    <w:p>
      <w:pPr>
        <w:pStyle w:val="TOC1"/>
        <w:rPr/>
      </w:pPr>
      <w:r>
        <w:rPr/>
        <w:t>Tabela 8.3 — Inspeção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através de um protótipo técnico desenvolvido e discutido segundo uma abordagem de </w:t>
      </w:r>
      <w:r>
        <w:rPr>
          <w:i/>
          <w:iCs/>
        </w:rPr>
        <w:t>Research Through Design</w:t>
      </w:r>
      <w:r>
        <w:rPr/>
        <w:t>.</w:t>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o </w:t>
      </w:r>
      <w:r>
        <w:rPr>
          <w:i/>
          <w:iCs/>
        </w:rPr>
        <w:t>design</w:t>
      </w:r>
      <w:r>
        <w:rPr/>
        <w:t xml:space="preserve"> industrial concilia requisitos anatómicos, funcionais, ergonómicos, estéticos e simbólicos, promovendo a aceitação, a dignidade e a autonomia?</w:t>
      </w:r>
    </w:p>
    <w:p>
      <w:pPr>
        <w:pStyle w:val="TextoNormal-IPCA"/>
        <w:rPr/>
      </w:pPr>
      <w:r>
        <w:rPr/>
        <w:t>Estas perguntas conservam o conteúdo aprovado para o projeto de investigação, com uniformização ortográfica para português europeu. O seu alcance é mais amplo do que a componente empírica realizada. Por esse motivo, a dissertação distingue os mecanismos de projeto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de acordo com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pela comportamento mecânico previsível, pelo menor custo e pela relativa facilidade de manutenção.</w:t>
      </w:r>
    </w:p>
    <w:p>
      <w:pPr>
        <w:pStyle w:val="TextoNormal-IPCA"/>
        <w:rPr/>
      </w:pPr>
      <w:r>
        <w:rPr/>
        <w:t xml:space="preserve">Um atributo particularmente relevante é o </w:t>
      </w:r>
      <w:r>
        <w:rPr>
          <w:i/>
          <w:iCs/>
        </w:rPr>
        <w:t>feedback</w:t>
      </w:r>
      <w:r>
        <w:rPr/>
        <w:t xml:space="preserve">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através de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 xml:space="preserve">O </w:t>
      </w:r>
      <w:r>
        <w:rPr>
          <w:i/>
          <w:iCs/>
        </w:rPr>
        <w:t>design</w:t>
      </w:r>
      <w:r>
        <w:rPr/>
        <w:t xml:space="preserve">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Ron Mace[^5],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através de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ISO 62366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Configuradores </w:t>
      </w:r>
      <w:r>
        <w:rPr>
          <w:i/>
          <w:iCs/>
        </w:rPr>
        <w:t>web</w:t>
      </w:r>
      <w:r>
        <w:rPr/>
        <w:t xml:space="preserve"> ou interfaces baseadas em CAD expõem um conjunto delimitado de parâmetros, permitindo ao utilizador ajustar dimensões ou características dentro de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w:t>
      </w:r>
      <w:r>
        <w:rPr>
          <w:i/>
          <w:iCs/>
        </w:rPr>
        <w:t>file-to-factory</w:t>
      </w:r>
      <w:r>
        <w:rPr/>
        <w:t xml:space="preserve">” viabiliza fluxos digitais em que o ficheiro parametrizado é convertido directamente em instruções de fabrico, seja localmente (impressão 3D descentralizada) ou através de uma encomenda </w:t>
      </w:r>
      <w:r>
        <w:rPr>
          <w:i/>
          <w:iCs/>
        </w:rPr>
        <w:t>online</w:t>
      </w:r>
      <w:r>
        <w:rPr/>
        <w:t xml:space="preserve">[^11].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mãos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ISO 7250).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rPr/>
      </w:pPr>
      <w:r>
        <w:rPr/>
        <w:t xml:space="preserve">2. A digitalização 3D, através de </w:t>
      </w:r>
      <w:r>
        <w:rPr>
          <w:i/>
          <w:iCs/>
        </w:rPr>
        <w:t>scanning</w:t>
      </w:r>
      <w:r>
        <w:rPr/>
        <w:t xml:space="preserve">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w:t>
      </w:r>
      <w:r>
        <w:rPr>
          <w:i/>
          <w:iCs/>
        </w:rPr>
        <w:t>design</w:t>
      </w:r>
      <w:r>
        <w:rPr/>
        <w:t>.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de forma controlada (Fischer et al., 2017; Kerr et al., 2024; Zhu &amp; Zhong, 2022).</w:t>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t xml:space="preserve">, </w:t>
      </w:r>
      <w:r>
        <w:rPr>
          <w:i/>
          <w:iCs/>
        </w:rPr>
        <w:t>serious games</w:t>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w:t>
      </w:r>
      <w:r>
        <w:rPr>
          <w:i/>
          <w:iCs/>
        </w:rPr>
        <w:t>Technology Readiness Level</w:t>
      </w:r>
      <w:r>
        <w:rPr/>
        <w:t xml:space="preserve">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do projecto,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6"/>
        <w:gridCol w:w="1759"/>
        <w:gridCol w:w="1756"/>
        <w:gridCol w:w="1759"/>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40"/>
        <w:gridCol w:w="3671"/>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t>
      </w:r>
      <w:r>
        <w:rPr>
          <w:i/>
          <w:iCs/>
        </w:rPr>
        <w:t>web</w:t>
      </w:r>
      <w:r>
        <w:rPr/>
        <w:t>,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8"/>
        <w:gridCol w:w="2028"/>
        <w:gridCol w:w="2704"/>
        <w:gridCol w:w="2657"/>
      </w:tblGrid>
      <w:tr>
        <w:trPr>
          <w:tblHeader w:val="true"/>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5"/>
        <w:gridCol w:w="3960"/>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dentro dos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através de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3"/>
        <w:gridCol w:w="2540"/>
        <w:gridCol w:w="2146"/>
        <w:gridCol w:w="2638"/>
      </w:tblGrid>
      <w:tr>
        <w:trPr>
          <w:tblHeader w:val="true"/>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do projecto.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através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através de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projecto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através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dentro da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operação através de 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Flexy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Paraglider/Flexible Flyer;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 Phoenix V1.0;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Cyborg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de modelos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i/>
                <w:iCs/>
                <w:kern w:val="0"/>
                <w:szCs w:val="24"/>
                <w:lang w:val="pt-PT" w:eastAsia="en-US" w:bidi="ar-SA"/>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i/>
                <w:iCs/>
                <w:kern w:val="0"/>
                <w:szCs w:val="24"/>
                <w:lang w:val="pt-PT" w:eastAsia="en-US" w:bidi="ar-SA"/>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exactamente iguais ao nível dos dados binários, isto é, com a mesma sequência de zeros e uns que constitui o seu conteúdo digital,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inspeccionada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é documentado de forma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dentro dos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são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serve para documentar os projectos tal como foram preparados, não para os comparar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 xml:space="preserve">.</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basedOn w:val="DefaultParagraphFont"/>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basedOn w:val="DefaultParagraphFont"/>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numbering" Target="numbering.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Relationship Id="rId77" Type="http://schemas.openxmlformats.org/officeDocument/2006/relationships/glossaryDocument" Target="glossary/document.xml"/><Relationship Id="rId78"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LibreOffice/26.2.4.2$Linux_X86_64 LibreOffice_project/3346a99e6b841765b75a9b29714a5b95c6761ce3</Application>
  <AppVersion>15.0000</AppVersion>
  <Pages>191</Pages>
  <Words>63696</Words>
  <Characters>383250</Characters>
  <CharactersWithSpaces>443870</CharactersWithSpaces>
  <Paragraphs>3378</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2026-07-15T21:23:24Z</dcterms:modified>
  <cp:revision>6</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