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9.xml" ContentType="application/vnd.openxmlformats-officedocument.wordprocessingml.footer+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 mão protésica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por cenários simulados,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rPr/>
      </w:pPr>
      <w:r>
        <w:rPr/>
      </w:r>
    </w:p>
    <w:p>
      <w:pPr>
        <w:pStyle w:val="TextoNormal-IPCA"/>
        <w:r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17"/>
          <w:footerReference w:type="first" r:id="rId18"/>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default" r:id="rId19"/>
          <w:footerReference w:type="first" r:id="rId20"/>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r>
        <w:rPr>
          <w:lang w:val="en-US"/>
        </w:rPr>
        <w:br/>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selectiva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actividades,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respectivas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versões e limites do protótipo examinado</w:t>
        <w:tab/>
        <w:t>62</w:t>
      </w:r>
    </w:p>
    <w:p>
      <w:pPr>
        <w:pStyle w:val="TOC1"/>
        <w:rPr/>
      </w:pPr>
      <w:r>
        <w:rPr/>
        <w:t>Tabela 5.3</w:t>
        <w:tab/>
        <w:t>Modelos integrados na plataforma e respectiva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Projectos de preparação digital para impressão 3D com configuração analisada</w:t>
        <w:tab/>
        <w:t>91</w:t>
      </w:r>
    </w:p>
    <w:p>
      <w:pPr>
        <w:pStyle w:val="TOC1"/>
        <w:rPr/>
      </w:pPr>
      <w:r>
        <w:rPr/>
        <w:t>Tabela 8.3 — Inspecção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Factor de escala da maior dimensão da palma exportada relativamente à configuração de referência</w:t>
        <w:tab/>
        <w:t>99</w:t>
      </w:r>
    </w:p>
    <w:p>
      <w:pPr>
        <w:pStyle w:val="TOC1"/>
        <w:rPr/>
      </w:pPr>
      <w:r>
        <w:rPr/>
        <w:t>Tabela 8.8 — Discussão dos resultados face às lacunas seleccionadas do estado da arte</w:t>
        <w:tab/>
        <w:t>101</w:t>
      </w:r>
    </w:p>
    <w:p>
      <w:pPr>
        <w:pStyle w:val="TOC1"/>
        <w:rPr/>
      </w:pPr>
      <w:r>
        <w:rPr/>
        <w:t>Tabela 9.1 — Estado da resposta às perguntas de investigação aprovadas</w:t>
        <w:tab/>
        <w:t>103</w:t>
      </w:r>
      <w:r>
        <w:br w:type="page"/>
      </w:r>
    </w:p>
    <w:p>
      <w:pPr>
        <w:pStyle w:val="TtulosPrembulo-IPCA"/>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Arquitectura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selecção,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actividade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Objectivos da investigação</w:t>
        <w:tab/>
        <w:t>2</w:t>
      </w:r>
    </w:p>
    <w:p>
      <w:pPr>
        <w:pStyle w:val="TOC3"/>
        <w:tabs>
          <w:tab w:val="clear" w:pos="708"/>
          <w:tab w:val="right" w:pos="8204" w:leader="dot"/>
        </w:tabs>
        <w:rPr/>
      </w:pPr>
      <w:r>
        <w:rPr/>
        <w:t>1.3.1 Objectivo geral</w:t>
        <w:tab/>
        <w:t>2</w:t>
      </w:r>
    </w:p>
    <w:p>
      <w:pPr>
        <w:pStyle w:val="TOC3"/>
        <w:tabs>
          <w:tab w:val="clear" w:pos="708"/>
          <w:tab w:val="right" w:pos="8204" w:leader="dot"/>
        </w:tabs>
        <w:rPr/>
      </w:pPr>
      <w:r>
        <w:rPr/>
        <w:t>1.3.2 Objectivos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Optimização,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projecto</w:t>
        <w:tab/>
        <w:t>18</w:t>
      </w:r>
    </w:p>
    <w:p>
      <w:pPr>
        <w:pStyle w:val="TOC2"/>
        <w:rPr/>
      </w:pPr>
      <w:r>
        <w:rPr/>
        <w:t>Métodos de recolha antropométrica em próteses e tecnologias de apoio</w:t>
        <w:tab/>
        <w:t>19</w:t>
      </w:r>
    </w:p>
    <w:p>
      <w:pPr>
        <w:pStyle w:val="TOC2"/>
        <w:rPr/>
      </w:pPr>
      <w:r>
        <w:rPr/>
        <w:t>Interpretação e aplicação de dados antropométricos no projecto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adopção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interacção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investigativa</w:t>
        <w:tab/>
        <w:t>37</w:t>
      </w:r>
    </w:p>
    <w:p>
      <w:pPr>
        <w:pStyle w:val="TOC2"/>
        <w:rPr/>
      </w:pPr>
      <w:r>
        <w:rPr/>
        <w:t>3.3 Estrutura metodológica do projecto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extracção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projecto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Arquitectura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Interacção</w:t>
        <w:tab/>
        <w:t>85</w:t>
      </w:r>
    </w:p>
    <w:p>
      <w:pPr>
        <w:pStyle w:val="TOC2"/>
        <w:rPr/>
      </w:pPr>
      <w:r>
        <w:rPr/>
        <w:t>7.1 Estratégia de interacção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objectivos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extracção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1"/>
          <w:footerReference w:type="default" r:id="rId22"/>
          <w:footerReference w:type="first" r:id="rId23"/>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4"/>
          <w:footerReference w:type="default" r:id="rId25"/>
          <w:footerReference w:type="first" r:id="rId26"/>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7"/>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projecto e experiência humana. A presente investigação examina essa mediação através de um protótipo técnico desenvolvido e discutido segundo uma abordagem de </w:t>
      </w:r>
      <w:r>
        <w:rPr>
          <w:i/>
          <w:iCs/>
        </w:rPr>
        <w:t>Research Through Design</w:t>
      </w:r>
      <w:r>
        <w:rPr/>
        <w:t>.</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Objectivos da investigação</w:t>
      </w:r>
    </w:p>
    <w:p>
      <w:pPr>
        <w:pStyle w:val="Heading3"/>
        <w:numPr>
          <w:ilvl w:val="0"/>
          <w:numId w:val="0"/>
        </w:numPr>
        <w:ind w:hanging="0" w:start="0"/>
        <w:rPr/>
      </w:pPr>
      <w:r>
        <w:rPr/>
        <w:t>1.3.1 Objectivo geral</w:t>
      </w:r>
    </w:p>
    <w:p>
      <w:pPr>
        <w:pStyle w:val="TextoNormal-IPCA"/>
        <w:rPr/>
      </w:pPr>
      <w:r>
        <w:rPr/>
        <w:t xml:space="preserve">O objectivo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Objectivos específicos</w:t>
      </w:r>
    </w:p>
    <w:p>
      <w:pPr>
        <w:pStyle w:val="TextoNormal-IPCA"/>
        <w:rPr/>
      </w:pPr>
      <w:r>
        <w:rPr/>
        <w:t>Para concretizar este objectivo,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projectual?</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o </w:t>
      </w:r>
      <w:r>
        <w:rPr>
          <w:i/>
          <w:iCs/>
        </w:rPr>
        <w:t>design</w:t>
      </w:r>
      <w:r>
        <w:rPr/>
        <w:t xml:space="preserve"> industrial concilia requisitos anatómicos, funcionais, ergonómicos, estéticos e simbólicos, promovendo a aceitação, a dignidade e a autonomia?</w:t>
      </w:r>
    </w:p>
    <w:p>
      <w:pPr>
        <w:pStyle w:val="TextoNormal-IPCA"/>
        <w:rPr/>
      </w:pPr>
      <w:r>
        <w:rP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 xml:space="preserve">O projecto adopta uma metodologia aplicada, baseada em </w:t>
      </w:r>
      <w:r>
        <w:rPr>
          <w:i/>
          <w:iCs/>
        </w:rPr>
        <w:t>Research Through Design</w:t>
      </w:r>
      <w:r>
        <w:rPr/>
        <w:t xml:space="preserve">, que reconhece o acto de projectar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r>
        <w:br w:type="page"/>
      </w:r>
    </w:p>
    <w:p>
      <w:pPr>
        <w:pStyle w:val="Heading1"/>
        <w:numPr>
          <w:ilvl w:val="0"/>
          <w:numId w:val="0"/>
        </w:numPr>
        <w:ind w:hanging="0" w:start="0"/>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accionadas pelo corpo (</w:t>
      </w:r>
      <w:r>
        <w:rPr>
          <w:i/>
          <w:iCs/>
        </w:rPr>
        <w:t>body-powered</w:t>
      </w:r>
      <w:r>
        <w:rPr/>
        <w:t>)</w:t>
      </w:r>
    </w:p>
    <w:p>
      <w:pPr>
        <w:pStyle w:val="TextoNormal-IPCA"/>
        <w:rPr/>
      </w:pPr>
      <w:r>
        <w:rP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 xml:space="preserve">Um atributo particularmente relevante é o </w:t>
      </w:r>
      <w:r>
        <w:rPr>
          <w:i/>
          <w:iCs/>
        </w:rPr>
        <w:t>feedback</w:t>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28"/>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rPr/>
      </w:pPr>
      <w:r>
        <w:rP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9"/>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optimizadas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rPr/>
      </w:pPr>
      <w:r>
        <w:rPr/>
        <w:t>Esta perspectiva aproxima-se dos modelos sociais e relacionais da deficiência, enfatizando que a exclusão pode ser produzida por decisões de projecto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concepção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através de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perspectiva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rPr/>
      </w:pPr>
      <w:r>
        <w:rP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0"/>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dentro de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1"/>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através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2"/>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através de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3"/>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t xml:space="preserve">Nos modelos de linguagem, o texto é processado em unidades designadas por </w:t>
      </w:r>
      <w:r>
        <w:rPr>
          <w:i/>
          <w:iCs/>
        </w:rPr>
        <w:t>tokens</w:t>
      </w:r>
      <w:r>
        <w:t xml:space="preserve">. Um </w:t>
      </w:r>
      <w:r>
        <w:rPr>
          <w:i/>
          <w:iCs/>
        </w:rPr>
        <w:t>token</w:t>
      </w:r>
      <w:r>
        <w:t xml:space="preserve"> pode corresponder a uma palavra completa, a parte de uma palavra, a um número ou a um sinal de pontuação. O limite de </w:t>
      </w:r>
      <w:r>
        <w:rPr>
          <w:i/>
          <w:iCs/>
        </w:rPr>
        <w:t>tokens</w:t>
      </w:r>
      <w: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projectual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de forma controlada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desenhável.</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4"/>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5"/>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Distinguir mecanismos projectuais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kern w:val="0"/>
                <w:sz w:val="16"/>
                <w:szCs w:val="16"/>
                <w:lang w:val="pt-PT" w:eastAsia="en-US" w:bidi="ar-SA"/>
                <w:i/>
                <w:iCs/>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kern w:val="0"/>
                <w:sz w:val="16"/>
                <w:szCs w:val="16"/>
                <w:lang w:val="pt-PT" w:eastAsia="en-US" w:bidi="ar-SA"/>
                <w:i/>
                <w:iCs/>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versão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i/>
                <w:iCs/>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ind w:hanging="0" w:start="0"/>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em placa nas versões 14.15.0 e seguintes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 versão 14.16.0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 versão 14.17.0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Perfil infantil e exportação, versão 14.18.0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 versões 14.19.0–14.20.0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versão 14.22.0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6"/>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investigativa</w:t>
      </w:r>
    </w:p>
    <w:p>
      <w:pPr>
        <w:pStyle w:val="TextoNormal-IPCA"/>
        <w:rPr/>
      </w:pPr>
      <w:r>
        <w:rPr/>
        <w:t xml:space="preserve">Com base no enquadramento do Capítulo 2, o </w:t>
      </w:r>
      <w:r>
        <w:rPr>
          <w:i/>
          <w:iCs/>
        </w:rPr>
        <w:t>design</w:t>
      </w:r>
      <w:r>
        <w:rPr/>
        <w:t xml:space="preserve"> industrial é operacionalizado como prática investigativa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projectual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dez testes unitários aprovados na versão 14.67.0,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projectual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kern w:val="0"/>
                <w:sz w:val="16"/>
                <w:szCs w:val="16"/>
                <w:lang w:val="pt-PT" w:eastAsia="en-US" w:bidi="ar-SA"/>
                <w:i/>
                <w:iCs/>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Versão,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7"/>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ind w:hanging="0" w:start="0"/>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38"/>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9"/>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7"/>
        <w:gridCol w:w="1758"/>
        <w:gridCol w:w="1757"/>
        <w:gridCol w:w="1758"/>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1"/>
        <w:gridCol w:w="3670"/>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versionado,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técnico-projectual.</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0"/>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t>
      </w:r>
      <w:r>
        <w:rPr>
          <w:i/>
          <w:iCs/>
        </w:rPr>
        <w:t>web</w:t>
      </w:r>
      <w:r>
        <w:rPr/>
        <w:t>,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9"/>
        <w:gridCol w:w="2028"/>
        <w:gridCol w:w="2704"/>
        <w:gridCol w:w="2656"/>
      </w:tblGrid>
      <w:tr>
        <w:trPr>
          <w:tblHeader w:val="true"/>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3"/>
        <w:gridCol w:w="3525"/>
        <w:gridCol w:w="3959"/>
      </w:tblGrid>
      <w:tr>
        <w:trPr>
          <w:tblHeader w:val="true"/>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 e versão</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 14.10–14.11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 14.16–14.17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14.19</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 14.32–14.37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 14.40–14.44</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 14.48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14.72</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ind w:hanging="0" w:start="0"/>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1"/>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2"/>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kern w:val="0"/>
                <w:szCs w:val="24"/>
                <w:lang w:val="pt-PT" w:eastAsia="en-US" w:bidi="ar-SA"/>
                <w:i/>
                <w:iCs/>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versionado dos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kern w:val="0"/>
                <w:szCs w:val="24"/>
                <w:lang w:val="pt-PT" w:eastAsia="en-US" w:bidi="ar-SA"/>
                <w:i/>
                <w:iCs/>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3"/>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4"/>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Caption"/>
        <w:keepNext w:val="true"/>
        <w:rPr/>
      </w:pPr>
      <w:r>
        <w:rPr/>
        <w:t>Tabela 5.2 — Componentes, versões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4"/>
        <w:gridCol w:w="2539"/>
        <w:gridCol w:w="2147"/>
        <w:gridCol w:w="2637"/>
      </w:tblGrid>
      <w:tr>
        <w:trPr>
          <w:tblHeader w:val="true"/>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kern w:val="0"/>
                <w:szCs w:val="24"/>
                <w:lang w:val="pt-PT" w:eastAsia="en-US" w:bidi="ar-SA"/>
                <w:i/>
                <w:iCs/>
              </w:rPr>
              <w:t>design</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Versão actual 14.72.0; ensaios principais em 14.67.0 e complementares em 14.69.0</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 evolução entre versões impede atribuir retroactivamente funções novas aos ensaios anteriores</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kern w:val="0"/>
                <w:szCs w:val="24"/>
                <w:lang w:val="pt-PT" w:eastAsia="en-US" w:bidi="ar-SA"/>
                <w:i/>
                <w:iCs/>
              </w:rPr>
              <w:t>web</w:t>
            </w:r>
            <w:r>
              <w:rPr>
                <w:rFonts w:eastAsia="Calibri"/>
                <w:kern w:val="0"/>
                <w:szCs w:val="24"/>
                <w:lang w:val="pt-PT" w:eastAsia="en-US" w:bidi="ar-SA"/>
              </w:rPr>
              <w:t xml:space="preserve"> com visualizador tridimensional; demonstração pública em handfab.pedrocandeias.net</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kern w:val="0"/>
                <w:szCs w:val="24"/>
                <w:lang w:val="pt-PT" w:eastAsia="en-US" w:bidi="ar-SA"/>
                <w:i/>
                <w:iCs/>
              </w:rPr>
              <w:t>WebAssembly</w:t>
            </w:r>
            <w:r>
              <w:rPr>
                <w:rFonts w:eastAsia="Calibri"/>
                <w:kern w:val="0"/>
                <w:szCs w:val="24"/>
                <w:lang w:val="pt-PT" w:eastAsia="en-US" w:bidi="ar-SA"/>
              </w:rPr>
              <w:t xml:space="preserve"> num </w:t>
            </w:r>
            <w:r>
              <w:rPr>
                <w:rFonts w:eastAsia="Calibri"/>
                <w:kern w:val="0"/>
                <w:szCs w:val="24"/>
                <w:lang w:val="pt-PT" w:eastAsia="en-US" w:bidi="ar-SA"/>
                <w:i/>
                <w:iCs/>
              </w:rPr>
              <w:t>Web Worker</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5"/>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através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através de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através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dentro da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operação através de 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6"/>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7"/>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48"/>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9"/>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9"/>
        <w:gridCol w:w="1767"/>
        <w:gridCol w:w="1767"/>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Modelo, versão e estado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Flexy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Paraglider/Flexible Flyer;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 Phoenix V1.0;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Cyborg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versionado dos modelos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ind w:hanging="0" w:start="0"/>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 xml:space="preserve">Resposta limitada a 1024 </w:t>
            </w:r>
            <w:r>
              <w:rPr>
                <w:i/>
                <w:iCs/>
              </w:rPr>
              <w:t>tokens</w:t>
            </w:r>
            <w: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Versões examinadas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A avaliação inicial incidiu sobre a versão 14.67.0. A série complementar de controlo da interface e dos dados submetidos foi executada na versão 14.69.0.</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t xml:space="preserve">A avaliação utilizou o fornecedor Anthropic e o modelo claude-sonnet-4-6. A resposta estava limitada a 1024 </w:t>
      </w:r>
      <w:r>
        <w:rPr>
          <w:i/>
          <w:iCs/>
        </w:rPr>
        <w:t>tokens</w:t>
      </w:r>
      <w: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versão avaliada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kern w:val="0"/>
                <w:szCs w:val="24"/>
                <w:lang w:val="pt-PT" w:eastAsia="en-US" w:bidi="ar-SA"/>
                <w:i/>
                <w:iCs/>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versão de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2"/>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ind w:hanging="0" w:start="0"/>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3"/>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rPr/>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ind w:hanging="0" w:start="0"/>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A versão 14.67.0 foi inspeccionada no fecho do estudo. A Tabela 8.1 distingue resultados executados nesta verificação, dados observados na base local e registos de ensaios de versões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de catálogo versionado dos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kern w:val="0"/>
                <w:szCs w:val="24"/>
                <w:lang w:val="pt-PT" w:eastAsia="en-US" w:bidi="ar-SA"/>
                <w:i/>
                <w:iCs/>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kern w:val="0"/>
                <w:szCs w:val="24"/>
                <w:lang w:val="pt-PT" w:eastAsia="en-US" w:bidi="ar-SA"/>
                <w:i/>
                <w:iCs/>
              </w:rPr>
              <w:t>WebAssembly</w:t>
            </w:r>
            <w:r>
              <w:rPr>
                <w:rFonts w:eastAsia="Calibri"/>
                <w:kern w:val="0"/>
                <w:szCs w:val="24"/>
                <w:lang w:val="pt-PT" w:eastAsia="en-US" w:bidi="ar-SA"/>
              </w:rPr>
              <w:t>, conversão para GLB e exportação STL/3MF documentadas nas versões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bateria Playwright da versão 14.67.0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4"/>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5"/>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6"/>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7"/>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t>A leitura dos registos mostra respostas distintas consoante o detalhe da descrição submetida.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rPr/>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projectual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kern w:val="0"/>
                <w:sz w:val="16"/>
                <w:szCs w:val="16"/>
                <w:lang w:val="pt-PT" w:eastAsia="en-US" w:bidi="ar-SA"/>
                <w:i/>
                <w:iCs/>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kern w:val="0"/>
                <w:sz w:val="16"/>
                <w:szCs w:val="16"/>
                <w:lang w:val="pt-PT" w:eastAsia="en-US" w:bidi="ar-SA"/>
                <w:i/>
                <w:iCs/>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kern w:val="0"/>
                <w:sz w:val="16"/>
                <w:szCs w:val="16"/>
                <w:lang w:val="pt-PT" w:eastAsia="en-US" w:bidi="ar-SA"/>
                <w:i/>
                <w:iCs/>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kern w:val="0"/>
                <w:sz w:val="16"/>
                <w:szCs w:val="16"/>
                <w:lang w:val="pt-PT" w:eastAsia="en-US" w:bidi="ar-SA"/>
                <w:i/>
                <w:iCs/>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rPr/>
      </w:pPr>
      <w:r>
        <w:t xml:space="preserve">Quanto à segunda pergunta aprovada, a combinação de ciclos de </w:t>
      </w:r>
      <w:r>
        <w:rPr>
          <w:i/>
          <w:iCs/>
        </w:rPr>
        <w:t>Research Through Design</w:t>
      </w:r>
      <w: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t xml:space="preserve">O contributo metodológico é a documentação dos ciclos de </w:t>
      </w:r>
      <w:r>
        <w:rPr>
          <w:i/>
          <w:iCs/>
        </w:rPr>
        <w:t>Research Through Design</w:t>
      </w:r>
      <w: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ind w:hanging="0" w:start="0"/>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multipopulacional da mão,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ind w:hanging="0" w:start="0"/>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multipopulacional da mão — 1.790 linhas de dados,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kern w:val="0"/>
                <w:szCs w:val="24"/>
                <w:lang w:val="pt-PT" w:eastAsia="en-US" w:bidi="ar-SA"/>
                <w:i/>
                <w:iCs/>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kern w:val="0"/>
                <w:szCs w:val="24"/>
                <w:lang w:val="pt-PT" w:eastAsia="en-US" w:bidi="ar-SA"/>
                <w:i/>
                <w:iCs/>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kern w:val="0"/>
                <w:szCs w:val="24"/>
                <w:lang w:val="pt-PT" w:eastAsia="en-US" w:bidi="ar-SA"/>
                <w:i/>
                <w:iCs/>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multipopulacional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Base multipopulacional da mão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base multipopulacional da mão foi construída para reunir diferenças antropométricas da mão em várias dimensões geográficas, demográficas, etárias e estatísticas.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ind w:hanging="0" w:start="0"/>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rPr/>
      </w:pPr>
      <w:r>
        <w:rPr>
          <w:b/>
        </w:rPr>
        <w:t>Data das séries de ensaios: 13 e 14 de Julho de 2026</w:t>
      </w:r>
    </w:p>
    <w:p>
      <w:pPr>
        <w:pStyle w:val="TextoNormal-IPCA"/>
        <w:rPr/>
      </w:pPr>
      <w:r>
        <w:rPr>
          <w:b/>
        </w:rPr>
        <w:t>Versão avaliada:</w:t>
      </w:r>
      <w:r>
        <w:rPr/>
        <w:t xml:space="preserve"> HandFab 14.69.0</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kern w:val="0"/>
                <w:sz w:val="16"/>
                <w:szCs w:val="16"/>
                <w:lang w:val="pt-PT" w:eastAsia="en-US" w:bidi="ar-SA"/>
                <w:i/>
                <w:iCs/>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kern w:val="0"/>
                <w:sz w:val="16"/>
                <w:szCs w:val="16"/>
                <w:lang w:val="pt-PT" w:eastAsia="en-US" w:bidi="ar-SA"/>
                <w:i/>
                <w:iCs/>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projectual.</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à versão 14.69.0 da plataforma.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ind w:hanging="0" w:start="0"/>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na versão 14.72.0</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da versão 14.67.0</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ind w:hanging="0" w:start="0"/>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58"/>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na versão 14.72.0</w:t>
      </w:r>
    </w:p>
    <w:p>
      <w:pPr>
        <w:pStyle w:val="TextoNormal-IPCA"/>
        <w:rPr/>
      </w:pPr>
      <w:r>
        <w:rP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14.72.0;</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da versão 14.67.0</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p>
    <w:p>
      <w:pPr>
        <w:pStyle w:val="TextoNormal-IPCA"/>
        <w:rPr/>
      </w:pPr>
      <w:r>
        <w:rPr/>
        <w:t xml:space="preserve">Depois dessa versão,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14.72.0.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versão.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versionado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versionado dos modelos;</w:t>
      </w:r>
    </w:p>
    <w:p>
      <w:pPr>
        <w:pStyle w:val="TextoNormal-IPCA"/>
        <w:rPr/>
      </w:pPr>
      <w:r>
        <w:rPr/>
        <w:t>- leitura das fórmulas e constantes nos ficheiros OpenSCAD activos;</w:t>
      </w:r>
    </w:p>
    <w:p>
      <w:pPr>
        <w:pStyle w:val="TextoNormal-IPCA"/>
        <w:rPr/>
      </w:pPr>
      <w:r>
        <w:rPr/>
        <w:t>- confronto entre a versão 14.67.0 do suplemento e a versão 14.72.0;</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ind w:hanging="0" w:start="0"/>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w:t>
      </w:r>
      <w:r>
        <w:rPr/>
        <w:t xml:space="preserve"> representa uma impressão física nem uma recomendação de imprimibilidade.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9"/>
        <w:gridCol w:w="1801"/>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5"/>
      <w:headerReference w:type="default" r:id="rId66"/>
      <w:headerReference w:type="first" r:id="rId67"/>
      <w:footerReference w:type="even" r:id="rId68"/>
      <w:footerReference w:type="default" r:id="rId69"/>
      <w:footerReference w:type="first" r:id="rId70"/>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image" Target="media/image3.jpeg"/><Relationship Id="rId28" Type="http://schemas.openxmlformats.org/officeDocument/2006/relationships/image" Target="media/image4.png"/><Relationship Id="rId29" Type="http://schemas.openxmlformats.org/officeDocument/2006/relationships/image" Target="media/image5.jpe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jpe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header" Target="header4.xml"/><Relationship Id="rId66" Type="http://schemas.openxmlformats.org/officeDocument/2006/relationships/header" Target="header5.xml"/><Relationship Id="rId67" Type="http://schemas.openxmlformats.org/officeDocument/2006/relationships/header" Target="header6.xml"/><Relationship Id="rId68" Type="http://schemas.openxmlformats.org/officeDocument/2006/relationships/footer" Target="footer26.xml"/><Relationship Id="rId69" Type="http://schemas.openxmlformats.org/officeDocument/2006/relationships/footer" Target="footer27.xml"/><Relationship Id="rId70" Type="http://schemas.openxmlformats.org/officeDocument/2006/relationships/footer" Target="footer28.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glossaryDocument" Target="glossary/document.xml"/><Relationship Id="rId7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LibreOffice_project/3346a99e6b841765b75a9b29714a5b95c6761ce3</Application>
  <AppVersion>15.0000</AppVersion>
  <Pages>190</Pages>
  <Words>63114</Words>
  <Characters>380066</Characters>
  <CharactersWithSpaces>440112</CharactersWithSpaces>
  <Paragraphs>3367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2026-07-15T10:27:06Z</dcterms:modified>
  <cp:revision>5</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