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9.xml" ContentType="application/vnd.openxmlformats-officedocument.wordprocessingml.footer+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7.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footer11.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storeMappedDataAs w:val="dateTime"/>
            <w:calendar w:val="gregorian"/>
          </w:date>
        </w:sdtPr>
        <w:sdtContent>
          <w:r>
            <w:rPr>
              <w:rStyle w:val="Nomes-e-Data-na-Capa-e-Folha-de-Rosto-IPCACarter"/>
            </w:rPr>
          </w:r>
          <w:r>
            <w:rPr>
              <w:rStyle w:val="Nomes-e-Data-na-Capa-e-Folha-de-Rosto-IPCACarter"/>
            </w:rPr>
            <w:t>julho, 2026</w:t>
          </w:r>
          <w:r/>
        </w:sdtContent>
      </w:sdt>
      <w:r>
        <w:rPr>
          <w:rStyle w:val="Nomes-e-Data-na-Capa-e-Folha-de-Rosto-IPCACarte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Style w:val="TtulodeCapaefolhaderosto-IPCACarter"/>
        </w:rPr>
        <w:t>(folha em branco)</w:t>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storeMappedDataAs w:val="dateTime"/>
            <w:calendar w:val="gregorian"/>
          </w:date>
        </w:sdtPr>
        <w:sdtContent>
          <w:r>
            <w:rPr>
              <w:rStyle w:val="Nomes-e-Data-na-Capa-e-Folha-de-Rosto-IPCACarter"/>
            </w:rPr>
          </w:r>
          <w:r>
            <w:rPr>
              <w:rStyle w:val="Nomes-e-Data-na-Capa-e-Folha-de-Rosto-IPCACarter"/>
            </w:rPr>
            <w:t>julho, 2026</w:t>
          </w:r>
          <w:r/>
        </w:sdtContent>
      </w:sdt>
      <w:r>
        <w:rPr>
          <w:rStyle w:val="Nomes-e-Data-na-Capa-e-Folha-de-Rosto-IPCACarter"/>
        </w:rPr>
      </w:r>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w:t>
      </w:r>
      <w:r>
        <w:rPr/>
        <w:t xml:space="preserve"> (indicar, caso tal seja necessário, nº máximo de páginas</w:t>
      </w:r>
      <w:r>
        <w:rPr/>
        <w:t>,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ind w:hanging="0"/>
        <w:rPr/>
      </w:pPr>
      <w:r>
        <w:rPr/>
        <w:t>Assinatura: ________________________________________________</w:t>
      </w:r>
    </w:p>
    <w:p>
      <w:pPr>
        <w:pStyle w:val="TextoNormal-IPCA"/>
        <w:spacing w:before="0" w:after="0"/>
        <w:ind w:hanging="708" w:start="708"/>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 mão protésica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por cenários simulados,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através do projecto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rPr/>
      </w:pPr>
      <w:r>
        <w:rPr/>
      </w:r>
    </w:p>
    <w:p>
      <w:pPr>
        <w:pStyle w:val="TextoNormal-IPCA"/>
        <w:r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r>
    </w:p>
    <w:p>
      <w:pPr>
        <w:pStyle w:val="TextoNormal-IPCA"/>
        <w:ind w:hanging="0"/>
        <w:rPr>
          <w:rFonts w:ascii="Arial" w:hAnsi="Arial" w:cs="Arial"/>
          <w:b/>
          <w:sz w:val="24"/>
        </w:rPr>
        <w:sectPr>
          <w:footerReference w:type="default" r:id="rId17"/>
          <w:footerReference w:type="first" r:id="rId18"/>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default" r:id="rId19"/>
          <w:footerReference w:type="first" r:id="rId20"/>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r>
        <w:rPr>
          <w:lang w:val="en-US"/>
        </w:rPr>
        <w:br/>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w:t>
      </w:r>
      <w:r>
        <w:rPr>
          <w:i/>
          <w:iCs/>
        </w:rPr>
        <w:t>Metacarpophalangeal</w:t>
      </w:r>
      <w:r>
        <w:rPr/>
        <w:t>; articulação metacarpofalângica.</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selectiva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actividades, evidência e limites</w:t>
        <w:tab/>
        <w:t>38</w:t>
      </w:r>
    </w:p>
    <w:p>
      <w:pPr>
        <w:pStyle w:val="TOC1"/>
        <w:rPr/>
      </w:pPr>
      <w:r>
        <w:rPr/>
        <w:t>Tabela 3.3 — Métodos, unidades de análise, critérios e localização dos resultados</w:t>
        <w:tab/>
        <w:t>39</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respectivas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58</w:t>
      </w:r>
    </w:p>
    <w:p>
      <w:pPr>
        <w:pStyle w:val="TOC1"/>
        <w:rPr/>
      </w:pPr>
      <w:r>
        <w:rPr/>
        <w:t>Tabela 4.11 — Cronologia das principais iterações paramétricas</w:t>
        <w:tab/>
        <w:t>59</w:t>
      </w:r>
    </w:p>
    <w:p>
      <w:pPr>
        <w:pStyle w:val="TOC1"/>
        <w:rPr/>
      </w:pPr>
      <w:r>
        <w:rPr/>
        <w:t>Tabela 5.1 — Fluxo de dados e responsabilidades da plataforma</w:t>
        <w:tab/>
        <w:t>63</w:t>
      </w:r>
    </w:p>
    <w:p>
      <w:pPr>
        <w:pStyle w:val="TOC1"/>
        <w:rPr/>
      </w:pPr>
      <w:r>
        <w:rPr/>
        <w:t>Tabela 5.2</w:t>
        <w:tab/>
        <w:t>Componentes, estados e limites do protótipo examinado</w:t>
        <w:tab/>
        <w:t>62</w:t>
      </w:r>
    </w:p>
    <w:p>
      <w:pPr>
        <w:pStyle w:val="TOC1"/>
        <w:rPr/>
      </w:pPr>
      <w:r>
        <w:rPr/>
        <w:t>Tabela 5.3</w:t>
        <w:tab/>
        <w:t>Modelos integrados na plataforma e respectiva avaliação</w:t>
        <w:tab/>
        <w:t>68</w:t>
      </w:r>
    </w:p>
    <w:p>
      <w:pPr>
        <w:pStyle w:val="TOC1"/>
        <w:rPr/>
      </w:pPr>
      <w:r>
        <w:rPr/>
        <w:t>Tabela 6.1 — Especificação técnica dos modelos de IA e do contrato de sugestão paramétrica</w:t>
        <w:tab/>
        <w:t>80</w:t>
      </w:r>
    </w:p>
    <w:p>
      <w:pPr>
        <w:pStyle w:val="TOC1"/>
        <w:rPr/>
      </w:pPr>
      <w:r>
        <w:rPr/>
        <w:t>Tabela 6.2 — Distribuição de tarefas entre regras, IA e supervisão humana</w:t>
        <w:tab/>
        <w:t>83</w:t>
      </w:r>
    </w:p>
    <w:p>
      <w:pPr>
        <w:pStyle w:val="TOC1"/>
        <w:rPr/>
      </w:pPr>
      <w:r>
        <w:rPr/>
        <w:t>Tabela 8.1 — Evidência técnica do funcionamento da plataforma</w:t>
        <w:tab/>
        <w:t>89</w:t>
      </w:r>
    </w:p>
    <w:p>
      <w:pPr>
        <w:pStyle w:val="TOC1"/>
        <w:rPr/>
      </w:pPr>
      <w:r>
        <w:rPr/>
        <w:t>Tabela 8.2 — Projectos de preparação digital para impressão 3D com configuração analisada</w:t>
        <w:tab/>
        <w:t>91</w:t>
      </w:r>
    </w:p>
    <w:p>
      <w:pPr>
        <w:pStyle w:val="TOC1"/>
        <w:rPr/>
      </w:pPr>
      <w:r>
        <w:rPr/>
        <w:t>Tabela 8.3 — Inspecção computacional de malhas na configuração infantil</w:t>
        <w:tab/>
        <w:t>93</w:t>
      </w:r>
    </w:p>
    <w:p>
      <w:pPr>
        <w:pStyle w:val="TOC1"/>
        <w:rPr/>
      </w:pPr>
      <w:r>
        <w:rPr/>
        <w:t>Tabela 8.4 — Descrições submetidas nos cenários de avaliação da IA</w:t>
        <w:tab/>
        <w:t>96</w:t>
      </w:r>
    </w:p>
    <w:p>
      <w:pPr>
        <w:pStyle w:val="TOC1"/>
        <w:rPr/>
      </w:pPr>
      <w:r>
        <w:rPr/>
        <w:t>Tabela 8.5 — Síntese da avaliação das sugestões de IA</w:t>
        <w:tab/>
        <w:t>98</w:t>
      </w:r>
    </w:p>
    <w:p>
      <w:pPr>
        <w:pStyle w:val="TOC1"/>
        <w:rPr/>
      </w:pPr>
      <w:r>
        <w:rPr/>
        <w:t>Tabela 8.6 — Modelos e mecanismos de escala avaliados</w:t>
        <w:tab/>
        <w:t>99</w:t>
      </w:r>
    </w:p>
    <w:p>
      <w:pPr>
        <w:pStyle w:val="TOC1"/>
        <w:rPr/>
      </w:pPr>
      <w:r>
        <w:rPr/>
        <w:t>Tabela 8.7 — Factor de escala da maior dimensão da palma exportada relativamente à configuração de referência</w:t>
        <w:tab/>
        <w:t>99</w:t>
      </w:r>
    </w:p>
    <w:p>
      <w:pPr>
        <w:pStyle w:val="TOC1"/>
        <w:rPr/>
      </w:pPr>
      <w:r>
        <w:rPr/>
        <w:t>Tabela 8.8 — Discussão dos resultados face às lacunas seleccionadas do estado da arte</w:t>
        <w:tab/>
        <w:t>101</w:t>
      </w:r>
    </w:p>
    <w:p>
      <w:pPr>
        <w:pStyle w:val="TOC1"/>
        <w:rPr/>
      </w:pPr>
      <w:r>
        <w:rPr/>
        <w:t>Tabela 9.1 — Estado da resposta às perguntas de investigação aprovadas</w:t>
        <w:tab/>
        <w:t>103</w:t>
      </w:r>
      <w:r>
        <w:br w:type="page"/>
      </w:r>
    </w:p>
    <w:p>
      <w:pPr>
        <w:pStyle w:val="TtulosPrembulo-IPCA"/>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 Fab</w:t>
        <w:tab/>
        <w:t>62</w:t>
      </w:r>
    </w:p>
    <w:p>
      <w:pPr>
        <w:pStyle w:val="TOC1"/>
        <w:rPr/>
      </w:pPr>
      <w:r>
        <w:rPr/>
        <w:t>Figura 5.2 — Painel de configuração dos perfis de utilizador na plataforma HandFab.</w:t>
        <w:tab/>
        <w:t>63</w:t>
      </w:r>
    </w:p>
    <w:p>
      <w:pPr>
        <w:pStyle w:val="TOC1"/>
        <w:rPr/>
      </w:pPr>
      <w:r>
        <w:rPr/>
        <w:t>Figura 5.3 — Arquitectura da plataforma e fronteiras entre navegador, servidor, serviço externo de IA e preparação do fabrico.</w:t>
        <w:tab/>
        <w:t>65</w:t>
      </w:r>
    </w:p>
    <w:p>
      <w:pPr>
        <w:pStyle w:val="TOC1"/>
        <w:rPr/>
      </w:pPr>
      <w:r>
        <w:rPr/>
        <w:t>Figura 5.4 — Sequência de dados e decisões desde o perfil ou descrição até à sugestão, confirmação, geração determinística e exportação.</w:t>
        <w:tab/>
        <w:t>66</w:t>
      </w:r>
    </w:p>
    <w:p>
      <w:pPr>
        <w:pStyle w:val="TOC1"/>
        <w:rPr/>
      </w:pPr>
      <w:r>
        <w:rPr/>
        <w:t>Figura 5.5 — Fluxo geral de produção personalizada de próteses a partir de digitalização, CAD adaptativo e fabrico aditivo.</w:t>
        <w:tab/>
        <w:t>68</w:t>
      </w:r>
    </w:p>
    <w:p>
      <w:pPr>
        <w:pStyle w:val="TOC1"/>
        <w:rPr/>
      </w:pPr>
      <w:r>
        <w:rPr/>
        <w:t>Figura 5.6 — Visualização do código OpenSCAD e da geometria correspondente na plataforma HandFab.</w:t>
        <w:tab/>
        <w:t>71</w:t>
      </w:r>
    </w:p>
    <w:p>
      <w:pPr>
        <w:pStyle w:val="TOC1"/>
        <w:rPr/>
      </w:pPr>
      <w:r>
        <w:rPr/>
        <w:t>Figura 5.7 — Ferramenta paramétrica para configuração de ajudas técnicas com variação de dimensões, materiais e peso.</w:t>
        <w:tab/>
        <w:t>72</w:t>
      </w:r>
    </w:p>
    <w:p>
      <w:pPr>
        <w:pStyle w:val="TOC1"/>
        <w:rPr/>
      </w:pPr>
      <w:r>
        <w:rPr/>
        <w:t>Figura 5.8 — Interface de selecção, configuração paramétrica e materiais da plataforma HandFab.</w:t>
        <w:tab/>
        <w:t>73</w:t>
      </w:r>
    </w:p>
    <w:p>
      <w:pPr>
        <w:pStyle w:val="TOC1"/>
        <w:rPr/>
      </w:pPr>
      <w:r>
        <w:rPr/>
        <w:t>Figura 6.1 — Relação entre desafios de compreensão das decisões e princípios de IA responsável.</w:t>
        <w:tab/>
        <w:t>84</w:t>
      </w:r>
    </w:p>
    <w:p>
      <w:pPr>
        <w:pStyle w:val="TOC1"/>
        <w:rPr/>
      </w:pPr>
      <w:r>
        <w:rPr/>
        <w:t>Figura 7.1 — Exemplo publicado de teste de uma prótese impressa em 3D com um utilizador; esta actividade não integrou a avaliação da presente dissertação.</w:t>
        <w:tab/>
        <w:t>87</w:t>
      </w:r>
    </w:p>
    <w:p>
      <w:pPr>
        <w:pStyle w:val="TOC1"/>
        <w:rPr/>
      </w:pPr>
      <w:r>
        <w:rPr/>
        <w:t>Figura 8.1 — Componentes impressos e estados preliminares de montagem: segmentos digitais articulados, palma e elementos separados.</w:t>
        <w:tab/>
        <w:t>94</w:t>
      </w:r>
    </w:p>
    <w:p>
      <w:pPr>
        <w:pStyle w:val="TOC1"/>
        <w:rPr/>
      </w:pPr>
      <w:r>
        <w:rPr/>
        <w:t>Figura 8.2 — Séries físicas de segmentos identificados pelos perfis de ensaio de 8, 15, 28 e 70 anos.</w:t>
        <w:tab/>
        <w:t>94</w:t>
      </w:r>
    </w:p>
    <w:p>
      <w:pPr>
        <w:pStyle w:val="TOC1"/>
        <w:rPr/>
      </w:pPr>
      <w:r>
        <w:rPr/>
        <w:t>Figura 8.3 — UnLimbited Phoenix configurada para o perfil de ensaio de 15 anos, apresentada em sete vistas da montagem física.</w:t>
        <w:tab/>
        <w:t>95</w:t>
      </w:r>
    </w:p>
    <w:p>
      <w:pPr>
        <w:pStyle w:val="TOC1"/>
        <w:rPr/>
      </w:pPr>
      <w:r>
        <w:rPr/>
        <w:t>Figura 8.4 — Tarefas funcionais usadas em avaliação de prótese personalizada de membro superior.</w:t>
        <w:tab/>
        <w:t>95</w:t>
      </w:r>
    </w:p>
    <w:p>
      <w:pPr>
        <w:pStyle w:val="TOC1"/>
        <w:rPr/>
      </w:pPr>
      <w:r>
        <w:rPr/>
        <w:t>Figura C.1 — Fluxo entre dados de entrada, mapa comum, regras específicas dos modelos e geometria exportável. Produção própria.</w:t>
        <w:tab/>
        <w:t>143</w:t>
      </w:r>
      <w:r>
        <w:br w:type="page"/>
      </w:r>
    </w:p>
    <w:p>
      <w:pPr>
        <w:pStyle w:val="TtulosPrembulo-IPCA"/>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Objectivos da investigação</w:t>
        <w:tab/>
        <w:t>2</w:t>
      </w:r>
    </w:p>
    <w:p>
      <w:pPr>
        <w:pStyle w:val="TOC3"/>
        <w:tabs>
          <w:tab w:val="clear" w:pos="708"/>
          <w:tab w:val="right" w:pos="8204" w:leader="dot"/>
        </w:tabs>
        <w:rPr/>
      </w:pPr>
      <w:r>
        <w:rPr/>
        <w:t>1.3.1 Objectivo geral</w:t>
        <w:tab/>
        <w:t>2</w:t>
      </w:r>
    </w:p>
    <w:p>
      <w:pPr>
        <w:pStyle w:val="TOC3"/>
        <w:tabs>
          <w:tab w:val="clear" w:pos="708"/>
          <w:tab w:val="right" w:pos="8204" w:leader="dot"/>
        </w:tabs>
        <w:rPr/>
      </w:pPr>
      <w:r>
        <w:rPr/>
        <w:t>1.3.2 Objectivos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Optimização,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projecto</w:t>
        <w:tab/>
        <w:t>18</w:t>
      </w:r>
    </w:p>
    <w:p>
      <w:pPr>
        <w:pStyle w:val="TOC2"/>
        <w:rPr/>
      </w:pPr>
      <w:r>
        <w:rPr/>
        <w:t>Métodos de recolha antropométrica em próteses e tecnologias de apoio</w:t>
        <w:tab/>
        <w:t>19</w:t>
      </w:r>
    </w:p>
    <w:p>
      <w:pPr>
        <w:pStyle w:val="TOC2"/>
        <w:rPr/>
      </w:pPr>
      <w:r>
        <w:rPr/>
        <w:t>Interpretação e aplicação de dados antropométricos no projecto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28</w:t>
      </w:r>
    </w:p>
    <w:p>
      <w:pPr>
        <w:pStyle w:val="TOC2"/>
        <w:rPr/>
      </w:pPr>
      <w:r>
        <w:rPr/>
        <w:t>Fluxos participativos e infra-estruturas remotas</w:t>
        <w:tab/>
        <w:t>28</w:t>
      </w:r>
    </w:p>
    <w:p>
      <w:pPr>
        <w:pStyle w:val="TOC2"/>
        <w:rPr/>
      </w:pPr>
      <w:r>
        <w:rPr/>
        <w:t>Aplicações em saúde, reabilitação e próteses</w:t>
        <w:tab/>
        <w:t>29</w:t>
      </w:r>
    </w:p>
    <w:p>
      <w:pPr>
        <w:pStyle w:val="TOC2"/>
        <w:rPr/>
      </w:pPr>
      <w:r>
        <w:rPr/>
        <w:t>Limitações e lacunas: sustentabilidade, adopção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interacção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investigativa</w:t>
        <w:tab/>
        <w:t>37</w:t>
      </w:r>
    </w:p>
    <w:p>
      <w:pPr>
        <w:pStyle w:val="TOC2"/>
        <w:rPr/>
      </w:pPr>
      <w:r>
        <w:rPr/>
        <w:t>3.3 Estrutura metodológica do projecto</w:t>
        <w:tab/>
        <w:t>38</w:t>
      </w:r>
    </w:p>
    <w:p>
      <w:pPr>
        <w:pStyle w:val="TOC2"/>
        <w:rPr/>
      </w:pPr>
      <w:r>
        <w:rPr/>
        <w:t>3.4 Métodos de recolha e análise de dados</w:t>
        <w:tab/>
        <w:t>40</w:t>
      </w:r>
    </w:p>
    <w:p>
      <w:pPr>
        <w:pStyle w:val="TOC2"/>
        <w:rPr/>
      </w:pPr>
      <w:r>
        <w:rPr/>
        <w:t>3.5 Critérios de avaliação e limitações metodológicas</w:t>
        <w:tab/>
        <w:t>42</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extracção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54</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projecto</w:t>
        <w:tab/>
        <w:t>59</w:t>
      </w:r>
    </w:p>
    <w:p>
      <w:pPr>
        <w:pStyle w:val="TOC1"/>
        <w:rPr/>
      </w:pPr>
      <w:r>
        <w:rPr/>
        <w:t>Capítulo 5 — Plataforma Web e Integração Digital</w:t>
        <w:tab/>
        <w:t>61</w:t>
      </w:r>
    </w:p>
    <w:p>
      <w:pPr>
        <w:pStyle w:val="TOC2"/>
        <w:rPr/>
      </w:pPr>
      <w:r>
        <w:rPr/>
        <w:t>5.1 Enquadramento conceptual e perfis de utilizador</w:t>
        <w:tab/>
        <w:t>61</w:t>
      </w:r>
    </w:p>
    <w:p>
      <w:pPr>
        <w:pStyle w:val="TOC2"/>
        <w:rPr/>
      </w:pPr>
      <w:r>
        <w:rPr/>
        <w:t>5.2 Arquitectura geral do sistema</w:t>
        <w:tab/>
        <w:t>63</w:t>
      </w:r>
    </w:p>
    <w:p>
      <w:pPr>
        <w:pStyle w:val="TOC2"/>
        <w:rPr/>
      </w:pPr>
      <w:r>
        <w:rPr/>
        <w:t>5.3 Integração OpenSCAD via WebAssembly (WASM)</w:t>
        <w:tab/>
        <w:t>69</w:t>
      </w:r>
    </w:p>
    <w:p>
      <w:pPr>
        <w:pStyle w:val="TOC2"/>
        <w:rPr/>
      </w:pPr>
      <w:r>
        <w:rPr/>
        <w:t>5.4 Estrutura funcional da plataforma</w:t>
        <w:tab/>
        <w:t>71</w:t>
      </w:r>
    </w:p>
    <w:p>
      <w:pPr>
        <w:pStyle w:val="TOC2"/>
        <w:rPr/>
      </w:pPr>
      <w:r>
        <w:rPr/>
        <w:t>5.5 Gestão de parâmetros, versões e expansão</w:t>
        <w:tab/>
        <w:t>77</w:t>
      </w:r>
    </w:p>
    <w:p>
      <w:pPr>
        <w:pStyle w:val="TOC1"/>
        <w:rPr/>
      </w:pPr>
      <w:r>
        <w:rPr/>
        <w:t>Capítulo 6 — Integração da Inteligência Artificial</w:t>
        <w:tab/>
        <w:t>79</w:t>
      </w:r>
    </w:p>
    <w:p>
      <w:pPr>
        <w:pStyle w:val="TOC2"/>
        <w:rPr/>
      </w:pPr>
      <w:r>
        <w:rPr/>
        <w:t>6.1 Papel da IA no sistema proposto</w:t>
        <w:tab/>
        <w:t>79</w:t>
      </w:r>
    </w:p>
    <w:p>
      <w:pPr>
        <w:pStyle w:val="TOC2"/>
        <w:rPr/>
      </w:pPr>
      <w:r>
        <w:rPr/>
        <w:t>6.2 IA na parametrização, personalização e apoio à decisão</w:t>
        <w:tab/>
        <w:t>79</w:t>
      </w:r>
    </w:p>
    <w:p>
      <w:pPr>
        <w:pStyle w:val="TOC2"/>
        <w:rPr/>
      </w:pPr>
      <w:r>
        <w:rPr/>
        <w:t>6.3 Avaliação das sugestões paramétricas apoiadas por IA</w:t>
        <w:tab/>
        <w:t>82</w:t>
      </w:r>
    </w:p>
    <w:p>
      <w:pPr>
        <w:pStyle w:val="TOC2"/>
        <w:rPr/>
      </w:pPr>
      <w:r>
        <w:rPr/>
        <w:t>6.4 Ajuste, verificação e limitações éticas e técnicas</w:t>
        <w:tab/>
        <w:t>83</w:t>
      </w:r>
    </w:p>
    <w:p>
      <w:pPr>
        <w:pStyle w:val="TOC1"/>
        <w:rPr/>
      </w:pPr>
      <w:r>
        <w:rPr/>
        <w:t>Capítulo 7 — Princípios de Interface e Decisões de Interacção</w:t>
        <w:tab/>
        <w:t>85</w:t>
      </w:r>
    </w:p>
    <w:p>
      <w:pPr>
        <w:pStyle w:val="TOC2"/>
        <w:rPr/>
      </w:pPr>
      <w:r>
        <w:rPr/>
        <w:t>7.1 Estratégia de interacção e decisões de UI/UX</w:t>
        <w:tab/>
        <w:t>85</w:t>
      </w:r>
    </w:p>
    <w:p>
      <w:pPr>
        <w:pStyle w:val="TOC2"/>
        <w:rPr/>
      </w:pPr>
      <w:r>
        <w:rPr/>
        <w:t>7.2 Papéis previstos e distribuição de decisões</w:t>
        <w:tab/>
        <w:t>85</w:t>
      </w:r>
    </w:p>
    <w:p>
      <w:pPr>
        <w:pStyle w:val="TOC2"/>
        <w:rPr/>
      </w:pPr>
      <w:r>
        <w:rPr/>
        <w:t>7.3 Mediação do processo de design e reflexão crítica</w:t>
        <w:tab/>
        <w:t>87</w:t>
      </w:r>
    </w:p>
    <w:p>
      <w:pPr>
        <w:pStyle w:val="TOC1"/>
        <w:rPr/>
      </w:pPr>
      <w:r>
        <w:rPr/>
        <w:t>Capítulo 8 — Avaliação e Discussão</w:t>
        <w:tab/>
        <w:t>89</w:t>
      </w:r>
    </w:p>
    <w:p>
      <w:pPr>
        <w:pStyle w:val="TOC2"/>
        <w:rPr/>
      </w:pPr>
      <w:r>
        <w:rPr/>
        <w:t>8.1 Estratégia e critérios de avaliação</w:t>
        <w:tab/>
        <w:t>89</w:t>
      </w:r>
    </w:p>
    <w:p>
      <w:pPr>
        <w:pStyle w:val="TOC3"/>
        <w:tabs>
          <w:tab w:val="clear" w:pos="708"/>
          <w:tab w:val="right" w:pos="8204" w:leader="dot"/>
        </w:tabs>
        <w:rPr/>
      </w:pPr>
      <w:r>
        <w:rPr/>
        <w:t>8.1.1 Verificação técnica da plataforma</w:t>
        <w:tab/>
        <w:t>89</w:t>
      </w:r>
    </w:p>
    <w:p>
      <w:pPr>
        <w:pStyle w:val="TOC3"/>
        <w:tabs>
          <w:tab w:val="clear" w:pos="708"/>
          <w:tab w:val="right" w:pos="8204" w:leader="dot"/>
        </w:tabs>
        <w:rPr/>
      </w:pPr>
      <w:r>
        <w:rPr/>
        <w:t>8.1.2 Avaliação complementar da consistência da geração, recuperação e acessibilidade</w:t>
        <w:tab/>
        <w:t>90</w:t>
      </w:r>
    </w:p>
    <w:p>
      <w:pPr>
        <w:pStyle w:val="TOC3"/>
        <w:tabs>
          <w:tab w:val="clear" w:pos="708"/>
          <w:tab w:val="right" w:pos="8204" w:leader="dot"/>
        </w:tabs>
        <w:rPr/>
      </w:pPr>
      <w:r>
        <w:rPr/>
        <w:t>8.1.3 Preparação para impressão e protótipos físicos</w:t>
        <w:tab/>
        <w:t>91</w:t>
      </w:r>
    </w:p>
    <w:p>
      <w:pPr>
        <w:pStyle w:val="TOC2"/>
        <w:rPr/>
      </w:pPr>
      <w:r>
        <w:rPr/>
        <w:t>8.2 Avaliação da coerência das sugestões de IA</w:t>
        <w:tab/>
        <w:t>96</w:t>
      </w:r>
    </w:p>
    <w:p>
      <w:pPr>
        <w:pStyle w:val="TOC2"/>
        <w:rPr/>
      </w:pPr>
      <w:r>
        <w:rPr/>
        <w:t>8.3 Verificação geométrica entre modelos</w:t>
        <w:tab/>
        <w:t>99</w:t>
      </w:r>
    </w:p>
    <w:p>
      <w:pPr>
        <w:pStyle w:val="TOC2"/>
        <w:rPr/>
      </w:pPr>
      <w:r>
        <w:rPr/>
        <w:t>8.4 Discussão dos resultados face aos objectivos</w:t>
        <w:tab/>
        <w:t>100</w:t>
      </w:r>
    </w:p>
    <w:p>
      <w:pPr>
        <w:pStyle w:val="TOC1"/>
        <w:rPr/>
      </w:pPr>
      <w:r>
        <w:rPr/>
        <w:t>Capítulo 9 — Conclusões e Trabalhos Futuros</w:t>
        <w:tab/>
        <w:t>103</w:t>
      </w:r>
    </w:p>
    <w:p>
      <w:pPr>
        <w:pStyle w:val="TOC2"/>
        <w:rPr/>
      </w:pPr>
      <w:r>
        <w:rPr/>
        <w:t>9.1 Resposta ao problema e às perguntas de investigação</w:t>
        <w:tab/>
        <w:t>103</w:t>
      </w:r>
    </w:p>
    <w:p>
      <w:pPr>
        <w:pStyle w:val="TOC2"/>
        <w:rPr/>
      </w:pPr>
      <w:r>
        <w:rPr/>
        <w:t>9.2 Contributos da investigação</w:t>
        <w:tab/>
        <w:t>104</w:t>
      </w:r>
    </w:p>
    <w:p>
      <w:pPr>
        <w:pStyle w:val="TOC2"/>
        <w:rPr/>
      </w:pPr>
      <w:r>
        <w:rPr/>
        <w:t>9.3 Limitações</w:t>
        <w:tab/>
        <w:t>105</w:t>
      </w:r>
    </w:p>
    <w:p>
      <w:pPr>
        <w:pStyle w:val="TOC2"/>
        <w:rPr/>
      </w:pPr>
      <w:r>
        <w:rPr/>
        <w:t>9.4 Trabalho futuro</w:t>
        <w:tab/>
        <w:t>105</w:t>
      </w:r>
    </w:p>
    <w:p>
      <w:pPr>
        <w:pStyle w:val="TOC1"/>
        <w:rPr/>
      </w:pPr>
      <w:r>
        <w:rPr/>
        <w:t>Referências Bibliográficas</w:t>
        <w:tab/>
        <w:t>107</w:t>
      </w:r>
    </w:p>
    <w:p>
      <w:pPr>
        <w:pStyle w:val="TOC1"/>
        <w:rPr/>
      </w:pPr>
      <w:r>
        <w:rPr/>
        <w:t>Anexo A — Metodologia de extracção e codificação de dados antropométricos da mão</w:t>
        <w:tab/>
        <w:t>119</w:t>
      </w:r>
    </w:p>
    <w:p>
      <w:pPr>
        <w:pStyle w:val="TOC1"/>
        <w:rPr/>
      </w:pPr>
      <w:r>
        <w:rPr/>
        <w:t>Anexo B — Avaliação do processo paramétrico e da interface da plataforma HandFab</w:t>
        <w:tab/>
        <w:t>134</w:t>
      </w:r>
    </w:p>
    <w:p>
      <w:pPr>
        <w:pStyle w:val="TOC1"/>
        <w:rPr/>
      </w:pPr>
      <w:r>
        <w:rPr/>
        <w:t>Anexo C — Adaptação paramétrica dos modelos de mão protésica</w:t>
        <w:tab/>
        <w:t>140</w:t>
      </w:r>
    </w:p>
    <w:p>
      <w:pPr>
        <w:pStyle w:val="TOC1"/>
        <w:spacing w:before="0" w:after="0"/>
        <w:contextualSpacing/>
        <w:rPr/>
        <w:sectPr>
          <w:footerReference w:type="even" r:id="rId21"/>
          <w:footerReference w:type="default" r:id="rId22"/>
          <w:footerReference w:type="first" r:id="rId23"/>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155</w:t>
      </w:r>
    </w:p>
    <w:p>
      <w:pPr>
        <w:pStyle w:val="TextoNormal-IPCA"/>
        <w:ind w:hanging="0"/>
        <w:rPr/>
        <w:sectPr>
          <w:footerReference w:type="even" r:id="rId24"/>
          <w:footerReference w:type="default" r:id="rId25"/>
          <w:footerReference w:type="first" r:id="rId26"/>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no desenvolvimento do projecto.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7"/>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projecto e experiência humana. A presente investigação examina essa mediação através de um protótipo técnico desenvolvido e discutido segundo uma abordagem de </w:t>
      </w:r>
      <w:r>
        <w:rPr>
          <w:i/>
          <w:iCs/>
        </w:rPr>
        <w:t>Research Through Design</w:t>
      </w:r>
      <w:r>
        <w:rPr/>
        <w:t>.</w:t>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Heading2"/>
        <w:numPr>
          <w:ilvl w:val="0"/>
          <w:numId w:val="0"/>
        </w:numPr>
        <w:ind w:hanging="0" w:start="0"/>
        <w:rPr/>
      </w:pPr>
      <w:r>
        <w:rPr/>
        <w:t>1.3 Objectivos da investigação</w:t>
      </w:r>
    </w:p>
    <w:p>
      <w:pPr>
        <w:pStyle w:val="Heading3"/>
        <w:numPr>
          <w:ilvl w:val="0"/>
          <w:numId w:val="0"/>
        </w:numPr>
        <w:ind w:hanging="0" w:start="0"/>
        <w:rPr/>
      </w:pPr>
      <w:r>
        <w:rPr/>
        <w:t>1.3.1 Objectivo geral</w:t>
      </w:r>
    </w:p>
    <w:p>
      <w:pPr>
        <w:pStyle w:val="TextoNormal-IPCA"/>
        <w:rPr/>
      </w:pPr>
      <w:r>
        <w:rPr/>
        <w:t xml:space="preserve">O objectivo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t>1.3.2 Objectivos específicos</w:t>
      </w:r>
    </w:p>
    <w:p>
      <w:pPr>
        <w:pStyle w:val="TextoNormal-IPCA"/>
        <w:rPr/>
      </w:pPr>
      <w:r>
        <w:rPr/>
        <w:t>Para concretizar este objectivo,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projecto?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o </w:t>
      </w:r>
      <w:r>
        <w:rPr>
          <w:i/>
          <w:iCs/>
        </w:rPr>
        <w:t>design</w:t>
      </w:r>
      <w:r>
        <w:rPr/>
        <w:t xml:space="preserve"> industrial concilia requisitos anatómicos, funcionais, ergonómicos, estéticos e simbólicos, promovendo a aceitação, a dignidade e a autonomia?</w:t>
      </w:r>
    </w:p>
    <w:p>
      <w:pPr>
        <w:pStyle w:val="TextoNormal-IPCA"/>
        <w:rPr/>
      </w:pPr>
      <w:r>
        <w:rPr/>
        <w:t>Estas perguntas conservam o conteúdo aprovado para o projecto de investigação, com uniformização ortográfica para português europeu. O seu alcance é mais amplo do que a componente empírica realizada. Por esse motivo, a dissertação distingue os mecanismos de projecto desenvolvidos e verificados dos efeitos humanos que esses mecanismos procuram favorecer. Foram recolhidos dados sobre parametrização, coerência dimensional, geração geométrica, preparação para fabrico e materialização preliminar. Conforto percebido, usabilidade em utilização real, adequação funcional em uso, aceitação e impacto na dignidade ou na autonomia quotidiana não foram medidos junto de participantes.</w:t>
      </w:r>
    </w:p>
    <w:p>
      <w:pPr>
        <w:pStyle w:val="Heading2"/>
        <w:numPr>
          <w:ilvl w:val="0"/>
          <w:numId w:val="0"/>
        </w:numPr>
        <w:ind w:hanging="0" w:start="0"/>
        <w:rPr/>
      </w:pPr>
      <w:r>
        <w:rPr/>
        <w:t>1.4 Abordagem metodológica geral</w:t>
      </w:r>
    </w:p>
    <w:p>
      <w:pPr>
        <w:pStyle w:val="TextoNormal-IPCA"/>
        <w:rPr/>
      </w:pPr>
      <w:r>
        <w:rPr/>
        <w:t xml:space="preserve">O projecto adopta uma metodologia aplicada, baseada em </w:t>
      </w:r>
      <w:r>
        <w:rPr>
          <w:i/>
          <w:iCs/>
        </w:rPr>
        <w:t>Research Through Design</w:t>
      </w:r>
      <w:r>
        <w:rPr/>
        <w:t xml:space="preserve">, que reconhece o acto de projectar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interacção implementadas. O Capítulo 8 reúne a avaliação e a discussão dos resultados. Por fim, o Capítulo 9 sintetiza as conclusões e os trabalhos futuros.</w:t>
      </w:r>
      <w:r>
        <w:br w:type="page"/>
      </w:r>
    </w:p>
    <w:p>
      <w:pPr>
        <w:pStyle w:val="Heading1"/>
        <w:numPr>
          <w:ilvl w:val="0"/>
          <w:numId w:val="0"/>
        </w:numPr>
        <w:ind w:hanging="0" w:start="0"/>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rPr/>
      </w:pPr>
      <w:r>
        <w:rPr/>
        <w:t>.</w:t>
      </w:r>
    </w:p>
    <w:p>
      <w:pPr>
        <w:pStyle w:val="TextoNormal-IPCA"/>
        <w:rPr/>
      </w:pPr>
      <w:r>
        <w:rP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accionadas pelo corpo (</w:t>
      </w:r>
      <w:r>
        <w:rPr>
          <w:i/>
          <w:iCs/>
        </w:rPr>
        <w:t>body-powered</w:t>
      </w:r>
      <w:r>
        <w:rPr/>
        <w:t>)</w:t>
      </w:r>
    </w:p>
    <w:p>
      <w:pPr>
        <w:pStyle w:val="TextoNormal-IPCA"/>
        <w:rPr/>
      </w:pPr>
      <w:r>
        <w:rPr/>
        <w:t>As próteses mecânicas utilizam um sistema de arnês e cabos que converte movimentos do ombro, do tronco ou da cintura escapular em acção no dispositivo terminal, tipicamente um gancho ou uma mão mecânica. São soluções tradicionalmente valorizadas pela robustez, pela comportamento mecânico previsível, pelo menor custo e pela relativa facilidade de manutenção.</w:t>
      </w:r>
    </w:p>
    <w:p>
      <w:pPr>
        <w:pStyle w:val="TextoNormal-IPCA"/>
        <w:rPr/>
      </w:pPr>
      <w:r>
        <w:rPr/>
        <w:t xml:space="preserve">Um atributo particularmente relevante é o </w:t>
      </w:r>
      <w:r>
        <w:rPr>
          <w:i/>
          <w:iCs/>
        </w:rPr>
        <w:t>feedback</w:t>
      </w:r>
      <w:r>
        <w:rPr/>
        <w:t xml:space="preserve">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t>Próteses mioeléctricas</w:t>
      </w:r>
    </w:p>
    <w:p>
      <w:pPr>
        <w:pStyle w:val="TextoNormal-IPCA"/>
        <w:rPr/>
      </w:pPr>
      <w:r>
        <w:rP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28"/>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rPr/>
      </w:pPr>
      <w:r>
        <w:rP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29"/>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projecto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optimizadas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 xml:space="preserve">O </w:t>
      </w:r>
      <w:r>
        <w:rPr>
          <w:i/>
          <w:iCs/>
        </w:rPr>
        <w:t>design</w:t>
      </w:r>
      <w:r>
        <w:rPr/>
        <w:t xml:space="preserve">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rPr/>
      </w:pPr>
      <w:r>
        <w:rPr/>
        <w:t>Esta perspectiva aproxima-se dos modelos sociais e relacionais da deficiência, enfatizando que a exclusão pode ser produzida por decisões de projecto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concepção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Ron Mace[^5],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através de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perspectiva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rPr/>
      </w:pPr>
      <w:r>
        <w:rP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0"/>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Configuradores </w:t>
      </w:r>
      <w:r>
        <w:rPr>
          <w:i/>
          <w:iCs/>
        </w:rPr>
        <w:t>web</w:t>
      </w:r>
      <w:r>
        <w:rPr/>
        <w:t xml:space="preserve"> ou interfaces baseadas em CAD expõem um conjunto delimitado de parâmetros, permitindo ao utilizador ajustar dimensões ou características dentro de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1"/>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Este modelo “</w:t>
      </w:r>
      <w:r>
        <w:rPr>
          <w:i/>
          <w:iCs/>
        </w:rPr>
        <w:t>file-to-factory</w:t>
      </w:r>
      <w:r>
        <w:rPr/>
        <w:t xml:space="preserve">” viabiliza fluxos digitais em que o ficheiro parametrizado é convertido directamente em instruções de fabrico, seja localmente (impressão 3D descentralizada) ou através de uma encomenda </w:t>
      </w:r>
      <w:r>
        <w:rPr>
          <w:i/>
          <w:iCs/>
        </w:rPr>
        <w:t>online</w:t>
      </w:r>
      <w:r>
        <w:rPr/>
        <w:t xml:space="preserve">[^11].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fabrico.[^12]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mãos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ISO 7250).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2"/>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rPr/>
      </w:pPr>
      <w:r>
        <w:rPr/>
        <w:t xml:space="preserve">2. A digitalização 3D, através de </w:t>
      </w:r>
      <w:r>
        <w:rPr>
          <w:i/>
          <w:iCs/>
        </w:rPr>
        <w:t>scanning</w:t>
      </w:r>
      <w:r>
        <w:rPr/>
        <w:t xml:space="preserve">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3"/>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t>O que é a Inteligência Artificial</w:t>
      </w:r>
    </w:p>
    <w:p>
      <w:pPr>
        <w:pStyle w:val="TextoNormal-IPCA"/>
        <w:rPr/>
      </w:pPr>
      <w:r>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 xml:space="preserve">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t xml:space="preserve">Nos modelos de linguagem, o texto é processado em unidades designadas por </w:t>
      </w:r>
      <w:r>
        <w:rPr>
          <w:i/>
          <w:iCs/>
        </w:rPr>
        <w:t>tokens</w:t>
      </w:r>
      <w:r>
        <w:t xml:space="preserve">. Um </w:t>
      </w:r>
      <w:r>
        <w:rPr>
          <w:i/>
          <w:iCs/>
        </w:rPr>
        <w:t>token</w:t>
      </w:r>
      <w:r>
        <w:t xml:space="preserve"> pode corresponder a uma palavra completa, a parte de uma palavra, a um número ou a um sinal de pontuação. O limite de </w:t>
      </w:r>
      <w:r>
        <w:rPr>
          <w:i/>
          <w:iCs/>
        </w:rPr>
        <w:t>tokens</w:t>
      </w:r>
      <w: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t xml:space="preserve">Formas de IA mais relevantes para o </w:t>
      </w:r>
      <w:r>
        <w:rPr>
          <w:i/>
          <w:iCs/>
        </w:rPr>
        <w:t>design</w:t>
      </w:r>
    </w:p>
    <w:p>
      <w:pPr>
        <w:pStyle w:val="TextoNormal-IPCA"/>
        <w:rPr/>
      </w:pPr>
      <w:r>
        <w:rPr/>
        <w:t xml:space="preserve">A literatura identifica várias famílias de aplicações da IA com relevância directa para o </w:t>
      </w:r>
      <w:r>
        <w:rPr>
          <w:i/>
          <w:iCs/>
        </w:rPr>
        <w:t>design</w:t>
      </w:r>
      <w:r>
        <w:rPr/>
        <w:t>.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de forma controlada (Fischer et al., 2017; Kerr et al., 2024; Zhu &amp; Zhong, 2022).</w:t>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desenhável.</w:t>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4"/>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t xml:space="preserve">, </w:t>
      </w:r>
      <w:r>
        <w:rPr>
          <w:i/>
          <w:iCs/>
        </w:rPr>
        <w:t>serious games</w:t>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w:t>
      </w:r>
      <w:r>
        <w:rPr>
          <w:i/>
          <w:iCs/>
        </w:rPr>
        <w:t>Technology Readiness Level</w:t>
      </w:r>
      <w:r>
        <w:rPr/>
        <w:t xml:space="preserve"> (TRL),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5"/>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kern w:val="0"/>
                <w:sz w:val="16"/>
                <w:szCs w:val="16"/>
                <w:lang w:val="pt-PT" w:eastAsia="en-US" w:bidi="ar-SA"/>
                <w:i/>
                <w:iCs/>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kern w:val="0"/>
                <w:sz w:val="16"/>
                <w:szCs w:val="16"/>
                <w:lang w:val="pt-PT" w:eastAsia="en-US" w:bidi="ar-SA"/>
                <w:i/>
                <w:iCs/>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i/>
                <w:iCs/>
              </w:rPr>
              <w:t>Co-design</w:t>
            </w:r>
            <w:r>
              <w:rPr>
                <w:rFonts w:eastAsia="Calibri"/>
                <w:kern w:val="0"/>
                <w:sz w:val="16"/>
                <w:szCs w:val="16"/>
                <w:lang w:val="pt-PT" w:eastAsia="en-US" w:bidi="ar-SA"/>
              </w:rPr>
              <w:t>,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ind w:hanging="0" w:start="0"/>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6"/>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investigativa</w:t>
      </w:r>
    </w:p>
    <w:p>
      <w:pPr>
        <w:pStyle w:val="TextoNormal-IPCA"/>
        <w:rPr/>
      </w:pPr>
      <w:r>
        <w:rPr/>
        <w:t xml:space="preserve">Com base no enquadramento do Capítulo 2, o </w:t>
      </w:r>
      <w:r>
        <w:rPr>
          <w:i/>
          <w:iCs/>
        </w:rPr>
        <w:t>design</w:t>
      </w:r>
      <w:r>
        <w:rPr/>
        <w:t xml:space="preserve"> industrial é operacionalizado como prática investigativa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kern w:val="0"/>
                <w:sz w:val="16"/>
                <w:szCs w:val="16"/>
                <w:lang w:val="pt-PT" w:eastAsia="en-US" w:bidi="ar-SA"/>
                <w:i/>
                <w:iCs/>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7"/>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em 13 e 14 de Julho de 2026, séries automatizadas de ensaios orientadas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ind w:hanging="0" w:start="0"/>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do projecto, sem ser incluído nas séries comparativas ou físicas. A reconstrução pec Phoenix hand permanece material de desenvolvimento e fica fora do âmbito deste capítulo. O inventário consolidado dos modelos, com origem, licença, estado de integração,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38"/>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39"/>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7"/>
        <w:gridCol w:w="1758"/>
        <w:gridCol w:w="1757"/>
        <w:gridCol w:w="1758"/>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41"/>
        <w:gridCol w:w="3670"/>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versionado,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0"/>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t>
      </w:r>
      <w:r>
        <w:rPr>
          <w:i/>
          <w:iCs/>
        </w:rPr>
        <w:t>web</w:t>
      </w:r>
      <w:r>
        <w:rPr/>
        <w:t>,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9"/>
        <w:gridCol w:w="2028"/>
        <w:gridCol w:w="2704"/>
        <w:gridCol w:w="2656"/>
      </w:tblGrid>
      <w:tr>
        <w:trPr>
          <w:tblHeader w:val="true"/>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tornar auditável a passagem entre dados, configuração e geometria, a Tabela 4.9 consolida os parâmetros numéricos com efeito antropométrico, geométrico ou mecânico nos três modelos comparados. O dicionário corresponde ao estado da plataforma usado nos ensaios principais.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rPr/>
      </w:pPr>
      <w:r>
        <w:rP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Regra ou efeito geométrico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 polegar e divisão proximal–distal</w:t>
            </w:r>
          </w:p>
        </w:tc>
      </w:tr>
    </w:tbl>
    <w:p>
      <w:pPr>
        <w:pStyle w:val="TextoNormal-IPCA"/>
        <w:rPr/>
      </w:pPr>
      <w:r>
        <w:rP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Heading3"/>
        <w:numPr>
          <w:ilvl w:val="0"/>
          <w:numId w:val="0"/>
        </w:numPr>
        <w:ind w:hanging="0" w:start="0"/>
        <w:rPr/>
      </w:pPr>
      <w:r>
        <w:rPr/>
        <w:t>4.3.5 Exemplo numérico completo: perfil infantil no Flexy Beast</w:t>
      </w:r>
    </w:p>
    <w:p>
      <w:pPr>
        <w:pStyle w:val="TextoNormal-IPCA"/>
        <w:rPr/>
      </w:pPr>
      <w:r>
        <w:rP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303"/>
        <w:gridCol w:w="3525"/>
        <w:gridCol w:w="3959"/>
      </w:tblGrid>
      <w:tr>
        <w:trPr>
          <w:tblHeader w:val="true"/>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6"/>
                <w:szCs w:val="16"/>
                <w:lang w:val="pt-PT" w:eastAsia="en-US" w:bidi="ar-SA"/>
              </w:rPr>
              <w:t>Etapa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6"/>
                <w:szCs w:val="16"/>
                <w:lang w:val="pt-PT" w:eastAsia="en-US" w:bidi="ar-SA"/>
              </w:rPr>
              <w:t>Operação ou evidência</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6"/>
                <w:szCs w:val="16"/>
                <w:lang w:val="pt-PT" w:eastAsia="en-US" w:bidi="ar-SA"/>
              </w:rPr>
              <w:t>Valor obtido</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1. Vector aplicado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Palma; indicador; médio; anelar; mindinho; polegar</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64; 57; 60; 57; 46; 50 mm</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2. Verificação pelo esquema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Comparação com os intervalos da Tabela 4.9</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Seis valores dentro dos intervalos; sem limitação</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3. Escala global</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xScaleFactor = (64 + 5) / 55</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1,254545</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4. Multiplicador mestre</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fingerLength = 60 / (37 × 1,254545)</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1,292597</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5. Proporções digitais</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Indicador/60; médio/60; anelar/60; mindinho/60; polegar/60</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0,950000; 1,000000; 0,950000; 0,766667; 0,833333</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6. Parâmetros mecânicos</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joint_dia; joint_thick; braçadeira L × C × parede; wrist_pin_dia</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5 mm; 2 mm; 47 × 80 × 2 mm; 5 mm; dentro dos limites</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7. Malha da palma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97,385 × 80,103 × 37,123 mm; 51,381 cm³; 11.186 faces; fechada</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8. Proximal do dedo médio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37,451 × 14,913 × 14,775 mm; 5,225 cm³; 888 faces; fechada</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9. Distal do dedo médio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Caixa XYZ; faces; estanquidade</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52,183 × 14,913 × 22,697 mm; 1.198 faces; aberta</w:t>
            </w:r>
          </w:p>
        </w:tc>
      </w:tr>
    </w:tbl>
    <w:p>
      <w:pPr>
        <w:pStyle w:val="TextoNormal-IPCA"/>
        <w:rPr/>
      </w:pPr>
      <w:r>
        <w:rP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rPr/>
      </w:pPr>
      <w:r>
        <w:rP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rPr/>
      </w:pPr>
      <w:r>
        <w:rP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rPr/>
      </w:pPr>
      <w:r>
        <w:rP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Heading2"/>
        <w:numPr>
          <w:ilvl w:val="0"/>
          <w:numId w:val="0"/>
        </w:numPr>
        <w:ind w:hanging="0" w:start="0"/>
        <w:rPr/>
      </w:pPr>
      <w:r>
        <w:rPr/>
        <w:t>4.4 Iterações e decisões de projecto</w:t>
      </w:r>
    </w:p>
    <w:p>
      <w:pPr>
        <w:pStyle w:val="TextoNormal-IPCA"/>
        <w:rPr/>
      </w:pPr>
      <w:r>
        <w:rPr/>
        <w:t>A evolução dos modelos foi documentada através de episódios em que uma configuração, uma malha ou uma montagem tornou visível uma limitação e conduziu a uma alteração específica. A Tabela 4.11 resume os episódios com maior influência na estrutura paramétrica. As alterações posteriores ao fecho da comparação principal são apresentadas como desenvolvimento subsequente e não como resultados retroactivos dos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1448"/>
        <w:gridCol w:w="2366"/>
        <w:gridCol w:w="2559"/>
        <w:gridCol w:w="2414"/>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Data</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15–16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Ficheiros Paraglider dispersos e nomes incompatíveis com a plataforma</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Consolidação da família num modelo com componentes e duas palmas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Integrar um modelo aberto exige declarar dependências, variantes e campos comuns antes de expor parâmetros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28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Reborn permanecia no tamanho médio apesar de variar palm_breadth_mm</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Compensação da escala 1,25 preservada no módulo carregado por use</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resposta de um controlo não pode ser inferida pelo nome; deve ser confirmada na malha gerada</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HandPerc_override permitia ao Phoenix contornar o limite mínimo de 100%</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Aplicação do mesmo intervalo de 100%–160% aos dois percursos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t>Limites equivalentes devem actuar em todos os percursos que conduzem à mesma transformação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IA alterava a lateralidade apesar de esta ser uma decisão binária do projecto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Lateralidade transferida para a interface determinística e excluída das sugestões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Decisões inequívocas e críticas não devem permanecer num processo probabilístico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9–10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 sem controlo independente dos segmentos e com desalinhamentos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Calibração do alcance, divisão proximal–distal e reposicionamento sobre os eixos MCP/PIP</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adaptação paramétrica exige preservar interfaces articulares enquanto se altera o alcance dos segmentos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desligada da circunferência do punho e polegar sem correspondência estável</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dimensionada por circunferência/π, assentamento automático no pino e calibração do polegar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Mão, punho e antebraço não devem depender de uma única escala global</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10–11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Dedos Phoenix constituídos por malhas fixas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Divisão das colunas e alongamento apenas das faixas sem furos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Modelos de malha podem receber variação local se as zonas funcionais forem isoladas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Flexy sem ligação directa ao mapa do punho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Adopção da braçadeira comum do Cyborg e de wrist_circumference_mm</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Uma gramática comum deve ligar a mesma medida corporal a funções equivalentes entre modelos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Grupos e nomes de controlos equivalentes variavam entre modelos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Ordem comum; LeftRight passou a mirrored no Phoenix e show_assembled passou a print_layout no Paraglider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coerência da interface beneficia de nomes comuns para decisões equivalentes, sem uniformizar diferenças geométricas legítimas</w:t>
            </w:r>
          </w:p>
        </w:tc>
      </w:tr>
    </w:tbl>
    <w:p>
      <w:pPr>
        <w:pStyle w:val="TextoNormal-IPCA"/>
        <w:rPr/>
      </w:pPr>
      <w:r>
        <w:rP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ind w:hanging="0" w:start="0"/>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rPr/>
      </w:pPr>
      <w:r>
        <w:rPr/>
        <w:t>O estado final examinado corresponde a 14 de Julho de 2026. 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1"/>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 Fab</w:t>
      </w:r>
    </w:p>
    <w:p>
      <w:pPr>
        <w:pStyle w:val="Nota-IPCA"/>
        <w:rPr/>
      </w:pPr>
      <w:r>
        <w:rPr/>
        <w:t>Fonte: produção própria.</w:t>
      </w:r>
    </w:p>
    <w:p>
      <w:pPr>
        <w:pStyle w:val="TextoNormal-IPCA"/>
        <w:rPr/>
      </w:pPr>
      <w:r>
        <w:rP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2"/>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Etapa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kern w:val="0"/>
                <w:szCs w:val="24"/>
                <w:lang w:val="pt-PT" w:eastAsia="en-US" w:bidi="ar-SA"/>
                <w:i/>
                <w:iCs/>
              </w:rPr>
              <w:t>web</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Modelo, perfil e valores editados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Configuração do modelo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3</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4</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Web Worker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5</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kern w:val="0"/>
                <w:szCs w:val="24"/>
                <w:lang w:val="pt-PT" w:eastAsia="en-US" w:bidi="ar-SA"/>
                <w:i/>
                <w:iCs/>
              </w:rPr>
              <w:t>WebAssembly</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Script</w:t>
            </w:r>
            <w:r>
              <w:rPr>
                <w:rFonts w:eastAsia="Calibri"/>
                <w:kern w:val="0"/>
                <w:szCs w:val="24"/>
                <w:lang w:val="pt-PT" w:eastAsia="en-US" w:bidi="ar-SA"/>
              </w:rPr>
              <w:t xml:space="preserve"> e dependências; saída OFF, STL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6</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OFF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7</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Malha STL ou pacote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8</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9</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3"/>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4"/>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t>A Tabela 5.2 identifica o estado técnico necessário para interpretar o artefacto sem converter esta dissertação numa descrição exaustiva da implementação. Os estados e componentes são registados porque condicionam a leitura dos ensaios; a sua enumeração não constitui comparação entre tecnologias.</w:t>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4"/>
        <w:gridCol w:w="2539"/>
        <w:gridCol w:w="2147"/>
        <w:gridCol w:w="2637"/>
      </w:tblGrid>
      <w:tr>
        <w:trPr>
          <w:tblHeader w:val="true"/>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Elemento do percurso</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Implementação e estado examinado</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 xml:space="preserve">Função no processo de </w:t>
            </w:r>
            <w:r>
              <w:rPr>
                <w:rFonts w:eastAsia="Calibri"/>
                <w:b/>
                <w:kern w:val="0"/>
                <w:szCs w:val="24"/>
                <w:lang w:val="pt-PT" w:eastAsia="en-US" w:bidi="ar-SA"/>
                <w:i/>
                <w:iCs/>
              </w:rPr>
              <w:t>design</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Limite da evidência</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Protótipo HandFab</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Estado final examinado; ensaios principais e complementares realizados em estados anteriores</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Reunir configuração, pré-visualização, conservação de variantes e exportação</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 evolução do protótipo impede atribuir retroactivamente funções novas aos ensaios anteriores</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Interface no navegador</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 xml:space="preserve">Aplicação </w:t>
            </w:r>
            <w:r>
              <w:rPr>
                <w:rFonts w:eastAsia="Calibri"/>
                <w:kern w:val="0"/>
                <w:szCs w:val="24"/>
                <w:lang w:val="pt-PT" w:eastAsia="en-US" w:bidi="ar-SA"/>
                <w:i/>
                <w:iCs/>
              </w:rPr>
              <w:t>web</w:t>
            </w:r>
            <w:r>
              <w:rPr>
                <w:rFonts w:eastAsia="Calibri"/>
                <w:kern w:val="0"/>
                <w:szCs w:val="24"/>
                <w:lang w:val="pt-PT" w:eastAsia="en-US" w:bidi="ar-SA"/>
              </w:rPr>
              <w:t xml:space="preserve"> com visualizador tridimensional; demonstração pública em handfab.pedrocandeias.net</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Tornar visível a relação entre parâmetros, forma e decisão de exportar</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Chromium e Firefox produziram o mesmo resultado no caso comparado; WebKit permaneceu inconclusivo; não foi demonstrada compatibilidade universal</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Geração geométrica</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 xml:space="preserve">OpenSCAD executado em </w:t>
            </w:r>
            <w:r>
              <w:rPr>
                <w:rFonts w:eastAsia="Calibri"/>
                <w:kern w:val="0"/>
                <w:szCs w:val="24"/>
                <w:lang w:val="pt-PT" w:eastAsia="en-US" w:bidi="ar-SA"/>
                <w:i/>
                <w:iCs/>
              </w:rPr>
              <w:t>WebAssembly</w:t>
            </w:r>
            <w:r>
              <w:rPr>
                <w:rFonts w:eastAsia="Calibri"/>
                <w:kern w:val="0"/>
                <w:szCs w:val="24"/>
                <w:lang w:val="pt-PT" w:eastAsia="en-US" w:bidi="ar-SA"/>
              </w:rPr>
              <w:t xml:space="preserve"> num </w:t>
            </w:r>
            <w:r>
              <w:rPr>
                <w:rFonts w:eastAsia="Calibri"/>
                <w:kern w:val="0"/>
                <w:szCs w:val="24"/>
                <w:lang w:val="pt-PT" w:eastAsia="en-US" w:bidi="ar-SA"/>
                <w:i/>
                <w:iCs/>
              </w:rPr>
              <w:t>Web Worker</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Aplicar as relações paramétricas e produzir a geometria sem instalação local de CAD</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O tempo e a conclusão dependem do modelo e dos recursos do equipamento; não houve estudo comparativo de desempenho</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Servidor e acesso</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Node.js 22.14.0, Express 4.18.3 e autenticação por perfis</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Guardar contas e configurações e intermediar os pedidos externos</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O funcionamento foi examinado em casos delimitados; não foram avaliados carga, acessos simultâneos ou segurança integral</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Dados guardados</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SQLite integrado no Node.js</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Conservar perfis, configurações e relações de atribuição</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Adequado ao protótipo examinado; não foi comparado com outras soluções nem testado em utilização intensiva</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Serviço externo de IA</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Anthropic ou OpenAI, seleccionável; claude-sonnet-4-6 no ensaio reportado</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Sugerir valores iniciais condicionados pelo modelo activo</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Depende da disponibilidade externa e da qualidade do pedido; não gera nem aprova a geometria</w:t>
            </w:r>
          </w:p>
        </w:tc>
      </w:tr>
    </w:tbl>
    <w:p>
      <w:pPr>
        <w:pStyle w:val="TextoNormal-IPCA"/>
        <w:rPr/>
      </w:pPr>
      <w:r>
        <w:rP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do projecto.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arquitectura de produção personalizada em que a digitalização, o processamento de dados, a adaptação CAD e o fabrico aditivo são articulados num fluxo de ponta a ponta. No presente projecto, a continuidade é transferida para uma plataforma </w:t>
      </w:r>
      <w:r>
        <w:rPr>
          <w:i/>
          <w:iCs/>
        </w:rPr>
        <w:t>web</w:t>
      </w:r>
      <w:r>
        <w:rPr/>
        <w:t xml:space="preserve"> e para modelos OpenSCAD executados localmente; a captura anatómica por digitalização não foi implementada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5"/>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SQLite, utilizada para armazenar contas de utilizador, configurações guardadas, relações de atribuição técnica e </w:t>
      </w:r>
      <w:r>
        <w:rPr>
          <w:i/>
          <w:iCs/>
        </w:rPr>
        <w:t>tokens</w:t>
      </w:r>
      <w:r>
        <w:rPr/>
        <w:t xml:space="preserve">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rPr/>
      </w:pPr>
      <w:r>
        <w:rPr/>
        <w:t xml:space="preserve">Um dos aspectos mais relevantes da arquitectura é que a renderização geométrica não é executada no servidor. Em vez disso, o cálculo e a geração da geometria tridimensional ocorrem localmente no navegador, através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através de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para o projecto reside em impedir que todas as decisões e operações sejam apresentadas indistintamente a todos os perfis (Quintero et al., 2018; Bai et al., 2024).</w:t>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geração contínua. O OpenSCAD define a geometria através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dentro da plataforma.</w:t>
      </w:r>
    </w:p>
    <w:p>
      <w:pPr>
        <w:pStyle w:val="TextoNormal-IPCA"/>
        <w:rPr/>
      </w:pPr>
      <w:r>
        <w:rPr/>
        <w:t xml:space="preserve">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t>
      </w:r>
      <w:r>
        <w:rPr>
          <w:i/>
          <w:iCs/>
        </w:rPr>
        <w:t>web</w:t>
      </w:r>
      <w:r>
        <w:rPr/>
        <w:t>.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operação através de 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6"/>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7"/>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48"/>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49"/>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rPr/>
      </w:pPr>
      <w:r>
        <w:rPr/>
        <w:t>A biblioteca organiza diferentes famílias como modelos registados, cada uma com parâmetros, dependências, limites e modos de visualização próprios. No estado usado nos ensaios principais,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no estado final examinado. A reconstrução designada pec Phoenix hand continua como material de desenvolvimento e não integra a plataforma. Esta distinção separa biblioteca actual, conjunto avaliado e trabalhos exploratórios.</w:t>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9"/>
        <w:gridCol w:w="1767"/>
        <w:gridCol w:w="1767"/>
        <w:gridCol w:w="2102"/>
      </w:tblGrid>
      <w:tr>
        <w:trPr>
          <w:tblHeader w:val="true"/>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Modelo e estado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Parâmetros configuráveis</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Ensaios e evidência no estudo</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Flexy Beast; activo no estado usado nos ensaios principais</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Adaptação do Flexy-Beast de daprice, combinação do Parametric Cyborg Beast e do Flexy Hand; CC BY-SA 4.0, indicada no ficheiro-fonte</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51 declarações; 15 numéricas: palma, dedos, articulações, braçadeira e pino</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Bambu A1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Paraglider/Flexible Flyer; activo no estado usado nos ensaios principais</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42 declarações; 15 numéricas: palma, dedos, canais e braço</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Prusa MINI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UnLimbited Phoenix V1.0; activo no estado usado nos ensaios principais</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31 declarações; 12 numéricas: palma, escala e segmentos digitais</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e projecto Bambu A1</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Cyborg Beast; activo no estado usado nos ensaios principais</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MakerBlock/e-NABLE; licença não explicitada no pacote local</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50 declarações; 17 numéricas: palma, dedos, punho, braçadeira e pino</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Integração e renderização; excluído da comparação e das séries físicas</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pec Phoenix hand; desenvolvimento; não registado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Reconstrução baseada na linhagem Phoenix; licença do derivado não formalizada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Sem contrato consolidado em catálogo de modelos</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Mecanismo não estabilizado na configuração comum</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Material exploratório; excluído dos ensaios comparativos</w:t>
            </w:r>
          </w:p>
        </w:tc>
      </w:tr>
    </w:tbl>
    <w:p>
      <w:pPr>
        <w:pStyle w:val="TextoNormal-IPCA"/>
        <w:rPr/>
      </w:pPr>
      <w:r>
        <w:rP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rPr/>
      </w:pPr>
      <w:r>
        <w:rPr/>
        <w:t>As contagens da Tabela 5.3 referem-se às declarações presentes em catálogo de modelos no estado da plataforma usado nos ensaios principais. O total inclui selectores, opções de visualização e controlos não geométricos; a contagem numérica identifica os campos do tipo number, sem pressupor que todos representam medidas antropométricas. A ausência de uma licença explícita no pacote local do Cyborg Beast é registada como lacuna documental e não como afirmação de inexistência de licença na fonte original.</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rPr/>
      </w:pPr>
      <w:r>
        <w:rP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ind w:hanging="0" w:start="0"/>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do contrato de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t xml:space="preserve">Resposta limitada a 1024 </w:t>
            </w:r>
            <w:r>
              <w:rPr>
                <w:i/>
                <w:iCs/>
              </w:rPr>
              <w:t>tokens</w:t>
            </w:r>
            <w: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Contrato de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t xml:space="preserve">A avaliação utilizou o fornecedor Anthropic e o modelo claude-sonnet-4-6. A resposta estava limitada a 1024 </w:t>
      </w:r>
      <w:r>
        <w:rPr>
          <w:i/>
          <w:iCs/>
        </w:rPr>
        <w:t>tokens</w:t>
      </w:r>
      <w: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 e não constituem avaliação centrada no utilizador, porque nenhuma pessoa participou no estudo.</w:t>
      </w:r>
    </w:p>
    <w:p>
      <w:pPr>
        <w:pStyle w:val="TextoNormal-IPCA"/>
        <w:rPr/>
      </w:pPr>
      <w:r>
        <w:rP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kern w:val="0"/>
                <w:szCs w:val="24"/>
                <w:lang w:val="pt-PT" w:eastAsia="en-US" w:bidi="ar-SA"/>
                <w:i/>
                <w:iCs/>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2"/>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ind w:hanging="0" w:start="0"/>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3"/>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ind w:hanging="0" w:start="0"/>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estado usado nos ensaios principais foi inspeccionado no fecho do estudo. A Tabela 8.1 distingue resultados executados nesta verificação, dados observados na base local e registos de ensaios anteriores.</w:t>
      </w:r>
    </w:p>
    <w:p>
      <w:pPr>
        <w:pStyle w:val="Caption"/>
        <w:rPr/>
      </w:pPr>
      <w:r>
        <w:rPr/>
        <w:t>Tabela 8.1 — Evidência técnica do funcionamento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Procedimento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Limite da evidência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Correspondência de perfis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npm run test:unit, 13 de Julho de 2026</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 testes aprovados, 0 falhas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Abrange análise de sexo, idade, grupos etários e selecção de perfil; não cobre a interface completa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Inspecção de catálogo de modelos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Quatro modelos registados e respectivos parâmetros carregáveis por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 a declaração dos modelos; três integram a comparação dimensional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Base antropométrica da aplicação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Consulta de base local da aplicação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 perfis: 97 importados em lote, dois por CSV e um manual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número de perfis da aplicação difere do número de linhas dos CSV de origem, porque cada perfil agrega várias medições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Persistência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Consulta da estrutura e dos registos de teste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Tabelas de utilizadores, configurações, perfis e atribuições técnicas presentes; uma configuração guardada no estado consultado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 dados existentes, sem ensaio de carga ou acessos simultâneos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Renderização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 xml:space="preserve">Relatórios e testes </w:t>
            </w:r>
            <w:r>
              <w:rPr>
                <w:rFonts w:eastAsia="Calibri"/>
                <w:kern w:val="0"/>
                <w:szCs w:val="24"/>
                <w:lang w:val="pt-PT" w:eastAsia="en-US" w:bidi="ar-SA"/>
                <w:i/>
                <w:iCs/>
              </w:rPr>
              <w:t>end-to-end</w:t>
            </w:r>
            <w:r>
              <w:rPr>
                <w:rFonts w:eastAsia="Calibri"/>
                <w:kern w:val="0"/>
                <w:szCs w:val="24"/>
                <w:lang w:val="pt-PT" w:eastAsia="en-US" w:bidi="ar-SA"/>
              </w:rPr>
              <w:t xml:space="preserve"> arquivados no registo de alterações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 xml:space="preserve">Geração em </w:t>
            </w:r>
            <w:r>
              <w:rPr>
                <w:rFonts w:eastAsia="Calibri"/>
                <w:kern w:val="0"/>
                <w:szCs w:val="24"/>
                <w:lang w:val="pt-PT" w:eastAsia="en-US" w:bidi="ar-SA"/>
                <w:i/>
                <w:iCs/>
              </w:rPr>
              <w:t>WebAssembly</w:t>
            </w:r>
            <w:r>
              <w:rPr>
                <w:rFonts w:eastAsia="Calibri"/>
                <w:kern w:val="0"/>
                <w:szCs w:val="24"/>
                <w:lang w:val="pt-PT" w:eastAsia="en-US" w:bidi="ar-SA"/>
              </w:rPr>
              <w:t>, conversão para GLB e exportação STL/3MF documentadas nos registos correspondentes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bateria Playwright dos ensaios principais não foi repetida no ambiente desta revisão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Serviço de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Inspecção das rotas e dos serviços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Chamada autenticada, escolha de fornecedor, limite de frequência, referência populacional e resposta textual implementados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disponibilidade depende de chaves e serviços externos</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consistência entre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Dois projectos com camada de 0,24 mm, duas paredes e 15% de enchimento: peças atribuídas, respectivamente,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Oito conjuntos de peças em cada projecto;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t>Uma inspecção complementar com trimesh, arquivada com os cenários de 29 de Junho de 2026, examinou peças da configuração infantil.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Inspecção computacional de malhas na configuração infantil</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rPr/>
        <w:t>.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4"/>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5"/>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6"/>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7"/>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Caption"/>
        <w:rPr/>
      </w:pPr>
      <w: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Testar a inferência paramétrica sem medições directas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directas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p>
    <w:p>
      <w:pPr>
        <w:pStyle w:val="TextoNormal-IPCA"/>
        <w:rPr/>
      </w:pPr>
      <w:r>
        <w:t>A leitura dos registos mostra respostas distintas consoante o detalhe da descrição submetida.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rPr/>
      </w:pPr>
      <w:r>
        <w:rP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rPr/>
      </w:pPr>
      <w:r>
        <w:rPr/>
        <w:t>A lateralidade foi examinada num ensaio separado com 12 pedidos repetidos. Onze pedidos produziram resposta interpretável e um terminou por falha de análise. Nos sete pedidos de mão esquerda com resposta, o campo mirrored indicou mão direita; os quatro pedidos de mão direita foram devolvidos como mão direita. A alteração subsequente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Na resposta arquivada, a IA preservou os valores directamente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Descrições com uma medição directa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Na resposta arquivada, o sistema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Lateralidade antes da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0/7 respostas correctas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Lateralidade após 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t xml:space="preserve">A bateria complementar reuniu 15 cenários com descrições vagas, comparativas, multilingues, sem medidas ou com valores fora dos limites. Os registos preservam as descrições submetidas e as respostas, mas o estudo não reuniu extracções suficientes para estimar estatisticamente a estabilidade do modelo de linguagem. Em algumas execuções, parâmetros de </w:t>
      </w:r>
      <w:r>
        <w:rPr>
          <w:i/>
          <w:iCs/>
        </w:rPr>
        <w:t>hardware</w:t>
      </w:r>
      <w:r>
        <w:t xml:space="preserve"> foram incluídos; noutras, permaneceram nos valores correntes. Assim, a conclusão limita-se à conformidade dos casos registados e ao valor das salvaguardas determinísticas. Descrições equivalentes podem originar números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dentro dos intervalos declarados. O ensaio compara a resposta dimensional das geometrias; não avalia ajuste ao corpo, conforto, função ou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Respondeu aos três perfis após a correcção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responderam de forma semelhante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correcção, um percurso alternativo do Phoenix tinha produzido um factor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rPr/>
      </w:pPr>
      <w:r>
        <w:rPr/>
        <w:t>A correcção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Heading3"/>
        <w:numPr>
          <w:ilvl w:val="0"/>
          <w:numId w:val="0"/>
        </w:numPr>
        <w:ind w:hanging="0" w:start="0"/>
        <w:rPr/>
      </w:pPr>
      <w:r>
        <w:rPr/>
        <w:t>8.4 Discussão dos resultados face aos objectivos</w:t>
      </w:r>
    </w:p>
    <w:p>
      <w:pPr>
        <w:pStyle w:val="TextoNormal-IPCA"/>
        <w:rPr/>
      </w:pPr>
      <w:r>
        <w:rPr/>
        <w:t xml:space="preserve">Face aos objectivos,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projecto,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correcções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Lacuna e requisito seleccionado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Limite remanescente</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estabelece relações empíricas entre medidas objectivas,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foram medidos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Controlo e interacção: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arquitectura </w:t>
            </w:r>
            <w:r>
              <w:rPr>
                <w:rFonts w:eastAsia="Calibri"/>
                <w:kern w:val="0"/>
                <w:sz w:val="16"/>
                <w:szCs w:val="16"/>
                <w:lang w:val="pt-PT" w:eastAsia="en-US" w:bidi="ar-SA"/>
                <w:i/>
                <w:iCs/>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A arquitectura reduz algumas dependências de </w:t>
            </w:r>
            <w:r>
              <w:rPr>
                <w:rFonts w:eastAsia="Calibri"/>
                <w:kern w:val="0"/>
                <w:sz w:val="16"/>
                <w:szCs w:val="16"/>
                <w:lang w:val="pt-PT" w:eastAsia="en-US" w:bidi="ar-SA"/>
                <w:i/>
                <w:iCs/>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foram avaliados custo total,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correcções, inventários e anexos ligados aos ciclos de </w:t>
            </w:r>
            <w:r>
              <w:rPr>
                <w:rFonts w:eastAsia="Calibri"/>
                <w:kern w:val="0"/>
                <w:sz w:val="16"/>
                <w:szCs w:val="16"/>
                <w:lang w:val="pt-PT" w:eastAsia="en-US" w:bidi="ar-SA"/>
                <w:i/>
                <w:iCs/>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kern w:val="0"/>
                <w:sz w:val="16"/>
                <w:szCs w:val="16"/>
                <w:lang w:val="pt-PT" w:eastAsia="en-US" w:bidi="ar-SA"/>
                <w:i/>
                <w:iCs/>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de projecto documentado, e não como validação de uma solução protésica pronta para utilização.</w:t>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rPr/>
      </w:pPr>
      <w:r>
        <w:rPr/>
        <w:t xml:space="preserve">Quanto à primeira pergunta aprovada, o </w:t>
      </w:r>
      <w:r>
        <w:rPr>
          <w:i/>
          <w:iCs/>
        </w:rPr>
        <w:t>design</w:t>
      </w:r>
      <w:r>
        <w:rPr/>
        <w:t xml:space="preserve"> paramétrico e a IA apoiaram parcialmente a personalização através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o ajuste, a acessibilidade do processo e o controlo das decisões de projecto. Não foram medidos conforto percebido, adequação anatómica individual ou desempenho funcional em utilização.</w:t>
      </w:r>
    </w:p>
    <w:p>
      <w:pPr>
        <w:pStyle w:val="TextoNormal-IPCA"/>
        <w:rPr/>
      </w:pPr>
      <w:r>
        <w:t xml:space="preserve">Quanto à segunda pergunta aprovada, a combinação de ciclos de </w:t>
      </w:r>
      <w:r>
        <w:rPr>
          <w:i/>
          <w:iCs/>
        </w:rPr>
        <w:t>Research Through Design</w:t>
      </w:r>
      <w:r>
        <w:t>,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comparação dimensional permanece descritiva e não estima a incerteza de medição; montagem completa e ensaios de utilização ficaram igualmente fora do âmbito avaliado.</w:t>
      </w:r>
    </w:p>
    <w:p>
      <w:pPr>
        <w:pStyle w:val="TextoNormal-IPCA"/>
        <w:rPr/>
      </w:pPr>
      <w:r>
        <w:rPr/>
        <w:t xml:space="preserve">Quanto à terceira pergunta aprovada, o </w:t>
      </w:r>
      <w:r>
        <w:rPr>
          <w:i/>
          <w:iCs/>
        </w:rPr>
        <w:t>design</w:t>
      </w:r>
      <w:r>
        <w:rPr/>
        <w:t xml:space="preserve">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Ajuste a pessoas concretas,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projecto: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projecto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rPr/>
      </w:pPr>
      <w:r>
        <w:t xml:space="preserve">O contributo metodológico é a documentação dos ciclos de </w:t>
      </w:r>
      <w:r>
        <w:rPr>
          <w:i/>
          <w:iCs/>
        </w:rPr>
        <w:t>Research Through Design</w:t>
      </w:r>
      <w:r>
        <w:t xml:space="preserve"> que ligam situação, artefacto, ensaio, resultado e alteração. A passagem sucessiva pela resposta numérica, geometria exportada, projecto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inspeccionada e os dez ensaios unitários disponíveis foram concluídos, mas a bateria completa no navegador não foi novamente executada no fecho da dissertação.</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t>Uma eventual extensão metrológica poderá aprofundar a comparação dimensional já realizada. As medidas de entrada, as extensões X/Y/Z das malhas e um valor físico por eixo para as palmas em PLA e PETG encontram-se registados no Anexo D. Caso um estudo futuro pretenda calcular média, amplitude e incerteza associada ao reposicionamento do paquímetro, deverá efectuar três leituras independentes por eixo. Esta extensão é opcional e não é necessária para a comparação descritiva nem para as conclusões apresentadas nesta dissertação. Os pontos usados correspondem a extremos geométricos e não são apresentados como pontos anatómicos sem demonstração da sua equivalência.</w:t>
      </w:r>
    </w:p>
    <w:p>
      <w:pPr>
        <w:pStyle w:val="TextoNormal-IPCA"/>
        <w:rPr/>
      </w:pPr>
      <w:r>
        <w:t>Uma eventual extensão orientada para a estabilidade do modelo de linguagem poderá executar cada cenário várias vezes, com registo do modelo, dos parâmetros de geração, da resposta completa, dos erros, dos campos omitidos e da taxa de cumprimento de cada regra. Esta extensão permitiria caracterizar a dispersão entre chamadas, mas não é necessária para as conclusões delimitadas apresentadas nesta dissertação. Independentemente dessa campanha, a interface deverá mostrar a fonte populacional usada, os dados em falta e avisos quando a dimensão estimada fica fora da gama do modelo escolhido. A validação do esquema JSON deverá ocorrer no servidor antes de a sugestão chegar à interface.</w:t>
      </w:r>
    </w:p>
    <w:p>
      <w:pPr>
        <w:pStyle w:val="TextoNormal-IPCA"/>
        <w:rPr/>
      </w:pPr>
      <w: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ind w:hanging="0" w:start="0"/>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multipopulacional da mão,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https://www.semanticscholar.org/paper/3532a770446eb6144ef25a6b0162d1f98b61e0ff</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https://www.mdpi.com/2673-1592/6/2/22/pdf?version=1710818539</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ind w:hanging="0" w:start="0"/>
        <w:rPr/>
      </w:pPr>
      <w:r>
        <w:rPr/>
        <w:t>Anexo A — Metodologia de extracção e codificação de dados antropométricos da mão</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119</w:t>
      </w:r>
    </w:p>
    <w:p>
      <w:pPr>
        <w:pStyle w:val="ndicedoAnexo3"/>
        <w:tabs>
          <w:tab w:val="clear" w:pos="708"/>
          <w:tab w:val="right" w:pos="8204" w:leader="dot"/>
        </w:tabs>
        <w:rPr/>
      </w:pPr>
      <w:r>
        <w:rPr/>
        <w:t>A.3.1 Critérios de inclusão</w:t>
        <w:tab/>
        <w:t>119</w:t>
      </w:r>
    </w:p>
    <w:p>
      <w:pPr>
        <w:pStyle w:val="ndicedoAnexo3"/>
        <w:tabs>
          <w:tab w:val="clear" w:pos="708"/>
          <w:tab w:val="right" w:pos="8204" w:leader="dot"/>
        </w:tabs>
        <w:rPr/>
      </w:pPr>
      <w:r>
        <w:rPr/>
        <w:t>A.3.2 Critérios de exclusão</w:t>
        <w:tab/>
        <w:t>119</w:t>
      </w:r>
    </w:p>
    <w:p>
      <w:pPr>
        <w:pStyle w:val="ndicedoAnexo2"/>
        <w:rPr/>
      </w:pPr>
      <w:r>
        <w:rPr/>
        <w:t>A.4 Processo de Extracção de Dados</w:t>
        <w:tab/>
        <w:t>119</w:t>
      </w:r>
    </w:p>
    <w:p>
      <w:pPr>
        <w:pStyle w:val="ndicedoAnexo3"/>
        <w:tabs>
          <w:tab w:val="clear" w:pos="708"/>
          <w:tab w:val="right" w:pos="8204" w:leader="dot"/>
        </w:tabs>
        <w:rPr/>
      </w:pPr>
      <w:r>
        <w:rPr/>
        <w:t>A.4.1 Leitura dos PDFs e localização das tabelas</w:t>
        <w:tab/>
        <w:t>119</w:t>
      </w:r>
    </w:p>
    <w:p>
      <w:pPr>
        <w:pStyle w:val="ndicedoAnexo3"/>
        <w:tabs>
          <w:tab w:val="clear" w:pos="708"/>
          <w:tab w:val="right" w:pos="8204" w:leader="dot"/>
        </w:tabs>
        <w:rPr/>
      </w:pPr>
      <w:r>
        <w:rPr/>
        <w:t>A.4.2 Identificação das unidades e conversão</w:t>
        <w:tab/>
        <w:t>119</w:t>
      </w:r>
    </w:p>
    <w:p>
      <w:pPr>
        <w:pStyle w:val="ndicedoAnexo3"/>
        <w:tabs>
          <w:tab w:val="clear" w:pos="708"/>
          <w:tab w:val="right" w:pos="8204" w:leader="dot"/>
        </w:tabs>
        <w:rPr/>
      </w:pPr>
      <w:r>
        <w:rPr/>
        <w:t>A.4.3 Decomposição em linhas atómicas</w:t>
        <w:tab/>
        <w:t>119</w:t>
      </w:r>
    </w:p>
    <w:p>
      <w:pPr>
        <w:pStyle w:val="ndicedoAnexo3"/>
        <w:tabs>
          <w:tab w:val="clear" w:pos="708"/>
          <w:tab w:val="right" w:pos="8204" w:leader="dot"/>
        </w:tabs>
        <w:rPr/>
      </w:pPr>
      <w:r>
        <w:rPr/>
        <w:t>A.4.4 Registo fiel do contexto da medição</w:t>
        <w:tab/>
        <w:t>119</w:t>
      </w:r>
    </w:p>
    <w:p>
      <w:pPr>
        <w:pStyle w:val="ndicedoAnexo2"/>
        <w:rPr/>
      </w:pPr>
      <w:r>
        <w:rPr/>
        <w:t>A.5 Decisões por Estudo</w:t>
        <w:tab/>
        <w:t>119</w:t>
      </w:r>
    </w:p>
    <w:p>
      <w:pPr>
        <w:pStyle w:val="ndicedoAnexo3"/>
        <w:tabs>
          <w:tab w:val="clear" w:pos="708"/>
          <w:tab w:val="right" w:pos="8204" w:leader="dot"/>
        </w:tabs>
        <w:rPr/>
      </w:pPr>
      <w:r>
        <w:rPr/>
        <w:t>A.5.1 ANSUR 1988 — EUA, militares (Gordon et al., 1989)</w:t>
        <w:tab/>
        <w:t>119</w:t>
      </w:r>
    </w:p>
    <w:p>
      <w:pPr>
        <w:pStyle w:val="ndicedoAnexo3"/>
        <w:tabs>
          <w:tab w:val="clear" w:pos="708"/>
          <w:tab w:val="right" w:pos="8204" w:leader="dot"/>
        </w:tabs>
        <w:rPr/>
      </w:pPr>
      <w:r>
        <w:rPr/>
        <w:t>A.5.2 Turquia — jovens adultos (Chatzioglou et al., 2024)</w:t>
        <w:tab/>
        <w:t>119</w:t>
      </w:r>
    </w:p>
    <w:p>
      <w:pPr>
        <w:pStyle w:val="ndicedoAnexo3"/>
        <w:tabs>
          <w:tab w:val="clear" w:pos="708"/>
          <w:tab w:val="right" w:pos="8204" w:leader="dot"/>
        </w:tabs>
        <w:rPr/>
      </w:pPr>
      <w:r>
        <w:rPr/>
        <w:t>A.5.3 México — população geral (Rodríguez-Vega &amp; Rodríguez-Vega, 2024)</w:t>
        <w:tab/>
        <w:t>119</w:t>
      </w:r>
    </w:p>
    <w:p>
      <w:pPr>
        <w:pStyle w:val="ndicedoAnexo3"/>
        <w:tabs>
          <w:tab w:val="clear" w:pos="708"/>
          <w:tab w:val="right" w:pos="8204" w:leader="dot"/>
        </w:tabs>
        <w:rPr/>
      </w:pPr>
      <w:r>
        <w:rPr/>
        <w:t>A.5.4 Índia — mulheres trabalhadoras (Nag et al., 2003)</w:t>
        <w:tab/>
        <w:t>119</w:t>
      </w:r>
    </w:p>
    <w:p>
      <w:pPr>
        <w:pStyle w:val="ndicedoAnexo3"/>
        <w:tabs>
          <w:tab w:val="clear" w:pos="708"/>
          <w:tab w:val="right" w:pos="8204" w:leader="dot"/>
        </w:tabs>
        <w:rPr/>
      </w:pPr>
      <w:r>
        <w:rPr/>
        <w:t>A.5.5 Portugal — trabalhadores industriais (Anacleto Filho et al., 2023)</w:t>
        <w:tab/>
        <w:t>119</w:t>
      </w:r>
    </w:p>
    <w:p>
      <w:pPr>
        <w:pStyle w:val="ndicedoAnexo3"/>
        <w:tabs>
          <w:tab w:val="clear" w:pos="708"/>
          <w:tab w:val="right" w:pos="8204" w:leader="dot"/>
        </w:tabs>
        <w:rPr/>
      </w:pPr>
      <w:r>
        <w:rPr/>
        <w:t>A.5.6 Nigéria — atletas universitários (Ibiwari et al., 2025)</w:t>
        <w:tab/>
        <w:t>119</w:t>
      </w:r>
    </w:p>
    <w:p>
      <w:pPr>
        <w:pStyle w:val="ndicedoAnexo3"/>
        <w:tabs>
          <w:tab w:val="clear" w:pos="708"/>
          <w:tab w:val="right" w:pos="8204" w:leader="dot"/>
        </w:tabs>
        <w:rPr/>
      </w:pPr>
      <w:r>
        <w:rPr/>
        <w:t>A.5.7 Jordânia — trabalhadores com deficiência (Mistarihi, 2020)</w:t>
        <w:tab/>
        <w:t>119</w:t>
      </w:r>
    </w:p>
    <w:p>
      <w:pPr>
        <w:pStyle w:val="ndicedoAnexo3"/>
        <w:tabs>
          <w:tab w:val="clear" w:pos="708"/>
          <w:tab w:val="right" w:pos="8204" w:leader="dot"/>
        </w:tabs>
        <w:rPr/>
      </w:pPr>
      <w:r>
        <w:rPr/>
        <w:t>A.5.8 EUA — dedo indicador (Lim et al., 2018)</w:t>
        <w:tab/>
        <w:t>119</w:t>
      </w:r>
    </w:p>
    <w:p>
      <w:pPr>
        <w:pStyle w:val="ndicedoAnexo3"/>
        <w:tabs>
          <w:tab w:val="clear" w:pos="708"/>
          <w:tab w:val="right" w:pos="8204" w:leader="dot"/>
        </w:tabs>
        <w:rPr/>
      </w:pPr>
      <w:r>
        <w:rPr/>
        <w:t>A.5.9 Estudo excluído: Moreo (2016)</w:t>
        <w:tab/>
        <w:t>119</w:t>
      </w:r>
    </w:p>
    <w:p>
      <w:pPr>
        <w:pStyle w:val="ndicedoAnexo3"/>
        <w:tabs>
          <w:tab w:val="clear" w:pos="708"/>
          <w:tab w:val="right" w:pos="8204" w:leader="dot"/>
        </w:tabs>
        <w:rPr/>
      </w:pPr>
      <w:r>
        <w:rPr/>
        <w:t>A.5.10 EUA — militares ANSUR II (Gordon et al., 2015)</w:t>
        <w:tab/>
        <w:t>119</w:t>
      </w:r>
    </w:p>
    <w:p>
      <w:pPr>
        <w:pStyle w:val="ndicedoAnexo3"/>
        <w:tabs>
          <w:tab w:val="clear" w:pos="708"/>
          <w:tab w:val="right" w:pos="8204" w:leader="dot"/>
        </w:tabs>
        <w:rPr/>
      </w:pPr>
      <w:r>
        <w:rPr/>
        <w:t>A.5.11 Países Baixos — DINED (TU Delft, 1993–2004)</w:t>
        <w:tab/>
        <w:t>119</w:t>
      </w:r>
    </w:p>
    <w:p>
      <w:pPr>
        <w:pStyle w:val="ndicedoAnexo3"/>
        <w:tabs>
          <w:tab w:val="clear" w:pos="708"/>
          <w:tab w:val="right" w:pos="8204" w:leader="dot"/>
        </w:tabs>
        <w:rPr/>
      </w:pPr>
      <w:r>
        <w:rPr/>
        <w:t>A.5.12 China — idosos de Pequim (Hu et al., 2007)</w:t>
        <w:tab/>
        <w:t>119</w:t>
      </w:r>
    </w:p>
    <w:p>
      <w:pPr>
        <w:pStyle w:val="ndicedoAnexo3"/>
        <w:tabs>
          <w:tab w:val="clear" w:pos="708"/>
          <w:tab w:val="right" w:pos="8204" w:leader="dot"/>
        </w:tabs>
        <w:rPr/>
      </w:pPr>
      <w:r>
        <w:rPr/>
        <w:t>A.5.13 Estudo excluído: reconstrução corporal 3D a partir de fotografias ortogonais</w:t>
        <w:tab/>
        <w:t>119</w:t>
      </w:r>
    </w:p>
    <w:p>
      <w:pPr>
        <w:pStyle w:val="ndicedoAnexo2"/>
        <w:rPr/>
      </w:pPr>
      <w:r>
        <w:rPr/>
        <w:t>A.6 Estrutura do CSV e esquema de dados</w:t>
        <w:tab/>
        <w:t>119</w:t>
      </w:r>
    </w:p>
    <w:p>
      <w:pPr>
        <w:pStyle w:val="ndicedoAnexo3"/>
        <w:tabs>
          <w:tab w:val="clear" w:pos="708"/>
          <w:tab w:val="right" w:pos="8204" w:leader="dot"/>
        </w:tabs>
        <w:rPr/>
      </w:pPr>
      <w:r>
        <w:rPr/>
        <w:t>A.6.1 Campos</w:t>
        <w:tab/>
        <w:t>119</w:t>
      </w:r>
    </w:p>
    <w:p>
      <w:pPr>
        <w:pStyle w:val="ndicedoAnexo3"/>
        <w:tabs>
          <w:tab w:val="clear" w:pos="708"/>
          <w:tab w:val="right" w:pos="8204" w:leader="dot"/>
        </w:tabs>
        <w:rPr/>
      </w:pPr>
      <w:r>
        <w:rPr/>
        <w:t>A.6.2 Formato longo (long format)</w:t>
        <w:tab/>
        <w:t>119</w:t>
      </w:r>
    </w:p>
    <w:p>
      <w:pPr>
        <w:pStyle w:val="ndicedoAnexo2"/>
        <w:rPr/>
      </w:pPr>
      <w:r>
        <w:rPr/>
        <w:t>A.7 Controlo de Qualidade dos Dados</w:t>
        <w:tab/>
        <w:t>119</w:t>
      </w:r>
    </w:p>
    <w:p>
      <w:pPr>
        <w:pStyle w:val="ndicedoAnexo3"/>
        <w:tabs>
          <w:tab w:val="clear" w:pos="708"/>
          <w:tab w:val="right" w:pos="8204" w:leader="dot"/>
        </w:tabs>
        <w:rPr/>
      </w:pPr>
      <w:r>
        <w:rPr/>
        <w:t>A.7.1 Marcação inline de limitações</w:t>
        <w:tab/>
        <w:t>119</w:t>
      </w:r>
    </w:p>
    <w:p>
      <w:pPr>
        <w:pStyle w:val="ndicedoAnexo3"/>
        <w:tabs>
          <w:tab w:val="clear" w:pos="708"/>
          <w:tab w:val="right" w:pos="8204" w:leader="dot"/>
        </w:tabs>
        <w:rPr/>
      </w:pPr>
      <w:r>
        <w:rPr/>
        <w:t>A.7.2 Verificação de unidades</w:t>
        <w:tab/>
        <w:t>119</w:t>
      </w:r>
    </w:p>
    <w:p>
      <w:pPr>
        <w:pStyle w:val="ndicedoAnexo3"/>
        <w:tabs>
          <w:tab w:val="clear" w:pos="708"/>
          <w:tab w:val="right" w:pos="8204" w:leader="dot"/>
        </w:tabs>
        <w:rPr/>
      </w:pPr>
      <w:r>
        <w:rPr/>
        <w:t>A.7.3 Ligação à fonte</w:t>
        <w:tab/>
        <w:t>119</w:t>
      </w:r>
    </w:p>
    <w:p>
      <w:pPr>
        <w:pStyle w:val="ndicedoAnexo2"/>
        <w:rPr/>
      </w:pPr>
      <w:r>
        <w:rPr/>
        <w:t>A.8 Escrita do Código de Geração</w:t>
        <w:tab/>
        <w:t>119</w:t>
      </w:r>
    </w:p>
    <w:p>
      <w:pPr>
        <w:pStyle w:val="ndicedoAnexo3"/>
        <w:tabs>
          <w:tab w:val="clear" w:pos="708"/>
          <w:tab w:val="right" w:pos="8204" w:leader="dot"/>
        </w:tabs>
        <w:rPr/>
      </w:pPr>
      <w:r>
        <w:rPr/>
        <w:t>A.8.1 Correspondência entre os CSV e os parâmetros da plataforma</w:t>
        <w:tab/>
        <w:t>119</w:t>
      </w:r>
    </w:p>
    <w:p>
      <w:pPr>
        <w:pStyle w:val="ndicedoAnexo2"/>
        <w:rPr/>
      </w:pPr>
      <w:r>
        <w:rPr/>
        <w:t>A.9 Resultado Final</w:t>
        <w:tab/>
        <w:t>119</w:t>
      </w:r>
    </w:p>
    <w:p>
      <w:pPr>
        <w:pStyle w:val="ndicedoAnexo2"/>
        <w:rPr/>
      </w:pPr>
      <w:r>
        <w:rPr/>
        <w:t>A.10 Cobertura Global da Base de Dados e Lacunas</w:t>
        <w:tab/>
        <w:t>119</w:t>
      </w:r>
    </w:p>
    <w:p>
      <w:pPr>
        <w:pStyle w:val="ndicedoAnexo3"/>
        <w:tabs>
          <w:tab w:val="clear" w:pos="708"/>
          <w:tab w:val="right" w:pos="8204" w:leader="dot"/>
        </w:tabs>
        <w:rPr/>
      </w:pPr>
      <w:r>
        <w:rPr/>
        <w:t>A.10.1 O que está coberto</w:t>
        <w:tab/>
        <w:t>119</w:t>
      </w:r>
    </w:p>
    <w:p>
      <w:pPr>
        <w:pStyle w:val="ndicedoAnexo4"/>
        <w:tabs>
          <w:tab w:val="clear" w:pos="708"/>
          <w:tab w:val="right" w:pos="8204" w:leader="dot"/>
        </w:tabs>
        <w:rPr/>
      </w:pPr>
      <w:r>
        <w:rPr/>
        <w:t>A.10.1.1 Cobertura geográfica</w:t>
        <w:tab/>
        <w:t>120</w:t>
      </w:r>
    </w:p>
    <w:p>
      <w:pPr>
        <w:pStyle w:val="ndicedoAnexo4"/>
        <w:tabs>
          <w:tab w:val="clear" w:pos="708"/>
          <w:tab w:val="right" w:pos="8204" w:leader="dot"/>
        </w:tabs>
        <w:rPr/>
      </w:pPr>
      <w:r>
        <w:rPr/>
        <w:t>A.10.1.2 Cobertura etária</w:t>
        <w:tab/>
        <w:t>120</w:t>
      </w:r>
    </w:p>
    <w:p>
      <w:pPr>
        <w:pStyle w:val="ndicedoAnexo4"/>
        <w:tabs>
          <w:tab w:val="clear" w:pos="708"/>
          <w:tab w:val="right" w:pos="8204" w:leader="dot"/>
        </w:tabs>
        <w:rPr/>
      </w:pPr>
      <w:r>
        <w:rPr/>
        <w:t>A.10.1.3 Cobertura estatística</w:t>
        <w:tab/>
        <w:t>120</w:t>
      </w:r>
    </w:p>
    <w:p>
      <w:pPr>
        <w:pStyle w:val="ndicedoAnexo3"/>
        <w:tabs>
          <w:tab w:val="clear" w:pos="708"/>
          <w:tab w:val="right" w:pos="8204" w:leader="dot"/>
        </w:tabs>
        <w:rPr/>
      </w:pPr>
      <w:r>
        <w:rPr/>
        <w:t>A.10.2 Onde a cobertura falha</w:t>
        <w:tab/>
        <w:t>120</w:t>
      </w:r>
    </w:p>
    <w:p>
      <w:pPr>
        <w:pStyle w:val="ndicedoAnexo4"/>
        <w:tabs>
          <w:tab w:val="clear" w:pos="708"/>
          <w:tab w:val="right" w:pos="8204" w:leader="dot"/>
        </w:tabs>
        <w:rPr/>
      </w:pPr>
      <w:r>
        <w:rPr/>
        <w:t>A.10.2.1 Lacunas geográficas</w:t>
        <w:tab/>
        <w:t>120</w:t>
      </w:r>
    </w:p>
    <w:p>
      <w:pPr>
        <w:pStyle w:val="ndicedoAnexo4"/>
        <w:tabs>
          <w:tab w:val="clear" w:pos="708"/>
          <w:tab w:val="right" w:pos="8204" w:leader="dot"/>
        </w:tabs>
        <w:rPr/>
      </w:pPr>
      <w:r>
        <w:rPr/>
        <w:t>A.10.2.2 Lacunas demográficas</w:t>
        <w:tab/>
        <w:t>120</w:t>
      </w:r>
    </w:p>
    <w:p>
      <w:pPr>
        <w:pStyle w:val="ndicedoAnexo4"/>
        <w:tabs>
          <w:tab w:val="clear" w:pos="708"/>
          <w:tab w:val="right" w:pos="8204" w:leader="dot"/>
        </w:tabs>
        <w:rPr/>
      </w:pPr>
      <w:r>
        <w:rPr/>
        <w:t>A.10.2.3 Limitações qualitativas dos dados existentes</w:t>
        <w:tab/>
        <w:t>120</w:t>
      </w:r>
    </w:p>
    <w:p>
      <w:pPr>
        <w:pStyle w:val="ndicedoAnexo3"/>
        <w:tabs>
          <w:tab w:val="clear" w:pos="708"/>
          <w:tab w:val="right" w:pos="8204" w:leader="dot"/>
        </w:tabs>
        <w:rPr/>
      </w:pPr>
      <w:r>
        <w:rPr/>
        <w:t>A.10.3 Frentes identificadas para expansão futura</w:t>
        <w:tab/>
        <w:t>120</w:t>
      </w:r>
    </w:p>
    <w:p>
      <w:pPr>
        <w:pStyle w:val="ndicedoAnexo4"/>
        <w:tabs>
          <w:tab w:val="clear" w:pos="708"/>
          <w:tab w:val="right" w:pos="8204" w:leader="dot"/>
        </w:tabs>
        <w:rPr/>
      </w:pPr>
      <w:r>
        <w:rPr/>
        <w:t>A.10.3.1 Prioridade alta</w:t>
        <w:tab/>
        <w:t>120</w:t>
      </w:r>
    </w:p>
    <w:p>
      <w:pPr>
        <w:pStyle w:val="ndicedoAnexo4"/>
        <w:tabs>
          <w:tab w:val="clear" w:pos="708"/>
          <w:tab w:val="right" w:pos="8204" w:leader="dot"/>
        </w:tabs>
        <w:rPr/>
      </w:pPr>
      <w:r>
        <w:rPr/>
        <w:t>A.10.3.2 Prioridade média</w:t>
        <w:tab/>
        <w:t>120</w:t>
      </w:r>
    </w:p>
    <w:p>
      <w:pPr>
        <w:pStyle w:val="ndicedoAnexo4"/>
        <w:tabs>
          <w:tab w:val="clear" w:pos="708"/>
          <w:tab w:val="right" w:pos="8204" w:leader="dot"/>
        </w:tabs>
        <w:rPr/>
      </w:pPr>
      <w:r>
        <w:rPr/>
        <w:t>A.10.3.3 Pertinência directa para o tema da tese</w:t>
        <w:tab/>
        <w:t>120</w:t>
      </w:r>
    </w:p>
    <w:p>
      <w:pPr>
        <w:pStyle w:val="Heading3"/>
        <w:numPr>
          <w:ilvl w:val="0"/>
          <w:numId w:val="0"/>
        </w:numPr>
        <w:ind w:hanging="0" w:start="0"/>
        <w:rPr/>
      </w:pPr>
      <w:r>
        <w:rPr/>
        <w:t>A.1 Contexto e Objectivo</w:t>
      </w:r>
    </w:p>
    <w:p>
      <w:pPr>
        <w:pStyle w:val="TextoNormal-IPCA"/>
        <w:rPr/>
      </w:pPr>
      <w:r>
        <w:rP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multipopulacional da mão — 1.790 linhas de dados,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w:t>
      </w:r>
      <w:r>
        <w:rPr>
          <w:i/>
          <w:iCs/>
        </w:rPr>
        <w:t>long format</w:t>
      </w:r>
      <w:r>
        <w:rPr/>
        <w: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é documentado de forma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kern w:val="0"/>
                <w:szCs w:val="24"/>
                <w:lang w:val="pt-PT" w:eastAsia="en-US" w:bidi="ar-SA"/>
                <w:i/>
                <w:iCs/>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kern w:val="0"/>
                <w:szCs w:val="24"/>
                <w:lang w:val="pt-PT" w:eastAsia="en-US" w:bidi="ar-SA"/>
                <w:i/>
                <w:iCs/>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kern w:val="0"/>
                <w:szCs w:val="24"/>
                <w:lang w:val="pt-PT" w:eastAsia="en-US" w:bidi="ar-SA"/>
                <w:i/>
                <w:iCs/>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multipopulacional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Base multipopulacional da mão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multipopulacional da mão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base multipopulacional da mão foi construída para reunir diferenças antropométricas da mão em várias dimensões geográficas, demográficas, etárias e estatísticas.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xml:space="preserve">- Ásia Oriental — China tem uma única fonte (n=108, apenas idosos de Pequim). Japão e Coreia do Sul estão completamente ausentes, apesar de serem países com literatura ergonómica activa. O conjunto ANSUR é amplamente usado como </w:t>
      </w:r>
      <w:r>
        <w:rPr>
          <w:i/>
          <w:iCs/>
        </w:rPr>
        <w:t>proxy</w:t>
      </w:r>
      <w:r>
        <w:rPr/>
        <w:t xml:space="preserve">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ind w:hanging="0" w:start="0"/>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134</w:t>
      </w:r>
    </w:p>
    <w:p>
      <w:pPr>
        <w:pStyle w:val="ndicedoAnexo3"/>
        <w:tabs>
          <w:tab w:val="clear" w:pos="708"/>
          <w:tab w:val="right" w:pos="8204" w:leader="dot"/>
        </w:tabs>
        <w:rPr/>
      </w:pPr>
      <w:r>
        <w:rPr/>
        <w:t>B.4.1 Repetição da mesma configuração</w:t>
        <w:tab/>
        <w:t>134</w:t>
      </w:r>
    </w:p>
    <w:p>
      <w:pPr>
        <w:pStyle w:val="ndicedoAnexo3"/>
        <w:tabs>
          <w:tab w:val="clear" w:pos="708"/>
          <w:tab w:val="right" w:pos="8204" w:leader="dot"/>
        </w:tabs>
        <w:rPr/>
      </w:pPr>
      <w:r>
        <w:rPr/>
        <w:t>B.4.2 Comparação entre navegadores</w:t>
        <w:tab/>
        <w:t>134</w:t>
      </w:r>
    </w:p>
    <w:p>
      <w:pPr>
        <w:pStyle w:val="ndicedoAnexo2"/>
        <w:rPr/>
      </w:pPr>
      <w:r>
        <w:rPr/>
        <w:t>B.5 Resultados de recuperação e controlo</w:t>
        <w:tab/>
        <w:t>134</w:t>
      </w:r>
    </w:p>
    <w:p>
      <w:pPr>
        <w:pStyle w:val="ndicedoAnexo2"/>
        <w:rPr/>
      </w:pPr>
      <w:r>
        <w:rPr/>
        <w:t>B.6 Resultados da verificação automática de acessibilidade digital</w:t>
        <w:tab/>
        <w:t>134</w:t>
      </w:r>
    </w:p>
    <w:p>
      <w:pPr>
        <w:pStyle w:val="ndicedoAnexo3"/>
        <w:tabs>
          <w:tab w:val="clear" w:pos="708"/>
          <w:tab w:val="right" w:pos="8204" w:leader="dot"/>
        </w:tabs>
        <w:rPr/>
      </w:pPr>
      <w:r>
        <w:rPr/>
        <w:t>B.6.1 Percurso local autenticado</w:t>
        <w:tab/>
        <w:t>134</w:t>
      </w:r>
    </w:p>
    <w:p>
      <w:pPr>
        <w:pStyle w:val="ndicedoAnexo3"/>
        <w:tabs>
          <w:tab w:val="clear" w:pos="708"/>
          <w:tab w:val="right" w:pos="8204" w:leader="dot"/>
        </w:tabs>
        <w:rPr/>
      </w:pPr>
      <w:r>
        <w:rPr/>
        <w:t>B.6.2 Superfície pública</w:t>
        <w:tab/>
        <w:t>134</w:t>
      </w:r>
    </w:p>
    <w:p>
      <w:pPr>
        <w:pStyle w:val="ndicedoAnexo3"/>
        <w:tabs>
          <w:tab w:val="clear" w:pos="708"/>
          <w:tab w:val="right" w:pos="8204" w:leader="dot"/>
        </w:tabs>
        <w:rPr/>
      </w:pPr>
      <w:r>
        <w:rPr/>
        <w:t>B.6.3 Verificação manual pendente</w:t>
        <w:tab/>
        <w:t>134</w:t>
      </w:r>
    </w:p>
    <w:p>
      <w:pPr>
        <w:pStyle w:val="ndicedoAnexo2"/>
        <w:rPr/>
      </w:pPr>
      <w:r>
        <w:rPr/>
        <w:t>B.7 Aprendizagens para o Design Industrial</w:t>
        <w:tab/>
        <w:t>134</w:t>
      </w:r>
    </w:p>
    <w:p>
      <w:pPr>
        <w:pStyle w:val="ndicedoAnexo2"/>
        <w:rPr/>
      </w:pPr>
      <w:r>
        <w:rPr/>
        <w:t>B.8 Conclusão</w:t>
        <w:tab/>
        <w:t>134</w:t>
      </w:r>
    </w:p>
    <w:p>
      <w:pPr>
        <w:pStyle w:val="ndicedoAnexo2"/>
        <w:rPr/>
      </w:pPr>
      <w:r>
        <w:rPr/>
        <w:t>B.9 Ficha técnica e proveniência das evidências</w:t>
        <w:tab/>
        <w:t>134</w:t>
      </w:r>
    </w:p>
    <w:p>
      <w:pPr>
        <w:pStyle w:val="ndicedoAnexo2"/>
        <w:rPr/>
      </w:pPr>
      <w:r>
        <w:rPr/>
        <w:t>B.10 Referências normativas</w:t>
        <w:tab/>
        <w:t>134</w:t>
      </w:r>
    </w:p>
    <w:p>
      <w:pPr>
        <w:pStyle w:val="ndicedoAnexo2"/>
        <w:rPr/>
      </w:pPr>
      <w:r>
        <w:rPr/>
        <w:t>Tabela B.1 — Resultados da repetição da mesma configuração por modelo</w:t>
        <w:tab/>
        <w:t>134</w:t>
      </w:r>
    </w:p>
    <w:p>
      <w:pPr>
        <w:pStyle w:val="ndicedoAnexo2"/>
        <w:rPr/>
      </w:pPr>
      <w:r>
        <w:rPr/>
        <w:t>Tabela B.2 — Resultados do percurso examinado em três navegadores</w:t>
        <w:tab/>
        <w:t>134</w:t>
      </w:r>
    </w:p>
    <w:p>
      <w:pPr>
        <w:pStyle w:val="ndicedoAnexo2"/>
        <w:rPr/>
      </w:pPr>
      <w:r>
        <w:rPr/>
        <w:t>Tabela B.3 — Comportamento observado perante limites, entradas inválidas e falhas previstas</w:t>
        <w:tab/>
        <w:t>134</w:t>
      </w:r>
    </w:p>
    <w:p>
      <w:pPr>
        <w:pStyle w:val="ndicedoAnexo2"/>
        <w:rPr/>
      </w:pPr>
      <w:r>
        <w:rPr/>
        <w:t>Tabela B.4 — Categorias de problemas de acessibilidade digital detectadas automaticamente</w:t>
        <w:tab/>
        <w:t>134</w:t>
      </w:r>
    </w:p>
    <w:p>
      <w:pPr>
        <w:pStyle w:val="ndicedoAnexo2"/>
        <w:rPr/>
      </w:pPr>
      <w:r>
        <w:rPr/>
        <w:t>Tabela B.5 — Identificação das séries complementares de avaliação da plataforma</w:t>
        <w:tab/>
        <w:t>134</w:t>
      </w:r>
      <w:r>
        <w:br w:type="page"/>
      </w:r>
    </w:p>
    <w:p>
      <w:pPr>
        <w:pStyle w:val="TextoNormal-IPCA"/>
        <w:rPr/>
      </w:pPr>
      <w:r>
        <w:rPr>
          <w:b/>
        </w:rPr>
        <w:t>Data das séries de ensaios: 13 e 14 de Julho de 2026</w:t>
      </w:r>
    </w:p>
    <w:p>
      <w:pPr>
        <w:pStyle w:val="TextoNormal-IPCA"/>
        <w:rPr/>
      </w:pPr>
      <w:r>
        <w:rPr>
          <w:b/>
        </w:rPr>
        <w:t>Estado avaliado: HandFab durante a série complementar</w:t>
      </w:r>
      <w:r>
        <w:rPr/>
        <w:t xml:space="preserve"/>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actividade de projecto,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 xml:space="preserve">Por conseguinte, este anexo não avalia conforto, ajuste anatómico individual, eficácia protésica, segurança, durabilidade, aprendizagem, satisfação ou uso quotidiano. Também não constitui declaração de conformidade com as </w:t>
      </w:r>
      <w:r>
        <w:rPr>
          <w:i/>
          <w:iCs/>
        </w:rPr>
        <w:t>Web Content Accessibility Guidelines</w:t>
      </w:r>
      <w:r>
        <w:rPr/>
        <w:t xml:space="preserve">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valores abaixo e acima dos limites, campos obrigatórios ausentes, texto num campo numérico, contradição entre idade e descrição, país sem correspondência directa na base, perfil inferior ao limite de um modelo,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kern w:val="0"/>
                <w:sz w:val="16"/>
                <w:szCs w:val="16"/>
                <w:lang w:val="pt-PT" w:eastAsia="en-US" w:bidi="ar-SA"/>
                <w:i/>
                <w:iCs/>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de projecto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kern w:val="0"/>
                <w:sz w:val="16"/>
                <w:szCs w:val="16"/>
                <w:lang w:val="pt-PT" w:eastAsia="en-US" w:bidi="ar-SA"/>
                <w:i/>
                <w:iCs/>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 xml:space="preserve">B.7 Aprendizagens para o </w:t>
      </w:r>
      <w:r>
        <w:rPr>
          <w:i/>
          <w:iCs/>
        </w:rPr>
        <w:t>Design</w:t>
      </w:r>
      <w:r>
        <w:rPr/>
        <w:t xml:space="preserve">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de projecto.</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ao estado da plataforma usado na avaliação complementar.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ind w:hanging="0" w:start="0"/>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140</w:t>
      </w:r>
    </w:p>
    <w:p>
      <w:pPr>
        <w:pStyle w:val="ndicedoAnexo2"/>
        <w:rPr/>
      </w:pPr>
      <w:r>
        <w:rPr/>
        <w:t>C.2 Princípio comum de adaptação</w:t>
        <w:tab/>
        <w:t>140</w:t>
      </w:r>
    </w:p>
    <w:p>
      <w:pPr>
        <w:pStyle w:val="ndicedoAnexo3"/>
        <w:tabs>
          <w:tab w:val="clear" w:pos="708"/>
          <w:tab w:val="right" w:pos="8204" w:leader="dot"/>
        </w:tabs>
        <w:rPr/>
      </w:pPr>
      <w:r>
        <w:rPr/>
        <w:t>C.2.1 Campos antropométricos comuns</w:t>
        <w:tab/>
        <w:t>140</w:t>
      </w:r>
    </w:p>
    <w:p>
      <w:pPr>
        <w:pStyle w:val="ndicedoAnexo3"/>
        <w:tabs>
          <w:tab w:val="clear" w:pos="708"/>
          <w:tab w:val="right" w:pos="8204" w:leader="dot"/>
        </w:tabs>
        <w:rPr/>
      </w:pPr>
      <w:r>
        <w:rPr/>
        <w:t>C.2.2 Tipos de parâmetros</w:t>
        <w:tab/>
        <w:t>140</w:t>
      </w:r>
    </w:p>
    <w:p>
      <w:pPr>
        <w:pStyle w:val="ndicedoAnexo3"/>
        <w:tabs>
          <w:tab w:val="clear" w:pos="708"/>
          <w:tab w:val="right" w:pos="8204" w:leader="dot"/>
        </w:tabs>
        <w:rPr/>
      </w:pPr>
      <w:r>
        <w:rPr/>
        <w:t>C.2.3 Coerência dos controlos no estado final examinado</w:t>
        <w:tab/>
        <w:t>140</w:t>
      </w:r>
    </w:p>
    <w:p>
      <w:pPr>
        <w:pStyle w:val="ndicedoAnexo2"/>
        <w:rPr/>
      </w:pPr>
      <w:r>
        <w:rPr/>
        <w:t>C.3 Flexy Beast</w:t>
        <w:tab/>
        <w:t>140</w:t>
      </w:r>
    </w:p>
    <w:p>
      <w:pPr>
        <w:pStyle w:val="ndicedoAnexo3"/>
        <w:tabs>
          <w:tab w:val="clear" w:pos="708"/>
          <w:tab w:val="right" w:pos="8204" w:leader="dot"/>
        </w:tabs>
        <w:rPr/>
      </w:pPr>
      <w:r>
        <w:rPr/>
        <w:t>C.3.1 Origem e estratégia de adaptação</w:t>
        <w:tab/>
        <w:t>140</w:t>
      </w:r>
    </w:p>
    <w:p>
      <w:pPr>
        <w:pStyle w:val="ndicedoAnexo3"/>
        <w:tabs>
          <w:tab w:val="clear" w:pos="708"/>
          <w:tab w:val="right" w:pos="8204" w:leader="dot"/>
        </w:tabs>
        <w:rPr/>
      </w:pPr>
      <w:r>
        <w:rPr/>
        <w:t>C.3.2 Entradas, limites e relações</w:t>
        <w:tab/>
        <w:t>140</w:t>
      </w:r>
    </w:p>
    <w:p>
      <w:pPr>
        <w:pStyle w:val="ndicedoAnexo3"/>
        <w:tabs>
          <w:tab w:val="clear" w:pos="708"/>
          <w:tab w:val="right" w:pos="8204" w:leader="dot"/>
        </w:tabs>
        <w:rPr/>
      </w:pPr>
      <w:r>
        <w:rPr/>
        <w:t>C.3.3 Braçadeira e interfaces confirmáveis</w:t>
        <w:tab/>
        <w:t>140</w:t>
      </w:r>
    </w:p>
    <w:p>
      <w:pPr>
        <w:pStyle w:val="ndicedoAnexo3"/>
        <w:tabs>
          <w:tab w:val="clear" w:pos="708"/>
          <w:tab w:val="right" w:pos="8204" w:leader="dot"/>
        </w:tabs>
        <w:rPr/>
      </w:pPr>
      <w:r>
        <w:rPr/>
        <w:t>C.3.4 Exemplo de propagação já preservado</w:t>
        <w:tab/>
        <w:t>140</w:t>
      </w:r>
    </w:p>
    <w:p>
      <w:pPr>
        <w:pStyle w:val="ndicedoAnexo3"/>
        <w:tabs>
          <w:tab w:val="clear" w:pos="708"/>
          <w:tab w:val="right" w:pos="8204" w:leader="dot"/>
        </w:tabs>
        <w:rPr/>
      </w:pPr>
      <w:r>
        <w:rPr/>
        <w:t>C.3.5 Limitações específicas</w:t>
        <w:tab/>
        <w:t>140</w:t>
      </w:r>
    </w:p>
    <w:p>
      <w:pPr>
        <w:pStyle w:val="ndicedoAnexo2"/>
        <w:rPr/>
      </w:pPr>
      <w:r>
        <w:rPr/>
        <w:t>C.4 Cyborg Beast</w:t>
        <w:tab/>
        <w:t>140</w:t>
      </w:r>
    </w:p>
    <w:p>
      <w:pPr>
        <w:pStyle w:val="ndicedoAnexo3"/>
        <w:tabs>
          <w:tab w:val="clear" w:pos="708"/>
          <w:tab w:val="right" w:pos="8204" w:leader="dot"/>
        </w:tabs>
        <w:rPr/>
      </w:pPr>
      <w:r>
        <w:rPr/>
        <w:t>C.4.1 Origem e estratégia de adaptação</w:t>
        <w:tab/>
        <w:t>140</w:t>
      </w:r>
    </w:p>
    <w:p>
      <w:pPr>
        <w:pStyle w:val="ndicedoAnexo3"/>
        <w:tabs>
          <w:tab w:val="clear" w:pos="708"/>
          <w:tab w:val="right" w:pos="8204" w:leader="dot"/>
        </w:tabs>
        <w:rPr/>
      </w:pPr>
      <w:r>
        <w:rPr/>
        <w:t>C.4.2 Entradas e escala da mão</w:t>
        <w:tab/>
        <w:t>140</w:t>
      </w:r>
    </w:p>
    <w:p>
      <w:pPr>
        <w:pStyle w:val="ndicedoAnexo3"/>
        <w:tabs>
          <w:tab w:val="clear" w:pos="708"/>
          <w:tab w:val="right" w:pos="8204" w:leader="dot"/>
        </w:tabs>
        <w:rPr/>
      </w:pPr>
      <w:r>
        <w:rPr/>
        <w:t>C.4.3 Divisão proximal–distal</w:t>
        <w:tab/>
        <w:t>140</w:t>
      </w:r>
    </w:p>
    <w:p>
      <w:pPr>
        <w:pStyle w:val="ndicedoAnexo3"/>
        <w:tabs>
          <w:tab w:val="clear" w:pos="708"/>
          <w:tab w:val="right" w:pos="8204" w:leader="dot"/>
        </w:tabs>
        <w:rPr/>
      </w:pPr>
      <w:r>
        <w:rPr/>
        <w:t>C.4.4 Braçadeira, folgas e parâmetros fixos</w:t>
        <w:tab/>
        <w:t>140</w:t>
      </w:r>
    </w:p>
    <w:p>
      <w:pPr>
        <w:pStyle w:val="ndicedoAnexo3"/>
        <w:tabs>
          <w:tab w:val="clear" w:pos="708"/>
          <w:tab w:val="right" w:pos="8204" w:leader="dot"/>
        </w:tabs>
        <w:rPr/>
      </w:pPr>
      <w:r>
        <w:rPr/>
        <w:t>C.4.5 Exemplo de propagação</w:t>
        <w:tab/>
        <w:t>140</w:t>
      </w:r>
    </w:p>
    <w:p>
      <w:pPr>
        <w:pStyle w:val="ndicedoAnexo3"/>
        <w:tabs>
          <w:tab w:val="clear" w:pos="708"/>
          <w:tab w:val="right" w:pos="8204" w:leader="dot"/>
        </w:tabs>
        <w:rPr/>
      </w:pPr>
      <w:r>
        <w:rPr/>
        <w:t>C.4.6 Limitações específicas</w:t>
        <w:tab/>
        <w:t>140</w:t>
      </w:r>
    </w:p>
    <w:p>
      <w:pPr>
        <w:pStyle w:val="ndicedoAnexo2"/>
        <w:rPr/>
      </w:pPr>
      <w:r>
        <w:rPr/>
        <w:t>C.5 Paraglider Hand</w:t>
        <w:tab/>
        <w:t>140</w:t>
      </w:r>
    </w:p>
    <w:p>
      <w:pPr>
        <w:pStyle w:val="ndicedoAnexo3"/>
        <w:tabs>
          <w:tab w:val="clear" w:pos="708"/>
          <w:tab w:val="right" w:pos="8204" w:leader="dot"/>
        </w:tabs>
        <w:rPr/>
      </w:pPr>
      <w:r>
        <w:rPr/>
        <w:t>C.5.1 Origem e estratégia de adaptação</w:t>
        <w:tab/>
        <w:t>140</w:t>
      </w:r>
    </w:p>
    <w:p>
      <w:pPr>
        <w:pStyle w:val="ndicedoAnexo3"/>
        <w:tabs>
          <w:tab w:val="clear" w:pos="708"/>
          <w:tab w:val="right" w:pos="8204" w:leader="dot"/>
        </w:tabs>
        <w:rPr/>
      </w:pPr>
      <w:r>
        <w:rPr/>
        <w:t>C.5.2 Relações implementadas</w:t>
        <w:tab/>
        <w:t>140</w:t>
      </w:r>
    </w:p>
    <w:p>
      <w:pPr>
        <w:pStyle w:val="ndicedoAnexo3"/>
        <w:tabs>
          <w:tab w:val="clear" w:pos="708"/>
          <w:tab w:val="right" w:pos="8204" w:leader="dot"/>
        </w:tabs>
        <w:rPr/>
      </w:pPr>
      <w:r>
        <w:rPr/>
        <w:t>C.5.3 Hardware e limites confirmáveis</w:t>
        <w:tab/>
        <w:t>140</w:t>
      </w:r>
    </w:p>
    <w:p>
      <w:pPr>
        <w:pStyle w:val="ndicedoAnexo3"/>
        <w:tabs>
          <w:tab w:val="clear" w:pos="708"/>
          <w:tab w:val="right" w:pos="8204" w:leader="dot"/>
        </w:tabs>
        <w:rPr/>
      </w:pPr>
      <w:r>
        <w:rPr/>
        <w:t>C.5.4 Exemplo de propagação</w:t>
        <w:tab/>
        <w:t>140</w:t>
      </w:r>
    </w:p>
    <w:p>
      <w:pPr>
        <w:pStyle w:val="ndicedoAnexo3"/>
        <w:tabs>
          <w:tab w:val="clear" w:pos="708"/>
          <w:tab w:val="right" w:pos="8204" w:leader="dot"/>
        </w:tabs>
        <w:rPr/>
      </w:pPr>
      <w:r>
        <w:rPr/>
        <w:t>C.5.5 Limitações específicas</w:t>
        <w:tab/>
        <w:t>140</w:t>
      </w:r>
    </w:p>
    <w:p>
      <w:pPr>
        <w:pStyle w:val="ndicedoAnexo2"/>
        <w:rPr/>
      </w:pPr>
      <w:r>
        <w:rPr/>
        <w:t>C.6 UnLimbited Phoenix Hand</w:t>
        <w:tab/>
        <w:t>140</w:t>
      </w:r>
    </w:p>
    <w:p>
      <w:pPr>
        <w:pStyle w:val="ndicedoAnexo3"/>
        <w:tabs>
          <w:tab w:val="clear" w:pos="708"/>
          <w:tab w:val="right" w:pos="8204" w:leader="dot"/>
        </w:tabs>
        <w:rPr/>
      </w:pPr>
      <w:r>
        <w:rPr/>
        <w:t>C.6.1 Origem e estratégia de adaptação</w:t>
        <w:tab/>
        <w:t>140</w:t>
      </w:r>
    </w:p>
    <w:p>
      <w:pPr>
        <w:pStyle w:val="ndicedoAnexo3"/>
        <w:tabs>
          <w:tab w:val="clear" w:pos="708"/>
          <w:tab w:val="right" w:pos="8204" w:leader="dot"/>
        </w:tabs>
        <w:rPr/>
      </w:pPr>
      <w:r>
        <w:rPr/>
        <w:t>C.6.2 Escala global e limite dimensional mínimo</w:t>
        <w:tab/>
        <w:t>140</w:t>
      </w:r>
    </w:p>
    <w:p>
      <w:pPr>
        <w:pStyle w:val="ndicedoAnexo3"/>
        <w:tabs>
          <w:tab w:val="clear" w:pos="708"/>
          <w:tab w:val="right" w:pos="8204" w:leader="dot"/>
        </w:tabs>
        <w:rPr/>
      </w:pPr>
      <w:r>
        <w:rPr/>
        <w:t>C.6.3 Comprimentos digitais e preservação dos furos</w:t>
        <w:tab/>
        <w:t>140</w:t>
      </w:r>
    </w:p>
    <w:p>
      <w:pPr>
        <w:pStyle w:val="ndicedoAnexo3"/>
        <w:tabs>
          <w:tab w:val="clear" w:pos="708"/>
          <w:tab w:val="right" w:pos="8204" w:leader="dot"/>
        </w:tabs>
        <w:rPr/>
      </w:pPr>
      <w:r>
        <w:rPr/>
        <w:t>C.6.4 Dependência entre comprimento digital e escala global</w:t>
        <w:tab/>
        <w:t>140</w:t>
      </w:r>
    </w:p>
    <w:p>
      <w:pPr>
        <w:pStyle w:val="ndicedoAnexo3"/>
        <w:tabs>
          <w:tab w:val="clear" w:pos="708"/>
          <w:tab w:val="right" w:pos="8204" w:leader="dot"/>
        </w:tabs>
        <w:rPr/>
      </w:pPr>
      <w:r>
        <w:rPr/>
        <w:t>C.6.5 Exemplo de propagação</w:t>
        <w:tab/>
        <w:t>140</w:t>
      </w:r>
    </w:p>
    <w:p>
      <w:pPr>
        <w:pStyle w:val="ndicedoAnexo3"/>
        <w:tabs>
          <w:tab w:val="clear" w:pos="708"/>
          <w:tab w:val="right" w:pos="8204" w:leader="dot"/>
        </w:tabs>
        <w:rPr/>
      </w:pPr>
      <w:r>
        <w:rPr/>
        <w:t>C.6.6 Componentes fixos e tolerâncias confirmáveis</w:t>
        <w:tab/>
        <w:t>140</w:t>
      </w:r>
    </w:p>
    <w:p>
      <w:pPr>
        <w:pStyle w:val="ndicedoAnexo3"/>
        <w:tabs>
          <w:tab w:val="clear" w:pos="708"/>
          <w:tab w:val="right" w:pos="8204" w:leader="dot"/>
        </w:tabs>
        <w:rPr/>
      </w:pPr>
      <w:r>
        <w:rPr/>
        <w:t>C.6.7 Limitações específicas</w:t>
        <w:tab/>
        <w:t>140</w:t>
      </w:r>
    </w:p>
    <w:p>
      <w:pPr>
        <w:pStyle w:val="ndicedoAnexo2"/>
        <w:rPr/>
      </w:pPr>
      <w:r>
        <w:rPr/>
        <w:t>C.7 Síntese comparativa das estratégias</w:t>
        <w:tab/>
        <w:t>140</w:t>
      </w:r>
    </w:p>
    <w:p>
      <w:pPr>
        <w:pStyle w:val="ndicedoAnexo2"/>
        <w:rPr/>
      </w:pPr>
      <w:r>
        <w:rPr/>
        <w:t>C.8 Critérios de aceitação, limitação e rejeição</w:t>
        <w:tab/>
        <w:t>140</w:t>
      </w:r>
    </w:p>
    <w:p>
      <w:pPr>
        <w:pStyle w:val="ndicedoAnexo2"/>
        <w:rPr/>
      </w:pPr>
      <w:r>
        <w:rPr/>
        <w:t>C.9 Relação com o suplemento dos ensaios principais</w:t>
        <w:tab/>
        <w:t>140</w:t>
      </w:r>
    </w:p>
    <w:p>
      <w:pPr>
        <w:pStyle w:val="ndicedoAnexo2"/>
        <w:rPr/>
      </w:pPr>
      <w:r>
        <w:rPr/>
        <w:t>C.10 Limite de interpretação</w:t>
        <w:tab/>
        <w:t>140</w:t>
      </w:r>
    </w:p>
    <w:p>
      <w:pPr>
        <w:pStyle w:val="ndicedoAnexo2"/>
        <w:rPr/>
      </w:pPr>
      <w:r>
        <w:rPr/>
        <w:t>C.11 Fontes técnicas consultadas</w:t>
        <w:tab/>
        <w:t>140</w:t>
      </w:r>
    </w:p>
    <w:p>
      <w:pPr>
        <w:pStyle w:val="ndicedoAnexo2"/>
        <w:rPr/>
      </w:pPr>
      <w:r>
        <w:rPr/>
        <w:t>C.12 Verificações executadas</w:t>
        <w:tab/>
        <w:t>140</w:t>
      </w:r>
    </w:p>
    <w:p>
      <w:pPr>
        <w:pStyle w:val="ndicedoAnexo2"/>
        <w:rPr/>
      </w:pPr>
      <w:r>
        <w:rPr/>
        <w:t>Tabela C.1 — Correspondência entre medidas normalizadas e parâmetros dos modelos</w:t>
        <w:tab/>
        <w:t>140</w:t>
      </w:r>
    </w:p>
    <w:p>
      <w:pPr>
        <w:pStyle w:val="ndicedoAnexo2"/>
        <w:rPr/>
      </w:pPr>
      <w:r>
        <w:rPr/>
        <w:t>Tabela C.2 — Parâmetros numéricos do Flexy Beast com efeito dimensional</w:t>
        <w:tab/>
        <w:t>141</w:t>
      </w:r>
    </w:p>
    <w:p>
      <w:pPr>
        <w:pStyle w:val="ndicedoAnexo2"/>
        <w:rPr/>
      </w:pPr>
      <w:r>
        <w:rPr/>
        <w:t>Tabela C.3 — Relações dimensionais do Paraglider Hand</w:t>
        <w:tab/>
        <w:t>141</w:t>
      </w:r>
    </w:p>
    <w:p>
      <w:pPr>
        <w:pStyle w:val="ndicedoAnexo2"/>
        <w:rPr/>
      </w:pPr>
      <w:r>
        <w:rPr/>
        <w:t>Tabela C.4 — Comparação das adaptações e excepções de escala</w:t>
        <w:tab/>
        <w:t>141</w:t>
      </w:r>
      <w:r>
        <w:br w:type="page"/>
      </w:r>
    </w:p>
    <w:p>
      <w:pPr>
        <w:pStyle w:val="Heading2"/>
        <w:numPr>
          <w:ilvl w:val="0"/>
          <w:numId w:val="0"/>
        </w:numPr>
        <w:ind w:hanging="0" w:start="0"/>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O estado final examinado corresponde a 14 de Julho de 2026. Uma revisão imediatamente anterior integrou a braçadeira revista do Flexy Beast e alterou o dicionário usado nos ensaios principais: os antigos parâmetros de largura, comprimento e parede da braçadeira foram substituídos por circunferência do punho, inclinação, multiplicador de comprimento e furos de correia. O estado final examinado uniformizou a organização dos grupos e os nomes dos controlos equivalentes, sem modificar as relações geométricas descritas neste anexo.</w:t>
      </w:r>
    </w:p>
    <w:p>
      <w:pPr>
        <w:pStyle w:val="TextoNormal-IPCA"/>
        <w:rPr/>
      </w:pPr>
      <w:r>
        <w:rPr/>
        <w:t>O modelo de desenvolvimento pec Phoenix hand não integra este anexo. Embora tenha sido desenvolvido no âmbito do projecto, não pertence ao conjunto de quatro modelos registados que sustenta a comparação principal da dissertação.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58"/>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através de 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no contrato entre configuração e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dos ensaios principais.</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declarada no contrato de parâmetros.</w:t>
      </w:r>
    </w:p>
    <w:p>
      <w:pPr>
        <w:pStyle w:val="Heading3"/>
        <w:numPr>
          <w:ilvl w:val="0"/>
          <w:numId w:val="0"/>
        </w:numPr>
        <w:ind w:hanging="0" w:start="0"/>
        <w:rPr/>
      </w:pPr>
      <w:r>
        <w:rPr/>
        <w:t xml:space="preserve">C.5.3 </w:t>
      </w:r>
      <w:r>
        <w:rPr>
          <w:i/>
          <w:iCs/>
        </w:rPr>
        <w:t>Hardware</w:t>
      </w:r>
      <w:r>
        <w:rPr/>
        <w:t xml:space="preserv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 xml:space="preserve">Estes valores são constantes ou opções de </w:t>
      </w:r>
      <w:r>
        <w:rPr>
          <w:i/>
          <w:iCs/>
        </w:rPr>
        <w:t>hardware</w:t>
      </w:r>
      <w:r>
        <w:rPr/>
        <w:t>.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limite dimensional mínimo</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limite mínimo de 100% e ao limite máximo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dentro dos intervalos declarados. Deve ser marcada como limitada quando uma entrada é fixada no limite mínimo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dos ensaios principais</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 xml:space="preserve">Depois desse estado, a braçadeira do Flexy Beast mudou de contrato paramétrico.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final examinado.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dos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59"/>
          <w:headerReference w:type="default" r:id="rId60"/>
          <w:headerReference w:type="first" r:id="rId61"/>
          <w:footerReference w:type="even" r:id="rId62"/>
          <w:footerReference w:type="default" r:id="rId63"/>
          <w:footerReference w:type="first" r:id="rId64"/>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ind w:hanging="0" w:start="0"/>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155</w:t>
      </w:r>
    </w:p>
    <w:p>
      <w:pPr>
        <w:pStyle w:val="ndicedoAnexo3"/>
        <w:tabs>
          <w:tab w:val="clear" w:pos="708"/>
          <w:tab w:val="right" w:pos="8204" w:leader="dot"/>
        </w:tabs>
        <w:rPr/>
      </w:pPr>
      <w:r>
        <w:rPr/>
        <w:t>D.3.1 Série A — projectos de preparação digital para impressão 3D com configuração analisada</w:t>
        <w:tab/>
        <w:t>155</w:t>
      </w:r>
    </w:p>
    <w:p>
      <w:pPr>
        <w:pStyle w:val="ndicedoAnexo3"/>
        <w:tabs>
          <w:tab w:val="clear" w:pos="708"/>
          <w:tab w:val="right" w:pos="8204" w:leader="dot"/>
        </w:tabs>
        <w:rPr/>
      </w:pPr>
      <w:r>
        <w:rPr/>
        <w:t>D.3.2 Série B — comparação digital controlada</w:t>
        <w:tab/>
        <w:t>155</w:t>
      </w:r>
    </w:p>
    <w:p>
      <w:pPr>
        <w:pStyle w:val="ndicedoAnexo2"/>
        <w:rPr/>
      </w:pPr>
      <w:r>
        <w:rPr/>
        <w:t>D.4 Resultados</w:t>
        <w:tab/>
        <w:t>155</w:t>
      </w:r>
    </w:p>
    <w:p>
      <w:pPr>
        <w:pStyle w:val="ndicedoAnexo3"/>
        <w:tabs>
          <w:tab w:val="clear" w:pos="708"/>
          <w:tab w:val="right" w:pos="8204" w:leader="dot"/>
        </w:tabs>
        <w:rPr/>
      </w:pPr>
      <w:r>
        <w:rPr/>
        <w:t>D.4.1 Série A</w:t>
        <w:tab/>
        <w:t>155</w:t>
      </w:r>
    </w:p>
    <w:p>
      <w:pPr>
        <w:pStyle w:val="ndicedoAnexo3"/>
        <w:tabs>
          <w:tab w:val="clear" w:pos="708"/>
          <w:tab w:val="right" w:pos="8204" w:leader="dot"/>
        </w:tabs>
        <w:rPr/>
      </w:pPr>
      <w:r>
        <w:rPr/>
        <w:t>D.4.2 Série B (condição comum)</w:t>
        <w:tab/>
        <w:t>155</w:t>
      </w:r>
    </w:p>
    <w:p>
      <w:pPr>
        <w:pStyle w:val="ndicedoAnexo3"/>
        <w:tabs>
          <w:tab w:val="clear" w:pos="708"/>
          <w:tab w:val="right" w:pos="8204" w:leader="dot"/>
        </w:tabs>
        <w:rPr/>
      </w:pPr>
      <w:r>
        <w:rPr/>
        <w:t>D.4.3 Geometria — tamanho do conjunto vs tamanho da peça</w:t>
        <w:tab/>
        <w:t>155</w:t>
      </w:r>
    </w:p>
    <w:p>
      <w:pPr>
        <w:pStyle w:val="ndicedoAnexo3"/>
        <w:tabs>
          <w:tab w:val="clear" w:pos="708"/>
          <w:tab w:val="right" w:pos="8204" w:leader="dot"/>
        </w:tabs>
        <w:rPr/>
      </w:pPr>
      <w:r>
        <w:rPr/>
        <w:t>D.4.4 Comparação entre entrada, malha e peça física</w:t>
        <w:tab/>
        <w:t>155</w:t>
      </w:r>
    </w:p>
    <w:p>
      <w:pPr>
        <w:pStyle w:val="ndicedoAnexo3"/>
        <w:tabs>
          <w:tab w:val="clear" w:pos="708"/>
          <w:tab w:val="right" w:pos="8204" w:leader="dot"/>
        </w:tabs>
        <w:rPr/>
      </w:pPr>
      <w:r>
        <w:rPr/>
        <w:t>D.4.5 Registo fotográfico dos protótipos</w:t>
        <w:tab/>
        <w:t>155</w:t>
      </w:r>
    </w:p>
    <w:p>
      <w:pPr>
        <w:pStyle w:val="ndicedoAnexo2"/>
        <w:rPr/>
      </w:pPr>
      <w:r>
        <w:rPr/>
        <w:t>D.5 Compatibilidade com orientações de dimensionamento</w:t>
        <w:tab/>
        <w:t>155</w:t>
      </w:r>
    </w:p>
    <w:p>
      <w:pPr>
        <w:pStyle w:val="ndicedoAnexo2"/>
        <w:rPr/>
      </w:pPr>
      <w:r>
        <w:rPr/>
        <w:t>D.6 Limites de comparabilidade</w:t>
        <w:tab/>
        <w:t>155</w:t>
      </w:r>
    </w:p>
    <w:p>
      <w:pPr>
        <w:pStyle w:val="ndicedoAnexo2"/>
        <w:rPr/>
      </w:pPr>
      <w:r>
        <w:rPr/>
        <w:t>D.7 Campos que não puderam ser obtidos</w:t>
        <w:tab/>
        <w:t>155</w:t>
      </w:r>
    </w:p>
    <w:p>
      <w:pPr>
        <w:pStyle w:val="ndicedoAnexo2"/>
        <w:rPr/>
      </w:pPr>
      <w:r>
        <w:rPr/>
        <w:t>D.8 O que pode e não pode ser afirmado na dissertação</w:t>
        <w:tab/>
        <w:t>155</w:t>
      </w:r>
    </w:p>
    <w:p>
      <w:pPr>
        <w:pStyle w:val="ndicedoAnexo2"/>
        <w:rPr/>
      </w:pPr>
      <w:r>
        <w:rPr/>
        <w:t>Tabela D.1 — Estimativas dos projectos de preparação digital para impressão 3D com configuração analisada</w:t>
        <w:tab/>
        <w:t>155</w:t>
      </w:r>
    </w:p>
    <w:p>
      <w:pPr>
        <w:pStyle w:val="ndicedoAnexo2"/>
        <w:rPr/>
      </w:pPr>
      <w:r>
        <w:rPr/>
        <w:t>Tabela D.2 — Estimativas de preparação para impressão na condição digital comum</w:t>
        <w:tab/>
        <w:t>155</w:t>
      </w:r>
    </w:p>
    <w:p>
      <w:pPr>
        <w:pStyle w:val="ndicedoAnexo2"/>
        <w:rPr/>
      </w:pPr>
      <w:r>
        <w:rPr/>
        <w:t>Tabela D.3 — Comparação dimensional da palma no eixo X em PLA e PETG</w:t>
        <w:tab/>
        <w:t>155</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i/>
          <w:iCs/>
        </w:rPr>
        <w:t>Design</w:t>
      </w:r>
      <w:r>
        <w:rPr>
          <w:b/>
        </w:rPr>
        <w:t xml:space="preserve">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w:t>
      </w:r>
      <w:r>
        <w:rPr>
          <w:i/>
          <w:iCs/>
        </w:rPr>
        <w:t>manifold</w:t>
      </w:r>
      <w:r>
        <w:rPr/>
        <w:t>» e</w:t>
      </w:r>
    </w:p>
    <w:p>
      <w:pPr>
        <w:pStyle w:val="TextoNormal-IPCA"/>
        <w:rPr/>
      </w:pPr>
      <w:r>
        <w:rPr/>
        <w:t>«faces degeneradas» descrevem a integridade do ficheiro 3D; não são medida da robustez do objecto impresso.</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 xml:space="preserve">de perfil de processo ou de </w:t>
      </w:r>
      <w:r>
        <w:rPr>
          <w:i/>
          <w:iCs/>
        </w:rPr>
        <w:t>firmware</w:t>
      </w:r>
      <w:r>
        <w:rPr/>
        <w:t xml:space="preserv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serve para documentar os projectos tal como foram preparados, não para os comparar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w:t>
      </w:r>
      <w:r>
        <w:rPr/>
        <w:t xml:space="preserve"> representa uma impressão física nem uma recomendação de imprimibilidade.</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9"/>
        <w:gridCol w:w="1801"/>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 estas propriedades não constituem resultados experimentais desta dissertação.</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5"/>
      <w:headerReference w:type="default" r:id="rId66"/>
      <w:headerReference w:type="first" r:id="rId67"/>
      <w:footerReference w:type="even" r:id="rId68"/>
      <w:footerReference w:type="default" r:id="rId69"/>
      <w:footerReference w:type="first" r:id="rId70"/>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 w:name="Liberation Mono">
    <w:altName w:val="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153</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153</w:t>
        </w:r>
        <w:r>
          <w:rPr>
            <w:rStyle w:val="RodapCarter"/>
          </w:rPr>
          <w:fldChar w:fldCharType="end"/>
        </w:r>
      </w:p>
    </w:sdtContent>
  </w:sdt>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168</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168</w:t>
        </w:r>
        <w:r>
          <w:rPr>
            <w:rStyle w:val="RodapCarte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mirrorMargins/>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bidi w:val="0"/>
      <w:spacing w:lineRule="auto" w:line="348" w:before="0" w:after="0"/>
      <w:ind w:firstLine="340"/>
      <w:jc w:val="both"/>
    </w:pPr>
    <w:rPr>
      <w:rFonts w:ascii="Times New Roman" w:hAnsi="Times New Roman" w:cs="Times New Roman" w:eastAsia="Calibri"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basedOn w:val="DefaultParagraphFont"/>
    <w:uiPriority w:val="99"/>
    <w:semiHidden/>
    <w:unhideWhenUsed/>
    <w:qFormat/>
    <w:rsid w:val="00102e90"/>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basedOn w:val="DefaultParagraphFont"/>
    <w:uiPriority w:val="99"/>
    <w:semiHidden/>
    <w:unhideWhenUsed/>
    <w:qFormat/>
    <w:rsid w:val="00853a05"/>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bidi w:val="0"/>
      <w:spacing w:before="0" w:after="0"/>
      <w:ind w:firstLine="340"/>
      <w:jc w:val="both"/>
    </w:pPr>
    <w:rPr>
      <w:rFonts w:ascii="Times New Roman" w:hAnsi="Times New Roman" w:cs="Times New Roman" w:eastAsia="Calibri"/>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image" Target="media/image3.jpeg"/><Relationship Id="rId28" Type="http://schemas.openxmlformats.org/officeDocument/2006/relationships/image" Target="media/image4.png"/><Relationship Id="rId29" Type="http://schemas.openxmlformats.org/officeDocument/2006/relationships/image" Target="media/image5.jpe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image" Target="media/image21.png"/><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image" Target="media/image24.png"/><Relationship Id="rId49" Type="http://schemas.openxmlformats.org/officeDocument/2006/relationships/image" Target="media/image25.png"/><Relationship Id="rId50" Type="http://schemas.openxmlformats.org/officeDocument/2006/relationships/image" Target="media/image26.png"/><Relationship Id="rId51" Type="http://schemas.openxmlformats.org/officeDocument/2006/relationships/image" Target="media/image27.png"/><Relationship Id="rId52" Type="http://schemas.openxmlformats.org/officeDocument/2006/relationships/image" Target="media/image28.png"/><Relationship Id="rId53" Type="http://schemas.openxmlformats.org/officeDocument/2006/relationships/image" Target="media/image29.png"/><Relationship Id="rId54" Type="http://schemas.openxmlformats.org/officeDocument/2006/relationships/image" Target="media/image30.jpeg"/><Relationship Id="rId55" Type="http://schemas.openxmlformats.org/officeDocument/2006/relationships/image" Target="media/image31.jpeg"/><Relationship Id="rId56" Type="http://schemas.openxmlformats.org/officeDocument/2006/relationships/image" Target="media/image32.jpeg"/><Relationship Id="rId57" Type="http://schemas.openxmlformats.org/officeDocument/2006/relationships/image" Target="media/image33.png"/><Relationship Id="rId58" Type="http://schemas.openxmlformats.org/officeDocument/2006/relationships/image" Target="media/image34.png"/><Relationship Id="rId59" Type="http://schemas.openxmlformats.org/officeDocument/2006/relationships/header" Target="header1.xml"/><Relationship Id="rId60" Type="http://schemas.openxmlformats.org/officeDocument/2006/relationships/header" Target="header2.xml"/><Relationship Id="rId61" Type="http://schemas.openxmlformats.org/officeDocument/2006/relationships/header" Target="header3.xml"/><Relationship Id="rId62" Type="http://schemas.openxmlformats.org/officeDocument/2006/relationships/footer" Target="footer23.xml"/><Relationship Id="rId63" Type="http://schemas.openxmlformats.org/officeDocument/2006/relationships/footer" Target="footer24.xml"/><Relationship Id="rId64" Type="http://schemas.openxmlformats.org/officeDocument/2006/relationships/footer" Target="footer25.xml"/><Relationship Id="rId65" Type="http://schemas.openxmlformats.org/officeDocument/2006/relationships/header" Target="header4.xml"/><Relationship Id="rId66" Type="http://schemas.openxmlformats.org/officeDocument/2006/relationships/header" Target="header5.xml"/><Relationship Id="rId67" Type="http://schemas.openxmlformats.org/officeDocument/2006/relationships/header" Target="header6.xml"/><Relationship Id="rId68" Type="http://schemas.openxmlformats.org/officeDocument/2006/relationships/footer" Target="footer26.xml"/><Relationship Id="rId69" Type="http://schemas.openxmlformats.org/officeDocument/2006/relationships/footer" Target="footer27.xml"/><Relationship Id="rId70" Type="http://schemas.openxmlformats.org/officeDocument/2006/relationships/footer" Target="footer28.xml"/><Relationship Id="rId71" Type="http://schemas.openxmlformats.org/officeDocument/2006/relationships/numbering" Target="numbering.xml"/><Relationship Id="rId72" Type="http://schemas.openxmlformats.org/officeDocument/2006/relationships/fontTable" Target="fontTable.xml"/><Relationship Id="rId73" Type="http://schemas.openxmlformats.org/officeDocument/2006/relationships/settings" Target="settings.xml"/><Relationship Id="rId74" Type="http://schemas.openxmlformats.org/officeDocument/2006/relationships/theme" Target="theme/theme1.xml"/><Relationship Id="rId75" Type="http://schemas.openxmlformats.org/officeDocument/2006/relationships/glossaryDocument" Target="glossary/document.xml"/><Relationship Id="rId76"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LibreOffice/26.2.4.2$Linux_X86_64 LibreOffice_project/3346a99e6b841765b75a9b29714a5b95c6761ce3</Application>
  <AppVersion>15.0000</AppVersion>
  <Pages>190</Pages>
  <Words>63114</Words>
  <Characters>380066</Characters>
  <CharactersWithSpaces>440112</CharactersWithSpaces>
  <Paragraphs>3367</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2026-07-15T10:27:06Z</dcterms:modified>
  <cp:revision>5</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