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7.xml" ContentType="application/vnd.openxmlformats-officedocument.wordprocessingml.footer+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document.xml" ContentType="application/vnd.openxmlformats-officedocument.wordprocessingml.document.main+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Style w:val="TtulodeCapaefolhaderosto-IPCACarter"/>
        </w:rPr>
        <w:t>(folha em branco)</w:t>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 mão protésica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por cenários simulados,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w:t>
      </w:r>
      <w:r>
        <w:rPr>
          <w:i/>
          <w:iCs/>
        </w:rPr>
        <w:t>Metacarpophalangeal</w:t>
      </w:r>
      <w:r>
        <w:rPr/>
        <w:t>; articulação metacarpofalângica.</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do contrato de sugestão paramétrica</w:t>
        <w:tab/>
        <w:t>80</w:t>
      </w:r>
    </w:p>
    <w:p>
      <w:pPr>
        <w:pStyle w:val="TOC1"/>
        <w:rPr/>
      </w:pPr>
      <w:r>
        <w:rPr/>
        <w:t>Tabela 6.2 — Distribuição de tarefas entre regras, IA e supervisão humana</w:t>
        <w:tab/>
        <w:t>83</w:t>
      </w:r>
    </w:p>
    <w:p>
      <w:pPr>
        <w:pStyle w:val="TOC1"/>
        <w:rPr/>
      </w:pPr>
      <w:r>
        <w:rPr/>
        <w:t>Tabela 8.1 — Evidência técnica do funcionamento da plataforma</w:t>
        <w:tab/>
        <w:t>89</w:t>
      </w:r>
    </w:p>
    <w:p>
      <w:pPr>
        <w:pStyle w:val="TOC1"/>
        <w:rPr/>
      </w:pPr>
      <w:r>
        <w:rPr/>
        <w:t>Tabela 8.2 — Projetos de preparação digital para impressão 3D com configuração analisada</w:t>
        <w:tab/>
        <w:t>91</w:t>
      </w:r>
    </w:p>
    <w:p>
      <w:pPr>
        <w:pStyle w:val="TOC1"/>
        <w:rPr/>
      </w:pPr>
      <w:r>
        <w:rPr/>
        <w:t>Tabela 8.3 — Inspeção computacional de malhas na configuração infantil</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 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65</w:t>
      </w:r>
    </w:p>
    <w:p>
      <w:pPr>
        <w:pStyle w:val="TOC1"/>
        <w:rPr/>
      </w:pPr>
      <w:r>
        <w:rPr/>
        <w:t>Figura 5.4 — Sequência de dados e decisões desde o perfil ou descrição até à sugestão, confirmação, geração determinística e exportação.</w:t>
        <w:tab/>
        <w:t>66</w:t>
      </w:r>
    </w:p>
    <w:p>
      <w:pPr>
        <w:pStyle w:val="TOC1"/>
        <w:rPr/>
      </w:pPr>
      <w:r>
        <w:rPr/>
        <w:t>Figura 5.5 — Fluxo geral de produção personalizada de próteses a partir de digitalização, CAD adaptativo e fabrico aditivo.</w:t>
        <w:tab/>
        <w:t>68</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143</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o </w:t>
      </w:r>
      <w:r>
        <w:rPr>
          <w:i/>
          <w:iCs/>
        </w:rPr>
        <w:t>design</w:t>
      </w:r>
      <w:r>
        <w:rPr/>
        <w:t xml:space="preserve"> industrial concilia requisitos anatómicos, funcionais, ergonómicos, estéticos e simbólicos, promovendo a aceitação, a dignidade e a autonomia?</w:t>
      </w:r>
    </w:p>
    <w:p>
      <w:pPr>
        <w:pStyle w:val="TextoNormal-IPCA"/>
        <w:rPr/>
      </w:pPr>
      <w:r>
        <w:rPr/>
        <w:t>Estas perguntas conservam o conteúdo aprovado para o projeto de investigação, com uniformização ortográfica para português europeu. O seu alcance é mais amplo do que a componente empírica realizada. Por esse motivo, a dissertação distingue os mecanismos de projeto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r>
        <w:rPr>
          <w:i/>
          <w:iCs/>
        </w:rPr>
        <w:t>feedback</w:t>
      </w:r>
      <w:r>
        <w:rPr/>
        <w:t xml:space="preserve">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recorrentemente a importância do seguimento continuado, da educação do utilizador e do ajustamento iterativo do dispositivo ao longo do tempo (Bates et al., 2020; Soyer et al., 2016).</w:t>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recorrentemente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pelo Regulamento ([^2]EU) 2017/745 (MDR) - https://eur-lex.europa.eu/eli/reg/2017/745/oj/eng, que classifica os dispositivos nas Classes I, IIa, IIb e III. Dispositivos terapêuticos ativos,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 xml:space="preserve">O </w:t>
      </w:r>
      <w:r>
        <w:rPr>
          <w:i/>
          <w:iCs/>
        </w:rPr>
        <w:t>design</w:t>
      </w:r>
      <w:r>
        <w:rPr/>
        <w:t xml:space="preserve"> inclusivo representa uma mudança conceptual significativa ao deslocar o foco da deficiência enquanto atributo individual para a compreensão da deficiência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Ron Mace[^5],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ISO 62366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Somam-se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Este modelo “</w:t>
      </w:r>
      <w:r>
        <w:rPr>
          <w:i/>
          <w:iCs/>
        </w:rPr>
        <w:t>file-to-factory</w:t>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[^11].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fabrico.[^12]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mãos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ISO 7250).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t xml:space="preserve">2. A digitalização 3D por </w:t>
      </w:r>
      <w:r>
        <w:rPr>
          <w:i/>
          <w:iCs/>
        </w:rPr>
        <w:t>scanning</w:t>
      </w:r>
      <w:r>
        <w:rPr/>
        <w:t xml:space="preserve">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 xml:space="preserve">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t xml:space="preserve">Formas de IA mais relevantes para o </w:t>
      </w:r>
      <w:r>
        <w:rPr>
          <w:i/>
          <w:iCs/>
        </w:rPr>
        <w:t>design</w:t>
      </w:r>
    </w:p>
    <w:p>
      <w:pPr>
        <w:pStyle w:val="TextoNormal-IPCA"/>
        <w:rPr/>
      </w:pPr>
      <w:r>
        <w:rPr/>
        <w:t xml:space="preserve">A literatura identifica várias famílias de aplicações da IA com relevância directa para o </w:t>
      </w:r>
      <w:r>
        <w:rPr>
          <w:i/>
          <w:iCs/>
        </w:rPr>
        <w:t>design</w:t>
      </w:r>
      <w:r>
        <w:rPr/>
        <w:t>.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t xml:space="preserve">, </w:t>
      </w:r>
      <w:r>
        <w:rPr>
          <w:i/>
          <w:iCs/>
        </w:rPr>
        <w:t>serious games</w:t>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em 13 e 14 de Julho de 2026, séries automatizadas de ensaios orientadas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do projecto, sem ser incluído nas séries comparativas ou físicas. A reconstrução pec Phoenix hand permanece material de desenvolvimento e fica fora do âmbito deste capítulo. O inventário consolidado dos modelos, com origem, licença, estado de integração,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6"/>
        <w:gridCol w:w="1759"/>
        <w:gridCol w:w="1756"/>
        <w:gridCol w:w="1759"/>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40"/>
        <w:gridCol w:w="3671"/>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8"/>
        <w:gridCol w:w="2028"/>
        <w:gridCol w:w="2704"/>
        <w:gridCol w:w="2657"/>
      </w:tblGrid>
      <w:tr>
        <w:trPr>
          <w:tblHeader w:val="true"/>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ao estado da plataforma usado nos ensaios principais.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2"/>
        <w:gridCol w:w="3525"/>
        <w:gridCol w:w="3960"/>
      </w:tblGrid>
      <w:tr>
        <w:trPr>
          <w:tblHeader w:val="true"/>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nos intervalos; sem limitação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com base em episódios em que uma configuração, uma malha ou uma montagem tornou visível uma limitação e conduziu a uma alteração específica. A Tabela 4.11 resume os episódios com maior influência na estrutura paramétrica. As alterações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limite mínimo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intervalo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t>Limites equivalentes devem actuar em todos os percursos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final examinado corresponde a 14 de Julho de 2026. 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Modelo, perfil e valores editados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Os estados e componentes são registados porque condicionam a leitura dos ensaios; a sua enumeração não constitui comparação entre tecnologias.</w:t>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3"/>
        <w:gridCol w:w="2540"/>
        <w:gridCol w:w="2146"/>
        <w:gridCol w:w="2638"/>
      </w:tblGrid>
      <w:tr>
        <w:trPr>
          <w:tblHeader w:val="true"/>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 xml:space="preserve">Função no processo de </w:t>
            </w:r>
            <w:r>
              <w:rPr>
                <w:rFonts w:eastAsia="Calibri"/>
                <w:b/>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Limite da evidência</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Protótipo HandFab</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evolução do protótipo impede atribuir retroactivamente funções novas aos ensaios anteriores</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no navegador</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 demonstração pública em handfab.pedrocandeias.net</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Geração geométrica</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 acesso</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guardados</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externo de IA</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Anthropic ou OpenAI, seleccionável; claude-sonnet-4-6 no ensaio reportado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do projecto.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t>
      </w:r>
      <w:r>
        <w:rPr>
          <w:i/>
          <w:iCs/>
        </w:rPr>
        <w:t>web</w:t>
      </w:r>
      <w:r>
        <w:rPr/>
        <w:t xml:space="preserve">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SQLite, utilizada para armazenar contas de utilizador, configurações guardadas, relações de atribuição técnica e </w:t>
      </w:r>
      <w:r>
        <w:rPr>
          <w:i/>
          <w:iCs/>
        </w:rPr>
        <w:t>tokens</w:t>
      </w:r>
      <w:r>
        <w:rPr/>
        <w:t xml:space="preserve">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rPr/>
      </w:pPr>
      <w:r>
        <w:rPr/>
        <w:t xml:space="preserve">Um dos aspectos mais relevantes da arquitectura é que a renderização geométrica não é executada no servidor. Em vez disso, o cálculo e a geração da geometria tridimensional ocorrem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para o projecto reside em impedir que todas as decisões e operações sejam apresentadas indistintamente a todos os perfis (Quintero et al., 2018; Bai et al., 2024).</w:t>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geração contínua.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t>
      </w:r>
      <w:r>
        <w:rPr>
          <w:i/>
          <w:iCs/>
        </w:rPr>
        <w:t>web</w:t>
      </w:r>
      <w:r>
        <w:rPr/>
        <w:t>.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Segundo essa literatura,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rPr/>
      </w:pPr>
      <w:r>
        <w:rPr/>
        <w:t>A biblioteca organiza diferentes famílias como modelos registados, cada uma com parâmetros, dependências, limites e modos de visualização próprios. No estado usado nos ensaios principais,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no estado final examinado. A reconstrução designada pec Phoenix hand continua como material de desenvolvimento e não integra a plataforma. Esta distinção separa biblioteca actual, conjunto avaliado e trabalhos exploratórios.</w:t>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Modelo e estado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Ensaios e evidência no estudo</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Flexy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Adaptação do Flexy-Beast de daprice, combinação do Parametric Cyborg Beast e do Flexy Hand; CC BY-SA 4.0, indicada no ficheiro-fonte</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51 declarações; 15 numéricas: palma, dedos, articulações,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Bambu A1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Paraglider/Flexible Flyer;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Prusa MINI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 Phoenix V1.0;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e projecto Bambu A1</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Cyborg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MakerBlock/e-NABLE; licença não explicitada no pacote local</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Integração e renderização; excluído da comparação e das séries físicas</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pec Phoenix hand; desenvolvimento; não registado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Reconstrução baseada na linhagem Phoenix; licença do derivado não formalizada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Sem contrato consolidado em catálogo de modelos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Mecanismo não estabilizado na configuração comum</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Material exploratório; excluído dos ensaios comparativos</w:t>
            </w:r>
          </w:p>
        </w:tc>
      </w:tr>
    </w:tbl>
    <w:p>
      <w:pPr>
        <w:pStyle w:val="TextoNormal-IPCA"/>
        <w:rPr/>
      </w:pPr>
      <w:r>
        <w:rP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rPr/>
      </w:pPr>
      <w:r>
        <w:rPr/>
        <w:t>As contagens da Tabela 5.3 referem-se às declarações presentes em catálogo de modelos no estado da plataforma usado nos ensaios principais. O total inclui selectores, opções de visualização e controlos não geométricos; a contagem numérica identifica os campos do tipo number, sem pressupor que todos representem medidas antropométricas. A ausência de uma licença explícita no pacote local do Cyborg Beast é registada como lacuna documental e não como afirmação de inexistência de licença na fonte original.</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rPr/>
      </w:pPr>
      <w:r>
        <w:rP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do contrato de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Contrato de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 e não constituem avaliação centrada no utilizador, porque nenhuma pessoa participou no estudo.</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estado usado nos ensaios principais foi inspeccionado no fecho do estudo. A Tabela 8.1 distingue resultados executados nesta verificação, dados observados na base local e registos de ensaios anteriores.</w:t>
      </w:r>
    </w:p>
    <w:p>
      <w:pPr>
        <w:pStyle w:val="Caption"/>
        <w:rPr/>
      </w:pPr>
      <w:r>
        <w:rPr/>
        <w:t>Tabela 8.1 — Evidência técnica do funcionamento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Procedimento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da evidência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de perfis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npm run test:unit, 13 de Julho de 2026</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 testes aprovados, 0 falhas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Abrange análise de sexo, idade, grupos etários e selecção de perfil; não cobre a interface completa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de catálogo de modelos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registados e respectivos parâmetros carregáveis por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a declaração dos modelos; três integram a comparação dimensional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 da aplicação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de base local da aplicação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 perfis: 97 importados em lote, dois por CSV e um manual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número de perfis da aplicação difere do número de linhas dos CSV de origem, porque cada perfil agrega várias medições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Persistência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da estrutura e dos registos de teste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Tabelas de utilizadores, configurações, perfis e atribuições técnicas presentes; uma configuração guardada no estado consultado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dados existentes, sem ensaio de carga ou acessos simultâneos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Renderização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Relatórios e testes </w:t>
            </w:r>
            <w:r>
              <w:rPr>
                <w:rFonts w:eastAsia="Calibri"/>
                <w:i/>
                <w:iCs/>
                <w:kern w:val="0"/>
                <w:szCs w:val="24"/>
                <w:lang w:val="pt-PT" w:eastAsia="en-US" w:bidi="ar-SA"/>
              </w:rPr>
              <w:t>end-to-end</w:t>
            </w:r>
            <w:r>
              <w:rPr>
                <w:rFonts w:eastAsia="Calibri"/>
                <w:kern w:val="0"/>
                <w:szCs w:val="24"/>
                <w:lang w:val="pt-PT" w:eastAsia="en-US" w:bidi="ar-SA"/>
              </w:rPr>
              <w:t xml:space="preserve"> arquivados no registo de alterações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Geração em </w:t>
            </w:r>
            <w:r>
              <w:rPr>
                <w:rFonts w:eastAsia="Calibri"/>
                <w:i/>
                <w:iCs/>
                <w:kern w:val="0"/>
                <w:szCs w:val="24"/>
                <w:lang w:val="pt-PT" w:eastAsia="en-US" w:bidi="ar-SA"/>
              </w:rPr>
              <w:t>WebAssembly</w:t>
            </w:r>
            <w:r>
              <w:rPr>
                <w:rFonts w:eastAsia="Calibri"/>
                <w:kern w:val="0"/>
                <w:szCs w:val="24"/>
                <w:lang w:val="pt-PT" w:eastAsia="en-US" w:bidi="ar-SA"/>
              </w:rPr>
              <w:t>, conversão para GLB e exportação STL/3MF documentadas nos registos correspondentes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bateria Playwright dos ensaios principais não foi repetida no ambiente desta revisão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das rotas e dos serviços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Chamada autenticada, escolha de fornecedor, limite de frequência, referência populacional e resposta textual implementados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disponibilidade depende de chaves e serviços externos</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Na repetição de configurações congeladas foram concluídas sete exportações do Flexy Beast, cinco do Paraglider Hand e cinco da UnLimbited Phoenix. Dentro de cada modelo, todas as exportações concluídas produziram ficheiros exactamente iguais ao nível dos dados binários, isto é, com a mesma sequência de zeros e uns que constitui o seu conteúdo digital,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projectos com camada de 0,24 mm, duas paredes e 15% de enchimento: peças atribuídas, respectivamente,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projecto;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peças da configuração infantil.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Inspecção computacional de malhas na configuração infantil</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rPr/>
        <w:t>.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alteração subsequente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rP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nos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produziu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projecto,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de projecto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com base em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por meio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o ajuste, a acessibilidade do processo e o controlo das decisões de projecto. Não foram medidos conforto percebido, adequação anatómica individual ou desempenho funcional em utilização.</w:t>
      </w:r>
    </w:p>
    <w:p>
      <w:pPr>
        <w:pStyle w:val="TextoNormal-IPCA"/>
        <w:rPr/>
      </w:pPr>
      <w:r>
        <w:rPr/>
        <w:t xml:space="preserve">Quanto à segunda pergunta aprovada, a combinação de ciclos de </w:t>
      </w:r>
      <w:r>
        <w:rPr>
          <w:i/>
          <w:iCs/>
        </w:rPr>
        <w:t>Research Through Design</w:t>
      </w:r>
      <w:r>
        <w:rP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projecto: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projecto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inspeccionado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rP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https://www.semanticscholar.org/paper/3532a770446eb6144ef25a6b0162d1f98b61e0ff</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https://www.mdpi.com/2673-1592/6/2/22/pdf?version=1710818539</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após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pPr>
      <w:r>
        <w:rPr/>
        <w:t>Tabela B.5 — Identificação das séries complementares de avaliação da plataforma</w:t>
        <w:tab/>
        <w:t>134</w:t>
      </w:r>
      <w:r>
        <w:br w:type="page"/>
      </w:r>
    </w:p>
    <w:p>
      <w:pPr>
        <w:pStyle w:val="TextoNormal-IPCA"/>
        <w:spacing w:before="0" w:after="0"/>
        <w:rPr/>
      </w:pPr>
      <w:r>
        <w:rPr>
          <w:b/>
        </w:rPr>
        <w:t>Data das séries de ensaios: 13 e 14 de Julho de 2026</w:t>
      </w:r>
    </w:p>
    <w:p>
      <w:pPr>
        <w:pStyle w:val="TextoNormal-IPCA"/>
        <w:rPr/>
      </w:pPr>
      <w:r>
        <w:rPr>
          <w:b/>
        </w:rPr>
        <w:t>Estado avaliado: HandFab durante a série complementar</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abaixo deles e acima deles; campos obrigatórios ausentes; texto num campo numérico; contradição entre idade e descrição; país sem correspondência directa na base; e perfil inferior ao limite de um modelo. Abrangeram também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final examinado corresponde a 14 de Julho de 2026. 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TextoNormal-IPCA"/>
        <w:rPr/>
      </w:pPr>
      <w:r>
        <w:rPr/>
        <w:t>O modelo de desenvolvimento pec Phoenix hand não integra este anexo. Embora tenha sido desenvolvido no âmbito do projecto, não pertence ao conjunto de quatro modelos registados que sustenta a comparação principal da dissertação.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no contrato entre configuração e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declarada no contrato de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nos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braçadeira do Flexy Beast mudou de contrato paramétrico.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 não constituem uma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documenta os projectos tal como foram preparados; não os compara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 xml:space="preserve">.</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154</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154</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mirrorMargin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basedOn w:val="DefaultParagraphFont"/>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basedOn w:val="DefaultParagraphFont"/>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numbering" Target="numbering.xml"/><Relationship Id="rId74" Type="http://schemas.openxmlformats.org/officeDocument/2006/relationships/fontTable" Target="fontTable.xml"/><Relationship Id="rId75" Type="http://schemas.openxmlformats.org/officeDocument/2006/relationships/settings" Target="settings.xml"/><Relationship Id="rId76" Type="http://schemas.openxmlformats.org/officeDocument/2006/relationships/theme" Target="theme/theme1.xml"/><Relationship Id="rId77" Type="http://schemas.openxmlformats.org/officeDocument/2006/relationships/glossaryDocument" Target="glossary/document.xml"/><Relationship Id="rId78"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LibreOffice/26.2.4.2$Linux_X86_64 LibreOffice_project/3346a99e6b841765b75a9b29714a5b95c6761ce3</Application>
  <AppVersion>15.0000</AppVersion>
  <Pages>191</Pages>
  <Words>63696</Words>
  <Characters>383250</Characters>
  <CharactersWithSpaces>443870</CharactersWithSpaces>
  <Paragraphs>3378</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2026-07-15T21:23:24Z</dcterms:modified>
  <cp:revision>6</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