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documento:0.4.20</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pPr>
      <w:r>
        <w:t xml:space="preserve">Resumo</w:t>
      </w:r>
    </w:p>
    <w:p>
      <w:pPr>
        <w:pStyle w:val="Normal"/>
      </w:pPr>
      <w:r>
        <w:t xml:space="preserve">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 As peças foram preparadas no PrusaSlicer 2.9.6 e no Bambu Studio e materializadas em PLA e PETG em impressoras FDM. Os resultados mostram que a combinação entre regras paramétricas explícitas, apoio de IA e verificação material pode tornar o processo de personalização mais rastreável 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pPr>
      <w:r>
        <w:t xml:space="preserve">Palavras-chave: design industrial; próteses de membro superior; design paramétrico; inteligência artificial; impressão 3D; dados antropométricos; fabrico digital.</w:t>
      </w:r>
    </w:p>
    <w:p>
      <w:pPr>
        <w:pStyle w:val="Heading2"/>
      </w:pPr>
      <w:r>
        <w:t xml:space="preserve">Abstract</w:t>
      </w:r>
    </w:p>
    <w:p>
      <w:pPr>
        <w:pStyle w:val="Normal"/>
      </w:pPr>
      <w:r>
        <w:t xml:space="preserve">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parts were prepared in PrusaSlicer 2.9.6 and Bambu Studio and materialised in PLA and PETG using FDM printers.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pPr>
      <w:r>
        <w:t xml:space="preserve">Keywords: industrial design; upper-limb prostheses; parametric design; artificial intelligence; 3D printing; anthropometric data; digital fabrication.</w:t>
      </w:r>
    </w:p>
    <w:p>
      <w:pPr>
        <w:pStyle w:val="Normal"/>
      </w:pPr>
      <w:r>
        <w:t xml:space="preserve"/>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104</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i/>
          <w:iCs/>
          <w:lang w:val="pt-PT"/>
        </w:rPr>
        <w:t/>
      </w:r>
      <w:r>
        <w:rPr>
          <w:lang w:val="pt-PT"/>
        </w:rPr>
        <w:t/>
      </w:r>
      <w:r>
        <w:rPr>
          <w:rStyle w:val="FootnoteReference"/>
          <w:lang w:val="pt-PT"/>
        </w:rPr>
        <w:footnoteReference w:id="6"/>
      </w:r>
      <w:r>
        <w:rPr>
          <w:lang w:val="pt-PT"/>
        </w:rPr>
        <w:t xml:space="preserve"/>
      </w:r>
      <w:r>
        <w:rPr/>
        <w:t/>
      </w:r>
      <w:r>
        <w:rPr>
          <w:rStyle w:val="Emphasis"/>
        </w:rPr>
        <w:t/>
      </w:r>
      <w:r>
        <w:rPr/>
        <w:t/>
      </w:r>
      <w:r>
        <w:rPr>
          <w:rStyle w:val="Emphasis"/>
        </w:rPr>
        <w:t/>
      </w:r>
      <w:r>
        <w:rPr/>
        <w:t/>
      </w:r>
      <w:r>
        <w:rPr>
          <w:lang w:val="pt-PT"/>
        </w:rPr>
        <w:t xml:space="preserve"/>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8"/>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8"/>
      <w:r>
        <w:commentReference w:id="18"/>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9"/>
      <w:r>
        <w:rPr>
          <w:i/>
          <w:iCs/>
          <w:shd w:fill="FFFF00" w:val="clear"/>
          <w:lang w:val="pt-PT"/>
        </w:rPr>
        <w:t>data-driven</w:t>
      </w:r>
      <w:r>
        <w:rPr>
          <w:i/>
          <w:iCs/>
          <w:shd w:fill="FFFF00" w:val="clear"/>
          <w:lang w:val="pt-PT"/>
        </w:rPr>
      </w:r>
      <w:commentRangeEnd w:id="19"/>
      <w:r>
        <w:commentReference w:id="19"/>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0"/>
      <w:r>
        <w:rPr>
          <w:i/>
          <w:iCs/>
          <w:lang w:val="pt-PT"/>
        </w:rPr>
        <w:t>human-in-the-loop.</w:t>
      </w:r>
      <w:r>
        <w:rPr>
          <w:i/>
          <w:iCs/>
          <w:lang w:val="pt-PT"/>
        </w:rPr>
      </w:r>
      <w:commentRangeEnd w:id="20"/>
      <w:r>
        <w:commentReference w:id="20"/>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1"/>
      <w:r>
        <w:commentReference w:id="21"/>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2"/>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 xml:space="preserve">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rP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 xml:space="preserve">&lt;a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 xml:space="preserve">&lt;a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 xml:space="preserve">&lt;a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 xml:space="preserve">&lt;a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 xml:space="preserve">&lt;a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