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145</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w:t>
        <w:tab/>
        <w:t>119</w:t>
      </w:r>
    </w:p>
    <w:p>
      <w:pPr>
        <w:pStyle w:val="TOC1"/>
        <w:rPr/>
      </w:pPr>
      <w:r>
        <w:rPr/>
        <w:t>Anexo B — Avaliação do processo paramétrico e da interface da plataforma HandFab</w:t>
        <w:tab/>
        <w:t>134</w:t>
      </w:r>
    </w:p>
    <w:p>
      <w:pPr>
        <w:pStyle w:val="TOC1"/>
        <w:rPr/>
      </w:pPr>
      <w:r>
        <w:rPr/>
        <w:t>Anexo C — Adaptação paramétrica dos m</w:t>
      </w:r>
      <w:r>
        <w:rPr/>
        <w:t>ODELOS</w:t>
      </w:r>
      <w:r>
        <w:rPr/>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0"/>
        <w:gridCol w:w="3150"/>
        <w:gridCol w:w="2847"/>
      </w:tblGrid>
      <w:tr>
        <w:trPr>
          <w:tblHeader w:val="true"/>
          <w:cantSplit/>
        </w:trPr>
        <w:tc>
          <w:tcPr>
            <w:tcW w:w="279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3"/>
        <w:gridCol w:w="3013"/>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 xml:space="preserve">No navegador do utilizador, a aplicação integra os componentes responsáveis pela interface, pela recolha e edição de parâmetros, pela gestão do estado da sessão e pela visualização local dos modelos. No servidor, um serviço desenvolvido em </w:t>
      </w:r>
      <w:r>
        <w:rPr>
          <w:i w:val="false"/>
          <w:iCs w:val="false"/>
        </w:rPr>
        <w:t>Node.js</w:t>
      </w:r>
      <w:r>
        <w:rPr/>
        <w:t>, com recurso à infra-estrutura Express.js, assegura a disponibilização de ficheiros estáticos, o processamento de pedidos à interface de programação de aplicações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do OpenSCAD em WebAssembly. Alguns ficheiros originais utilizavam recursos da linguagem OpenSCAD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TextoNormal-IPCA"/>
        <w:rPr/>
      </w:pPr>
      <w:r>
        <w:rPr/>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w:t>
      </w:r>
      <w:r>
        <w:rPr/>
        <w:t>a maioria</w:t>
      </w:r>
      <w:r>
        <w:rPr/>
        <w:t xml:space="preserve"> estudos </w:t>
      </w:r>
      <w:r>
        <w:rPr/>
        <w:t>consultados</w:t>
      </w:r>
      <w:r>
        <w:rPr/>
        <w:t xml:space="preserve"> sobre próteses de membro superior. Em vez de interpretar biosinais, reconhecer gestos ou controlar </w:t>
      </w:r>
      <w:r>
        <w:rPr/>
        <w:t>um</w:t>
      </w:r>
      <w:r>
        <w:rPr/>
        <w:t xml:space="preserve"> dispositivo </w:t>
      </w:r>
      <w:r>
        <w:rPr/>
        <w:t>protésico</w:t>
      </w:r>
      <w:r>
        <w:rPr/>
        <w:t>,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indicaram que a terceira camada de validação ainda aplica as restrições de forma desigual. A lateralidade permaneceu protegida, mas um valor numérico acima do intervalo previsto foi identificado e incorporado no estado interno da aplicação. Por esse motivo, os limites declarados são tratados neste capítulo como restrições pretendidas e parcialmente verificadas, em vez de garantias integrais de funcionamento. A discussão ética geral permanece na Secção 2.6; o presente capítulo concentra-se na forma como esses princípios foram concretizados e nos limites observados.</w:t>
      </w:r>
    </w:p>
    <w:p>
      <w:pPr>
        <w:pStyle w:val="TextoNormal-IPCA"/>
        <w:rPr/>
      </w:pPr>
      <w:r>
        <w:rPr/>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corresponde, neste protótipo, à sugestão de valores para parâmetros previamente definidos, dentro de uma estrutura composta por relações geométricas, intervalos de variação e campos protegidos. A independência entre dimensões dos dedos e a insuficiência do escalonamento uniforme fundamentam o espaço paramétrico do sistema; o modelo de linguagem intervém apenas na proposta de valores dentro dessa estrutura previamente estabelecida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Heading2"/>
        <w:numPr>
          <w:ilvl w:val="0"/>
          <w:numId w:val="0"/>
        </w:numPr>
        <w:ind w:hanging="0" w:start="0"/>
        <w:rPr/>
      </w:pPr>
      <w:r>
        <w:rPr/>
        <w:t>6.3 Avaliação das sugestões paramétricas apoiadas por IA</w:t>
      </w:r>
    </w:p>
    <w:p>
      <w:pPr>
        <w:pStyle w:val="TextoNormal-IPCA"/>
        <w:rPr/>
      </w:pPr>
      <w:r>
        <w:rPr/>
        <w:t>Nesta fase, a avaliação da componente de IA incide sobre a coerência das sugestões face ao esquema de parâmetros e aos intervalos de referência adoptados. A sua dimensão antropométrica decorre da natureza dos campos utilizados e das referências mobilizadas, sem equivaler a uma confirmação anatómica individual. Os resultados são apresentados no Capítulo 8, mantendo-se a presente secção dedicada à descrição do protocolo.</w:t>
      </w:r>
    </w:p>
    <w:p>
      <w:pPr>
        <w:pStyle w:val="TextoNormal-IPCA"/>
        <w:rPr/>
      </w:pPr>
      <w:r>
        <w:rPr/>
        <w:t>A avaliação utilizou o fornecedor Anthropic e o modelo Claude Sonnet 4.6. A resposta estava limitada a 1024 tokens e o código não fixava a temperatura. A chamada enviada ao modelo incluía a descrição do cenário, o identificador do modelo paramétrico, os nomes exactos dos parâmetros, os respectivos tipos, limites e valores correntes, etiquetas explicativas e, quando existia correspondência, uma referência populacional. Como formato de saída, foi solicitado um objecto JSON composto por pares parâmetro–valor. Foram conservados o modelo utilizado, as condições da chamada, as descrições submetidas, as respostas obtidas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isto é, da mão do lado oposto, uma medida directa e descrição demográfica. Foi ainda definida uma série complementar de ensaios, composta por 15 cenários construídos a partir de descrições vagas, comparativas, multilingues ou sem medidas. Para examinar a lateralidade, foram ainda conservadas para análise 12 execuções anteriores à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w:t>
      </w:r>
      <w:r>
        <w:rPr/>
        <w:t>s resultados consolidados são apresentados no Capítulo 8 e a matriz integral de casos consta do Anexo B.</w:t>
      </w:r>
    </w:p>
    <w:p>
      <w:pPr>
        <w:pStyle w:val="Heading2"/>
        <w:numPr>
          <w:ilvl w:val="0"/>
          <w:numId w:val="0"/>
        </w:numPr>
        <w:ind w:hanging="0" w:start="0"/>
        <w:rPr/>
      </w:pPr>
      <w:r>
        <w:rPr/>
      </w:r>
    </w:p>
    <w:p>
      <w:pPr>
        <w:pStyle w:val="Heading2"/>
        <w:numPr>
          <w:ilvl w:val="0"/>
          <w:numId w:val="0"/>
        </w:numPr>
        <w:ind w:hanging="0" w:start="0"/>
        <w:rPr/>
      </w:pPr>
      <w:r>
        <w:rPr/>
        <w:t>6.4 Ajuste, verificação e limitações éticas e técnicas</w:t>
      </w:r>
    </w:p>
    <w:p>
      <w:pPr>
        <w:pStyle w:val="TextoNormal-IPCA"/>
        <w:rPr/>
      </w:pPr>
      <w:r>
        <w:rPr/>
        <w:t>Para interpretar o percurso entre sugestão, configuração e verificação, distinguem-se três estados: a proposta gerada pelo modelo de linguagem; a configuração aceite ou corrigida na interface; e o resultado submetido a verificação geométrica e de fabrico.</w:t>
      </w:r>
    </w:p>
    <w:p>
      <w:pPr>
        <w:pStyle w:val="TextoNormal-IPCA"/>
        <w:rPr/>
      </w:pPr>
      <w:r>
        <w:rPr/>
        <w:t>Os riscos técnicos mais relevantes dizem respeito a sugestões aparentemente coerentes para perfis pouco representados, ao preenchimento de campos sem base suficiente e a combinações que respeitam parâmetros isolados, mas produzem incoerências na geometria completa. O estado avaliado da plataforma reduz parte destes riscos através do esquema activo de parâmetros, da exclusão de campos desconhecidos, do controlo determinístico da lateralidade e da inspecção posterior da malha. No entanto, os testes demonstraram que a declaração de intervalos admissíveis deve ser acompanhada por mecanismos de validação aplicados antes de qualquer valor entrar no estado da aplicação, ser guardado ou seguir para a geração geométrica (Panchal et al., 2019; Yüksel et al., 2023).</w:t>
      </w:r>
    </w:p>
    <w:p>
      <w:pPr>
        <w:pStyle w:val="TextoNormal-IPCA"/>
        <w:rPr/>
      </w:pPr>
      <w:r>
        <w:rPr/>
        <w:t>A Figura 6.1 sintetiza esta tensão entre os desafios de compreensão das decisões e os princípios de IA responsável. No contexto desta investigação, a figura mostra que a responsabilidade depende da qualidade das sugestões geradas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um campo numérico podia receber texto por meio de um pedido direto.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w:t>
      </w:r>
      <w:r>
        <w:rPr>
          <w:i/>
          <w:iCs/>
        </w:rPr>
        <w:t>interface</w:t>
      </w:r>
      <w:r>
        <w:rPr/>
        <w:t>, evitando o bloqueio direto durante o cálculo.</w:t>
      </w:r>
    </w:p>
    <w:p>
      <w:pPr>
        <w:pStyle w:val="TextoNormal-IPCA"/>
        <w:rPr/>
      </w:pPr>
      <w:r>
        <w:rPr/>
        <w:t>A avaliação automática de acessibilidade examinou oito estados do percurso autenticado e identificou quatro tipos de barreiras de acessibilidade: contraste insuficiente, ausência de associação programática entre algumas etiquetas textuais e os controlos correspondentes, presença de elementos interativos aninhados e falta de nome acessível num elemento de seleção.</w:t>
      </w:r>
    </w:p>
    <w:p>
      <w:pPr>
        <w:pStyle w:val="TextoNormal-IPCA"/>
        <w:rPr/>
      </w:pPr>
      <w:r>
        <w:rPr/>
        <w:t>Assim, esta secção descreve uma especificação de projeto, as funções disponíveis e os limites já observados. Clareza, carga cognitiva, aprendizagem, acessibilidade percebida e adequação aos diferentes perfis permanecem questões para avaliação futura com participantes.</w:t>
      </w:r>
    </w:p>
    <w:p>
      <w:pPr>
        <w:pStyle w:val="TextoNormal-IPCA"/>
        <w:rPr/>
      </w:pPr>
      <w:r>
        <w:rPr/>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 xml:space="preserve">Os parâmetros apresentados dependem do modelo ativo e do perfil de acesso. Valores geométricos editáveis são limitados pelo esquema; a lateralidade é controlada pela </w:t>
      </w:r>
      <w:r>
        <w:rPr>
          <w:i/>
          <w:iCs/>
        </w:rPr>
        <w:t>interface</w:t>
      </w:r>
      <w:r>
        <w:rPr/>
        <w:t>; e a aceitação de sugestões permanece uma ação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rPr/>
      </w:pPr>
      <w:r>
        <w:rPr/>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Normal"/>
        <w:numPr>
          <w:ilvl w:val="0"/>
          <w:numId w:val="0"/>
        </w:numPr>
        <w:ind w:hanging="0" w:start="0"/>
        <w:rPr/>
      </w:pPr>
      <w:r>
        <w:rPr/>
      </w:r>
    </w:p>
    <w:p>
      <w:pPr>
        <w:pStyle w:val="TextoNormal-IPCA"/>
        <w:rPr/>
      </w:pPr>
      <w:r>
        <w:rPr/>
        <w:t>A mediação fundamentada no Capítulo 2 torna-se observável, no protótipo, na sequência entre leitura dos dados, proposta de valores, geração da geometria, revisão e exportação. A interface traduz, no plano operacional, decisões de personalização relativas ao que é apresentado ao utilizador, ao que pode ser alterado, ao que é guardado e ao que permanece reservado à lógica interna do sistema.</w:t>
      </w:r>
    </w:p>
    <w:p>
      <w:pPr>
        <w:pStyle w:val="TextoNormal-IPCA"/>
        <w:rPr/>
      </w:pPr>
      <w:r>
        <w:rPr/>
        <w:t>Quatro mecanismos concretizam essa função: exposição seletiva dos parâmetros; apresentação dos respetivos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 xml:space="preserve">Esta condição impede considerar a </w:t>
      </w:r>
      <w:r>
        <w:rPr>
          <w:i/>
          <w:iCs/>
        </w:rPr>
        <w:t>interface</w:t>
      </w:r>
      <w:r>
        <w:rPr/>
        <w:t xml:space="preserv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projeto observável. Uma resposta de IA inválida preservou o último estado válido e permitiu nova tentativa, mostrando capacidade de recuperação nesse percurso. Contudo, a aceitação de um valor fora do intervalo previsto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w:t>
      </w:r>
      <w:r>
        <w:br w:type="page"/>
      </w:r>
    </w:p>
    <w:p>
      <w:pPr>
        <w:pStyle w:val="Heading1"/>
        <w:numPr>
          <w:ilvl w:val="0"/>
          <w:numId w:val="0"/>
        </w:numPr>
        <w:spacing w:before="0" w:after="240"/>
        <w:ind w:hanging="0" w:start="0"/>
        <w:contextualSpacing/>
        <w:rPr/>
      </w:pPr>
      <w:r>
        <w:rPr/>
        <w:t>Capítulo 8 — Avaliação e Discussão</w:t>
      </w:r>
    </w:p>
    <w:p>
      <w:pPr>
        <w:pStyle w:val="Normal"/>
        <w:numPr>
          <w:ilvl w:val="0"/>
          <w:numId w:val="0"/>
        </w:numPr>
        <w:spacing w:before="0" w:after="240"/>
        <w:ind w:hanging="0" w:start="0"/>
        <w:contextualSpacing/>
        <w:rPr/>
      </w:pPr>
      <w:r>
        <w:rPr/>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w:t>
      </w:r>
    </w:p>
    <w:p>
      <w:pPr>
        <w:pStyle w:val="TextoNormal-IPCA"/>
        <w:rPr/>
      </w:pPr>
      <w:r>
        <w:rPr/>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os dados recolhidos nos ensaios, explicitando a sua relevância para o processo de projeto e os limites da interpretação que deles pode ser retirada. Os comandos, datas de execução e identificadores internos dos testes são conservados apenas no material técnico suplementar.</w:t>
      </w:r>
    </w:p>
    <w:p>
      <w:pPr>
        <w:pStyle w:val="TextoNormal-IPCA"/>
        <w:rPr/>
      </w:pPr>
      <w:r>
        <w:rPr/>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A exportação não garante </w:t>
            </w:r>
            <w:r>
              <w:rPr>
                <w:rFonts w:eastAsia="Calibri"/>
                <w:kern w:val="0"/>
                <w:szCs w:val="24"/>
                <w:lang w:val="pt-PT" w:eastAsia="en-US" w:bidi="ar-SA"/>
              </w:rPr>
              <w:t>viabilidade de impressão 3D</w:t>
            </w:r>
            <w:r>
              <w:rPr>
                <w:rFonts w:eastAsia="Calibri"/>
                <w:kern w:val="0"/>
                <w:szCs w:val="24"/>
                <w:lang w:val="pt-PT" w:eastAsia="en-US" w:bidi="ar-SA"/>
              </w:rPr>
              <w:t>,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ind w:hanging="0" w:start="0"/>
        <w:rPr/>
      </w:pPr>
      <w:r>
        <w:rPr/>
      </w:r>
    </w:p>
    <w:p>
      <w:pPr>
        <w:pStyle w:val="TextoNormal-IPCA"/>
        <w:rPr/>
      </w:pPr>
      <w:r>
        <w:rPr/>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A evidência sustenta a consistência das exportações concluídas</w:t>
      </w:r>
    </w:p>
    <w:p>
      <w:pPr>
        <w:pStyle w:val="TextoNormal-IPCA"/>
        <w:rPr/>
      </w:pPr>
      <w:r>
        <w:rPr/>
        <w:t xml:space="preserve">A mesma configuração da UnLimbited Phoenix produziu resultados idênticos no Chromium e no Firefox. Uma primeira tentativa com WebKit foi invalidada por uma opção de arranque aplicada incorretamente pelo próprio instrumento de ensaio. Após a correção dessa configuração, o navegador iniciou, mas o percurso parou na autenticação e não chegou à geração da geometria. A compatibilidade com WebKit permanece, por isso, inconclusiva; a falha não </w:t>
      </w:r>
      <w:r>
        <w:rPr/>
        <w:t>foi</w:t>
      </w:r>
      <w:r>
        <w:rPr/>
        <w:t xml:space="preserve"> classificada como incompatibilidade da plataforma.</w:t>
      </w:r>
    </w:p>
    <w:p>
      <w:pPr>
        <w:pStyle w:val="TextoNormal-IPCA"/>
        <w:rPr/>
      </w:pPr>
      <w:r>
        <w:rPr/>
        <w:t>O</w:t>
      </w:r>
      <w:r>
        <w:rPr/>
        <w:t>s testes de recuperação abrangeram diferentes situações de erro ou limitação operacional, incluindo valores nos limites dos intervalos definidos, dados inválidos, ausência de cobertura populacional direta, incompatibilidade entre perfil e modelo, indisponibilidade do serviço de IA, falha de renderização e tentativa de exportação sem geometria gerada. A maioria dos percursos rejeitou os dados inválidos, preservou o último estado válido ou permitiu uma nova tentativa. Ainda assim, foram identificadas duas fragilidades relevantes para o desenho dos mecanismos de validação, submissão e controlo dos parâmetros: Foram identificadas duas fragilidades específicas. Em primeiro lugar, uma sugestão de IA acima do limite previsto foi reconhecida pelo esquema de validação, mas chegou a ser incorporada no valor interno da aplicação. Em segundo lugar, a interface rejeitou texto introduzido num campo numérico, enquanto um pedido direto à plataforma aceitou esse mesmo tipo de valor. Estes resultados indicam que a proteção do espaço paramétrico deve atuar para além dos controlos visíveis da interface, assegurando que as mesmas regras são aplicadas antes de qualquer valor ser guardado ou enviado para a geração da geometria.</w:t>
      </w:r>
    </w:p>
    <w:p>
      <w:pPr>
        <w:pStyle w:val="TextoNormal-IPCA"/>
        <w:rPr/>
      </w:pPr>
      <w:r>
        <w:rPr/>
        <w:t xml:space="preserve">A auditoria de acessibilidade examinou oito estados do percurso local autenticado. A avaliação identificou quatro tipos de problemas de acessibilidade: contraste de cor insuficiente, falhas na associação programática entre etiquetas textuais e controlos, presença de elementos interativos aninhados e ausência de nome acessível num elemento de seleção. A página pública não autenticada não apresentou violações nos elementos examinados, mas incluiu uma verificação inconclusiva. </w:t>
      </w:r>
      <w:r>
        <w:rPr/>
        <w:t>O</w:t>
      </w:r>
      <w:r>
        <w:rPr/>
        <w:t>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TextoNormal-IPCA"/>
        <w:rPr/>
      </w:pPr>
      <w:r>
        <w:rPr/>
      </w:r>
    </w:p>
    <w:p>
      <w:pPr>
        <w:pStyle w:val="Heading3"/>
        <w:numPr>
          <w:ilvl w:val="0"/>
          <w:numId w:val="0"/>
        </w:numPr>
        <w:ind w:hanging="0" w:start="0"/>
        <w:rPr/>
      </w:pPr>
      <w:r>
        <w:rPr/>
        <w:t>8.1.3 Preparação para impressão e protótipos físicos</w:t>
      </w:r>
    </w:p>
    <w:p>
      <w:pPr>
        <w:pStyle w:val="Normal"/>
        <w:numPr>
          <w:ilvl w:val="0"/>
          <w:numId w:val="0"/>
        </w:numPr>
        <w:ind w:hanging="0" w:start="0"/>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Os quatro projetos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TextoNormal-IPCA"/>
        <w:rPr/>
      </w:pPr>
      <w:r>
        <w:rPr/>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trajetórias e estimativas. O Flexy Beast em PLA apresentou 2 h 21 min 50 s e 56,51 g; o Phoenix apresentou 5 h 12 min 44 s e 123,52 g em PLA e 5 h 51 min 52 s e 117,54 g em PETG; o Paraglider apresentou 2 h 32 min 11 s e 37,96 g em PLA.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 xml:space="preserve">As malhas geradas a partir de um perfil antropométrico de ensaio correspondente a uma criança de oito anos foram ainda analisadas com recurso à biblioteca </w:t>
      </w:r>
      <w:r>
        <w:rPr>
          <w:i/>
          <w:iCs/>
        </w:rPr>
        <w:t>Python</w:t>
      </w:r>
      <w:r>
        <w:rPr/>
        <w:t xml:space="preserve"> </w:t>
      </w:r>
      <w:r>
        <w:rPr>
          <w:rStyle w:val="SourceText"/>
          <w:rFonts w:ascii="Times New Roman" w:hAnsi="Times New Roman"/>
          <w:i/>
          <w:iCs/>
        </w:rPr>
        <w:t>trimesh</w:t>
      </w:r>
      <w:r>
        <w:rPr/>
        <w:t>, utilizada para inspecionar propriedades geométricas de modelos tridimensionais, incluindo condição de malha fechada, volume e consistência estrutural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diz respeito apenas aos ficheiros analisados nesse procedimento e decorre de uma verificação distinta da inspeção computacional apresentada na Tabela 8.3. A diferença entre os registos deve ser mantida, pois nenhum dos resultado</w:t>
      </w:r>
      <w:r>
        <w:rPr/>
        <w:t>s permite</w:t>
      </w:r>
      <w:r>
        <w:rPr/>
        <w:t xml:space="preserve"> concluir que todas as variantes de cada modelo possuem a mesma qualidade de malha.</w:t>
      </w:r>
    </w:p>
    <w:p>
      <w:pPr>
        <w:pStyle w:val="TextoNormal-IPCA"/>
        <w:rPr/>
      </w:pPr>
      <w:r>
        <w:rPr/>
        <w:t>O registo fotográfico complementa os dados de preparação e a inspeção das malhas. As fotografias documentam peças efetivamente produzidas, a organização dos componentes e estados preliminares de montagem. Não substituem medições dimensionais, ensaios mecânicos ou avaliação com utilizadores.</w:t>
      </w:r>
    </w:p>
    <w:p>
      <w:pPr>
        <w:pStyle w:val="TextoNormal-IPCA"/>
        <w:rPr/>
      </w:pPr>
      <w:r>
        <w:rPr/>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 xml:space="preserve">Reproduzido de Romero, E., Garcia, J. G., Parra, M., Caballa, S., Saldarriaga, A. M., Luque, E. F., Rodriguez, D. J., Abarca, V. E., &amp; Elias, D. A. (2025). An affordable AI-driven and 3D-printed personalized myoelectric prosthesis: Design, development, and assessment. IEEE Access, 13. </w:t>
      </w:r>
      <w:hyperlink r:id="rId60">
        <w:r>
          <w:rPr>
            <w:rStyle w:val="Hyperlink"/>
          </w:rPr>
          <w:t>https://doi.org/10.1109/ACCESS.2025.3596475</w:t>
        </w:r>
      </w:hyperlink>
    </w:p>
    <w:p>
      <w:pPr>
        <w:pStyle w:val="TextoNormal-IPCA"/>
        <w:rPr/>
      </w:pPr>
      <w:r>
        <w:rPr/>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rPr/>
      </w:pPr>
      <w:r>
        <w:rPr/>
      </w:r>
    </w:p>
    <w:p>
      <w:pPr>
        <w:pStyle w:val="TextoNormal-IPCA"/>
        <w:rPr/>
      </w:pPr>
      <w:r>
        <w:rPr/>
      </w:r>
    </w:p>
    <w:p>
      <w:pPr>
        <w:pStyle w:val="TextoNormal-IPCA"/>
        <w:rPr/>
      </w:pPr>
      <w:r>
        <w:rPr/>
      </w:r>
    </w:p>
    <w:p>
      <w:pPr>
        <w:pStyle w:val="TextoNormal-IPCA"/>
        <w:rPr/>
      </w:pPr>
      <w:r>
        <w:rPr/>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rPr/>
      </w:pPr>
      <w:r>
        <w:rPr/>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TextoNormal-IPCA"/>
        <w:rPr/>
      </w:pPr>
      <w:r>
        <w:rPr/>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rPr/>
      </w:pPr>
      <w:r>
        <w:rPr/>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r>
    </w:p>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rPr/>
      </w:pPr>
      <w:r>
        <w:rPr/>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TextoNormal-IPCA"/>
        <w:rPr/>
      </w:pPr>
      <w:r>
        <w:rPr/>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rPr/>
      </w:pPr>
      <w:r>
        <w:rPr/>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w:t>
            </w:r>
            <w:r>
              <w:rPr>
                <w:rFonts w:eastAsia="Calibri"/>
                <w:b/>
                <w:kern w:val="0"/>
                <w:sz w:val="16"/>
                <w:szCs w:val="16"/>
                <w:lang w:val="pt-PT" w:eastAsia="en-US" w:bidi="ar-SA"/>
              </w:rPr>
              <w:t>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w:t>
            </w:r>
            <w:r>
              <w:rPr>
                <w:rFonts w:eastAsia="Calibri"/>
                <w:kern w:val="0"/>
                <w:sz w:val="16"/>
                <w:szCs w:val="16"/>
                <w:lang w:val="pt-PT" w:eastAsia="en-US" w:bidi="ar-SA"/>
              </w:rPr>
              <w:t>s</w:t>
            </w:r>
            <w:r>
              <w:rPr>
                <w:rFonts w:eastAsia="Calibri"/>
                <w:kern w:val="0"/>
                <w:sz w:val="16"/>
                <w:szCs w:val="16"/>
                <w:lang w:val="pt-PT" w:eastAsia="en-US" w:bidi="ar-SA"/>
              </w:rPr>
              <w:t xml:space="preserve"> tot</w:t>
            </w:r>
            <w:r>
              <w:rPr>
                <w:rFonts w:eastAsia="Calibri"/>
                <w:kern w:val="0"/>
                <w:sz w:val="16"/>
                <w:szCs w:val="16"/>
                <w:lang w:val="pt-PT" w:eastAsia="en-US" w:bidi="ar-SA"/>
              </w:rPr>
              <w:t>ais</w:t>
            </w:r>
            <w:r>
              <w:rPr>
                <w:rFonts w:eastAsia="Calibri"/>
                <w:kern w:val="0"/>
                <w:sz w:val="16"/>
                <w:szCs w:val="16"/>
                <w:lang w:val="pt-PT" w:eastAsia="en-US" w:bidi="ar-SA"/>
              </w:rPr>
              <w:t>,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TextoNormal-IPCA"/>
        <w:rPr/>
      </w:pPr>
      <w:r>
        <w:rPr/>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 xml:space="preserve">A investigação desenvolveu um protótipo de plataforma para configurar modelos de </w:t>
      </w:r>
      <w:r>
        <w:rPr/>
        <w:t>membro superior</w:t>
      </w:r>
      <w:r>
        <w:rPr/>
        <w:t xml:space="preserve">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R</w:t>
      </w:r>
      <w:r>
        <w:rPr/>
        <w:t xml:space="preserve">elativamente à segunda pergunta de investigação, conclui-se que a combinação de ciclos de </w:t>
      </w:r>
      <w:r>
        <w:rPr>
          <w:rStyle w:val="Emphasis"/>
        </w:rPr>
        <w:t>Research Through Design</w:t>
      </w:r>
      <w:r>
        <w:rPr/>
        <w:t xml:space="preserve">,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w:t>
      </w:r>
      <w:r>
        <w:rPr/>
        <w:t xml:space="preserve">de ensaios </w:t>
      </w:r>
      <w:r>
        <w:rPr/>
        <w:t>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rPr/>
      </w:pPr>
      <w:r>
        <w:rPr/>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b/>
                <w:bCs/>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TextoNormal-IPCA"/>
        <w:rPr/>
      </w:pPr>
      <w:r>
        <w:rPr/>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TextoNormal-IPCA"/>
        <w:rPr/>
      </w:pPr>
      <w:r>
        <w:rPr/>
      </w:r>
    </w:p>
    <w:p>
      <w:pPr>
        <w:pStyle w:val="Heading3"/>
        <w:numPr>
          <w:ilvl w:val="0"/>
          <w:numId w:val="0"/>
        </w:numPr>
        <w:ind w:hanging="0" w:start="0"/>
        <w:rPr/>
      </w:pPr>
      <w:r>
        <w:rPr/>
        <w:t>9.3 Limitações</w:t>
      </w:r>
    </w:p>
    <w:p>
      <w:pPr>
        <w:pStyle w:val="TextoNormal-IPCA"/>
        <w:rPr/>
      </w:pPr>
      <w:r>
        <w:rPr/>
        <w:t xml:space="preserve">Os casos de teste são simulados e não incluem participantes, medições clínicas ou dados individuais de uma pessoa amputada. Por esse motivo, os valores sugeridos foram comparados com esquemas e referências populacionais, sem cálculo de erro face a um </w:t>
      </w:r>
      <w:r>
        <w:rPr/>
        <w:t>membro superior especific</w:t>
      </w:r>
      <w:r>
        <w:rPr/>
        <w:t>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 xml:space="preserve">A avaliação de fabrico combina quatro projectos de preparação digital para impressão 3D com configuração analisada, doze casos sob condição digital comum, inspecção das malhas, 72 medições dimensionais e registo fotográfico das peças existentes. O </w:t>
      </w:r>
      <w:r>
        <w:rPr/>
        <w:t>consumo de</w:t>
      </w:r>
      <w:r>
        <w:rPr/>
        <w:t xml:space="preserv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TextoNormal-IPCA"/>
        <w:rPr/>
      </w:pPr>
      <w:r>
        <w:rPr/>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 xml:space="preserve">O desenvolvimento de um gerador paramétrico de próteses </w:t>
      </w:r>
      <w:r>
        <w:rPr/>
        <w:t xml:space="preserve">de membro superior </w:t>
      </w:r>
      <w:r>
        <w:rPr/>
        <w:t>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Heading2"/>
        <w:numPr>
          <w:ilvl w:val="0"/>
          <w:numId w:val="0"/>
        </w:numPr>
        <w:ind w:hanging="0" w:start="0"/>
        <w:rPr/>
      </w:pPr>
      <w:r>
        <w:rPr/>
      </w:r>
      <w:r>
        <w:br w:type="page"/>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b/>
        </w:rPr>
      </w:pPr>
      <w:r>
        <w:rPr/>
        <w:t>Tabela B.5 — Identificação das séries complementares de avaliação da plataforma</w:t>
        <w:tab/>
        <w:t>134</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1"/>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2"/>
          <w:headerReference w:type="default" r:id="rId63"/>
          <w:headerReference w:type="first" r:id="rId64"/>
          <w:footerReference w:type="even" r:id="rId65"/>
          <w:footerReference w:type="default" r:id="rId66"/>
          <w:footerReference w:type="first" r:id="rId67"/>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trHeight w:val="1227" w:hRule="atLeast"/>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8"/>
      <w:headerReference w:type="default" r:id="rId69"/>
      <w:headerReference w:type="first" r:id="rId70"/>
      <w:footerReference w:type="even" r:id="rId71"/>
      <w:footerReference w:type="default" r:id="rId72"/>
      <w:footerReference w:type="first" r:id="rId73"/>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bidi w:val="0"/>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hyperlink" Target="https://doi.org/10.1109/ACCESS.2025.3596475" TargetMode="External"/><Relationship Id="rId61" Type="http://schemas.openxmlformats.org/officeDocument/2006/relationships/image" Target="media/image34.png"/><Relationship Id="rId62" Type="http://schemas.openxmlformats.org/officeDocument/2006/relationships/header" Target="header1.xml"/><Relationship Id="rId63" Type="http://schemas.openxmlformats.org/officeDocument/2006/relationships/header" Target="header2.xml"/><Relationship Id="rId64" Type="http://schemas.openxmlformats.org/officeDocument/2006/relationships/header" Target="header3.xml"/><Relationship Id="rId65" Type="http://schemas.openxmlformats.org/officeDocument/2006/relationships/footer" Target="footer25.xml"/><Relationship Id="rId66" Type="http://schemas.openxmlformats.org/officeDocument/2006/relationships/footer" Target="footer26.xml"/><Relationship Id="rId67" Type="http://schemas.openxmlformats.org/officeDocument/2006/relationships/footer" Target="footer27.xml"/><Relationship Id="rId68" Type="http://schemas.openxmlformats.org/officeDocument/2006/relationships/header" Target="header4.xml"/><Relationship Id="rId69" Type="http://schemas.openxmlformats.org/officeDocument/2006/relationships/header" Target="header5.xml"/><Relationship Id="rId70" Type="http://schemas.openxmlformats.org/officeDocument/2006/relationships/header" Target="header6.xml"/><Relationship Id="rId71" Type="http://schemas.openxmlformats.org/officeDocument/2006/relationships/footer" Target="footer28.xml"/><Relationship Id="rId72" Type="http://schemas.openxmlformats.org/officeDocument/2006/relationships/footer" Target="footer29.xml"/><Relationship Id="rId73" Type="http://schemas.openxmlformats.org/officeDocument/2006/relationships/footer" Target="footer30.xml"/><Relationship Id="rId74" Type="http://schemas.openxmlformats.org/officeDocument/2006/relationships/footnotes" Target="footnotes.xml"/><Relationship Id="rId75" Type="http://schemas.openxmlformats.org/officeDocument/2006/relationships/comments" Target="comments.xm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Relationship Id="rId80" Type="http://schemas.openxmlformats.org/officeDocument/2006/relationships/glossaryDocument" Target="glossary/document.xml"/><Relationship Id="rId81"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Application>LibreOffice/26.2.4.2$Linux_X86_64 LibreOffice_project/3346a99e6b841765b75a9b29714a5b95c6761ce3</Application>
  <AppVersion>15.0000</AppVersion>
  <Pages>192</Pages>
  <Words>63510</Words>
  <Characters>382189</Characters>
  <CharactersWithSpaces>442653</CharactersWithSpaces>
  <Paragraphs>3374</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2026-07-19T12:05:19Z</dcterms:modified>
  <cp:revision>54</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