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 xml:space="preserve">INTEGRAÇÃO DO </w:t>
          </w:r>
          <w:r>
            <w:rPr>
              <w:rStyle w:val="TtulodeCapaefolhaderosto-IPCACarter"/>
              <w:i w:val="false"/>
              <w:iCs w:val="false"/>
            </w:rPr>
            <w:t>DESIGN</w:t>
          </w:r>
          <w:r>
            <w:rPr>
              <w:rStyle w:val="TtulodeCapaefolhaderosto-IPCACarter"/>
              <w:i w:val="false"/>
              <w:iCs w:val="false"/>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do contrato de sugestão paramétrica</w:t>
        <w:tab/>
        <w:t>80</w:t>
      </w:r>
    </w:p>
    <w:p>
      <w:pPr>
        <w:pStyle w:val="TOC1"/>
        <w:rPr/>
      </w:pPr>
      <w:r>
        <w:rPr/>
        <w:t>Tabela 6.2 — Distribuição de tarefas entre regras, IA e supervisão humana</w:t>
        <w:tab/>
        <w:t>83</w:t>
      </w:r>
    </w:p>
    <w:p>
      <w:pPr>
        <w:pStyle w:val="TOC1"/>
        <w:rPr/>
      </w:pPr>
      <w:r>
        <w:rPr/>
        <w:t>Tabela 8.1 — Evidência técnica do funcionamento da plataforma</w:t>
        <w:tab/>
        <w:t>89</w:t>
      </w:r>
    </w:p>
    <w:p>
      <w:pPr>
        <w:pStyle w:val="TOC1"/>
        <w:rPr/>
      </w:pPr>
      <w:r>
        <w:rPr/>
        <w:t>Tabela 8.2 — Projetos de preparação digital para impressão 3D com configuração analisada</w:t>
        <w:tab/>
        <w:t>91</w:t>
      </w:r>
    </w:p>
    <w:p>
      <w:pPr>
        <w:pStyle w:val="TOC1"/>
        <w:rPr/>
      </w:pPr>
      <w:r>
        <w:rPr/>
        <w:t>Tabela 8.3 — Inspeção computacional de malhas na configuração infantil</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Nest</w:t>
      </w:r>
      <w:r>
        <w:rPr/>
        <w:t>a investigação</w:t>
      </w:r>
      <w:r>
        <w:rPr/>
        <w:t xml:space="preserve">,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 xml:space="preserve">Apesar da expansão do fabrico aditivo e da partilha de modelos abertos, persiste uma lacuna na articulação entre dados antropométricos, regras geométricas, configuração digital e preparação para fabrico. Muitos modelos </w:t>
      </w:r>
      <w:r>
        <w:rPr/>
        <w:t>de próteses</w:t>
      </w:r>
      <w:r>
        <w:rPr/>
        <w:t xml:space="preserve">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w:t>
      </w:r>
      <w:r>
        <w:rPr/>
        <w:t xml:space="preserve">que </w:t>
      </w:r>
      <w:r>
        <w:rPr/>
        <w:t xml:space="preserve">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 xml:space="preserve">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w:t>
      </w:r>
      <w:r>
        <w:rPr/>
        <w:t xml:space="preserve">de forma </w:t>
      </w:r>
      <w:r>
        <w:rPr/>
        <w:t xml:space="preserve">recorrente a importância do </w:t>
      </w:r>
      <w:r>
        <w:rPr/>
        <w:t>acompanhamento</w:t>
      </w:r>
      <w:r>
        <w:rPr/>
        <w:t xml:space="preserve"> continuado, da educação do utilizador e do ajust</w:t>
      </w:r>
      <w:r>
        <w:rPr/>
        <w:t>e</w:t>
      </w:r>
      <w:r>
        <w:rPr/>
        <w:t xml:space="preserv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recorrentemente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pelo Regulamento ([^2]EU) 2017/745 (MDR) - https://eur-lex.europa.eu/eli/reg/2017/745/oj/eng, que classifica os dispositivos nas Classes I, IIa, IIb e III. Dispositivos terapêuticos ativos,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 xml:space="preserve">O </w:t>
      </w:r>
      <w:r>
        <w:rPr>
          <w:i/>
          <w:iCs/>
        </w:rPr>
        <w:t>design</w:t>
      </w:r>
      <w:r>
        <w:rPr/>
        <w:t xml:space="preserve"> inclusivo representa uma mudança conceptual significativa ao deslocar o foco da deficiência enquanto atributo individual para a compreensão da deficiência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Ron Mace[^5],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ISO 62366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Somam-se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Este modelo “</w:t>
      </w:r>
      <w:r>
        <w:rPr>
          <w:i/>
          <w:iCs/>
        </w:rPr>
        <w:t>file-to-factory</w:t>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[^11].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fabrico.[^12]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mãos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ISO 7250).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t xml:space="preserve">2. A digitalização 3D por </w:t>
      </w:r>
      <w:r>
        <w:rPr>
          <w:i/>
          <w:iCs/>
        </w:rPr>
        <w:t>scanning</w:t>
      </w:r>
      <w:r>
        <w:rPr/>
        <w:t xml:space="preserve">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 xml:space="preserve">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t xml:space="preserve">Formas de IA mais relevantes para o </w:t>
      </w:r>
      <w:r>
        <w:rPr>
          <w:i/>
          <w:iCs/>
        </w:rPr>
        <w:t>design</w:t>
      </w:r>
    </w:p>
    <w:p>
      <w:pPr>
        <w:pStyle w:val="TextoNormal-IPCA"/>
        <w:rPr/>
      </w:pPr>
      <w:r>
        <w:rPr/>
        <w:t xml:space="preserve">A literatura identifica várias famílias de aplicações da IA com relevância directa para o </w:t>
      </w:r>
      <w:r>
        <w:rPr>
          <w:i/>
          <w:iCs/>
        </w:rPr>
        <w:t>design</w:t>
      </w:r>
      <w:r>
        <w:rPr/>
        <w:t>.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t xml:space="preserve">, </w:t>
      </w:r>
      <w:r>
        <w:rPr>
          <w:i/>
          <w:iCs/>
        </w:rPr>
        <w:t>serious games</w:t>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do projecto, sem ser incluído nas séries comparativas ou físicas. A reconstrução pec Phoenix hand permanece material de desenvolvimento e fica fora do âmbito deste capítulo. O inventário consolidado dos modelos, com origem, licença, estado de integração,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5"/>
        <w:gridCol w:w="1760"/>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9"/>
        <w:gridCol w:w="3672"/>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3"/>
        <w:gridCol w:w="2658"/>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ao estado da plataforma usado nos ensaios principais.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2"/>
        <w:gridCol w:w="3524"/>
        <w:gridCol w:w="3961"/>
      </w:tblGrid>
      <w:tr>
        <w:trPr>
          <w:tblHeader w:val="true"/>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nos intervalos; sem limitação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com base em episódios em que uma configuração, uma malha ou uma montagem tornou visível uma limitação e conduziu a uma alteração específica. A Tabela 4.11 resume os episódios com maior influência na estrutura paramétrica. As alterações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final examinado corresponde a 14 de Julho de 2026. 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Os estados e componentes são registados porque condicionam a leitura dos ensaios; a sua enumeração não constitui comparação entre tecnologias.</w:t>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 demonstração pública em handfab.pedrocandeias.net</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do projecto.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SQLite, utilizada para armazenar contas de utilizador, configurações guardadas, relações de atribuição técnica e </w:t>
      </w:r>
      <w:r>
        <w:rPr>
          <w:i/>
          <w:iCs/>
        </w:rPr>
        <w:t>tokens</w:t>
      </w:r>
      <w:r>
        <w:rPr/>
        <w:t xml:space="preserve">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 xml:space="preserve">Um dos aspectos mais relevantes da arquitectura é que a renderização geométrica não é executada no servidor. Em vez disso, o cálculo e a geração da geometria tridimensional ocorrem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para o projecto reside em impedir que todas as decisões e operações sejam apresentadas indistintamente a todos os perfis (Quintero et al., 2018; Bai et al., 2024).</w:t>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geração contínua.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t>
      </w:r>
      <w:r>
        <w:rPr>
          <w:i/>
          <w:iCs/>
        </w:rPr>
        <w:t>web</w:t>
      </w:r>
      <w:r>
        <w:rPr/>
        <w:t>.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Segundo essa literatura,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No estado usado nos ensaios principais,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no estado final examinado.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Modelo e estado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Flexy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Paraglider/Flexible Flyer;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 Phoenix V1.0;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Cyborg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de modelos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de modelos no estado da plataforma usado nos ensaios principais. O total inclui selectores, opções de visualização e controlos não geométricos; a contagem numérica identifica os campos do tipo number, sem pressupor que todos representem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estado usado nos ensaios principais foi inspeccionado no fecho do estudo. A Tabela 8.1 distingue resultados executados nesta verificação, dados observados na base local e registos de ensaios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de catálogo de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Relatórios e testes </w:t>
            </w:r>
            <w:r>
              <w:rPr>
                <w:rFonts w:eastAsia="Calibri"/>
                <w:i/>
                <w:iCs/>
                <w:kern w:val="0"/>
                <w:szCs w:val="24"/>
                <w:lang w:val="pt-PT" w:eastAsia="en-US" w:bidi="ar-SA"/>
              </w:rPr>
              <w:t>end-to-end</w:t>
            </w:r>
            <w:r>
              <w:rPr>
                <w:rFonts w:eastAsia="Calibri"/>
                <w:kern w:val="0"/>
                <w:szCs w:val="24"/>
                <w:lang w:val="pt-PT" w:eastAsia="en-US" w:bidi="ar-SA"/>
              </w:rPr>
              <w:t xml:space="preserve">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Geração em </w:t>
            </w:r>
            <w:r>
              <w:rPr>
                <w:rFonts w:eastAsia="Calibri"/>
                <w:i/>
                <w:iCs/>
                <w:kern w:val="0"/>
                <w:szCs w:val="24"/>
                <w:lang w:val="pt-PT" w:eastAsia="en-US" w:bidi="ar-SA"/>
              </w:rPr>
              <w:t>WebAssembly</w:t>
            </w:r>
            <w:r>
              <w:rPr>
                <w:rFonts w:eastAsia="Calibri"/>
                <w:kern w:val="0"/>
                <w:szCs w:val="24"/>
                <w:lang w:val="pt-PT" w:eastAsia="en-US" w:bidi="ar-SA"/>
              </w:rPr>
              <w:t>, conversão para GLB e exportação STL/3MF documentadas nos registos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bateria Playwright dos ensaios principais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exactamente iguais ao nível dos dados binários, isto é, com a mesma sequência de zeros e uns que constitui o seu conteúdo digital,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nos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produziu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com base em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por meio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inspeccionado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após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spacing w:before="0" w:after="0"/>
        <w:rPr/>
      </w:pPr>
      <w:r>
        <w:rPr>
          <w:b/>
        </w:rPr>
        <w:t>Data das séries de ensaios: 13 e 14 de Julho de 2026</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abaixo deles e acima deles; campos obrigatórios ausentes; texto num campo numérico; contradição entre idade e descrição; país sem correspondência directa na base; e perfil inferior ao limite de um modelo. Abrangeram também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final examinado corresponde a 14 de Julho de 2026. 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constituem uma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false"/>
        <w:spacing w:lineRule="auto" w:line="240"/>
        <w:jc w:val="start"/>
        <w:rPr/>
      </w:pPr>
      <w:r>
        <w:annotationRef/>
      </w:r>
      <w:r>
        <w:rPr>
          <w:rFonts w:asciiTheme="minorHAnsi" w:cstheme="minorBidi" w:eastAsiaTheme="minorHAnsi" w:hAnsiTheme="minorHAnsi" w:cs="" w:ascii="Calibri" w:hAnsi="Calibri"/>
          <w:sz w:val="24"/>
        </w:rPr>
        <w:t>Trocar “feedback”</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72</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72</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comments" Target="comments.xml"/><Relationship Id="rId74" Type="http://schemas.openxmlformats.org/officeDocument/2006/relationships/numbering" Target="numbering.xml"/><Relationship Id="rId75" Type="http://schemas.openxmlformats.org/officeDocument/2006/relationships/fontTable" Target="fontTable.xml"/><Relationship Id="rId76" Type="http://schemas.openxmlformats.org/officeDocument/2006/relationships/settings" Target="settings.xml"/><Relationship Id="rId77" Type="http://schemas.openxmlformats.org/officeDocument/2006/relationships/theme" Target="theme/theme1.xml"/><Relationship Id="rId78" Type="http://schemas.openxmlformats.org/officeDocument/2006/relationships/glossaryDocument" Target="glossary/document.xml"/><Relationship Id="rId79"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Application>LibreOffice/26.2.4.2$Linux_X86_64 LibreOffice_project/3346a99e6b841765b75a9b29714a5b95c6761ce3</Application>
  <AppVersion>15.0000</AppVersion>
  <Pages>191</Pages>
  <Words>63627</Words>
  <Characters>382770</Characters>
  <CharactersWithSpaces>443322</CharactersWithSpaces>
  <Paragraphs>3377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2026-07-16T08:41:08Z</dcterms:modified>
  <cp:revision>8</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