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41</w:t>
      </w:r>
    </w:p>
    <w:p>
      <w:pPr>
        <w:pStyle w:val="ndice1"/>
        <w:tabs>
          <w:tab w:val="right" w:leader="dot" w:pos="8204"/>
        </w:tabs>
      </w:pPr>
      <w:r>
        <w:t>Tabela 4.2 — Conjuntos mínimos de parâmetros por nível de amputação</w:t>
        <w:tab/>
      </w:r>
      <w:r>
        <w:t>42</w:t>
      </w:r>
    </w:p>
    <w:p>
      <w:pPr>
        <w:pStyle w:val="ndice1"/>
        <w:tabs>
          <w:tab w:val="right" w:leader="dot" w:pos="8204"/>
        </w:tabs>
      </w:pPr>
      <w:r>
        <w:t>Tabela 4.3 — Métodos de recolha de dados antropométricos e suas características</w:t>
        <w:tab/>
      </w:r>
      <w:r>
        <w:t>44</w:t>
      </w:r>
    </w:p>
    <w:p>
      <w:pPr>
        <w:pStyle w:val="ndice1"/>
        <w:tabs>
          <w:tab w:val="right" w:leader="dot" w:pos="8204"/>
        </w:tabs>
      </w:pPr>
      <w:r>
        <w:t>Tabela 4.4 — Fontes integradas na base local de dados antropométricos</w:t>
        <w:tab/>
      </w:r>
      <w:r>
        <w:t>45</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Relações paramétricas dos modelos avaliados</w:t>
        <w:tab/>
      </w:r>
      <w:r>
        <w:t>55</w:t>
      </w:r>
    </w:p>
    <w:p>
      <w:pPr>
        <w:pStyle w:val="ndice1"/>
        <w:tabs>
          <w:tab w:val="right" w:leader="dot" w:pos="8204"/>
        </w:tabs>
      </w:pPr>
      <w:r>
        <w:t>Tabela 4.9 — Dicionário operacional dos parâmetros numéricos dos modelos avaliados</w:t>
        <w:tab/>
      </w:r>
      <w:r>
        <w:t>57</w:t>
      </w:r>
    </w:p>
    <w:p>
      <w:pPr>
        <w:pStyle w:val="ndice1"/>
        <w:tabs>
          <w:tab w:val="right" w:leader="dot" w:pos="8204"/>
        </w:tabs>
      </w:pPr>
      <w:r>
        <w:t>Tabela 4.10 — Percurso numérico do vector antropométrico até às malhas do Flexy Beast</w:t>
        <w:tab/>
      </w:r>
      <w:r>
        <w:t>58</w:t>
      </w:r>
    </w:p>
    <w:p>
      <w:pPr>
        <w:pStyle w:val="ndice1"/>
        <w:tabs>
          <w:tab w:val="right" w:leader="dot" w:pos="8204"/>
        </w:tabs>
      </w:pPr>
      <w:r>
        <w:t>Tabela 5.1 — Fluxo de dados e responsabilidades da plataforma</w:t>
        <w:tab/>
      </w:r>
      <w:r>
        <w:t>64</w:t>
      </w:r>
    </w:p>
    <w:p>
      <w:pPr>
        <w:pStyle w:val="ndice1"/>
        <w:tabs>
          <w:tab w:val="right" w:leader="dot" w:pos="8204"/>
        </w:tabs>
      </w:pPr>
      <w:r>
        <w:t>Tabela 5.2 — Inventário consolidado dos modelos no fecho do estudo</w:t>
        <w:tab/>
      </w:r>
      <w:r>
        <w:t>73</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81</w:t>
      </w:r>
    </w:p>
    <w:p>
      <w:pPr>
        <w:pStyle w:val="ndice1"/>
        <w:tabs>
          <w:tab w:val="right" w:leader="dot" w:pos="8204"/>
        </w:tabs>
      </w:pPr>
      <w:r>
        <w:t>Tabela 8.1 — Evidência técnica do funcionamento da plataforma</w:t>
        <w:tab/>
      </w:r>
      <w:r>
        <w:t>90</w:t>
      </w:r>
    </w:p>
    <w:p>
      <w:pPr>
        <w:pStyle w:val="ndice1"/>
        <w:tabs>
          <w:tab w:val="right" w:leader="dot" w:pos="8204"/>
        </w:tabs>
      </w:pPr>
      <w:r>
        <w:t>Tabela 8.2 — Projectos de preparação para impressão arquivados</w:t>
        <w:tab/>
      </w:r>
      <w:r>
        <w:t>91</w:t>
      </w:r>
    </w:p>
    <w:p>
      <w:pPr>
        <w:pStyle w:val="ndice1"/>
        <w:tabs>
          <w:tab w:val="right" w:leader="dot" w:pos="8204"/>
        </w:tabs>
      </w:pPr>
      <w:r>
        <w:t>Tabela 8.3 — Inspecção computacional de malhas na configuração infantil</w:t>
        <w:tab/>
      </w:r>
      <w:r>
        <w:t>92</w:t>
      </w:r>
    </w:p>
    <w:p>
      <w:pPr>
        <w:pStyle w:val="ndice1"/>
        <w:tabs>
          <w:tab w:val="right" w:leader="dot" w:pos="8204"/>
        </w:tabs>
      </w:pPr>
      <w:r>
        <w:t>Tabela 8.4 — Entradas utilizadas nos cenários de avaliação da IA</w:t>
        <w:tab/>
      </w:r>
      <w:r>
        <w:t>96</w:t>
      </w:r>
    </w:p>
    <w:p>
      <w:pPr>
        <w:pStyle w:val="ndice1"/>
        <w:tabs>
          <w:tab w:val="right" w:leader="dot" w:pos="8204"/>
        </w:tabs>
      </w:pPr>
      <w:r>
        <w:t>Tabela 8.5 — Síntese da avaliação das sugestões de IA</w:t>
        <w:tab/>
      </w:r>
      <w:r>
        <w:t>98</w:t>
      </w:r>
    </w:p>
    <w:p>
      <w:pPr>
        <w:pStyle w:val="ndice1"/>
        <w:tabs>
          <w:tab w:val="right" w:leader="dot" w:pos="8204"/>
        </w:tabs>
      </w:pPr>
      <w:r>
        <w:t>Tabela 8.6 — Modelos e mecanismos de escala avaliados</w:t>
        <w:tab/>
      </w:r>
      <w:r>
        <w:t>99</w:t>
      </w:r>
    </w:p>
    <w:p>
      <w:pPr>
        <w:pStyle w:val="ndice1"/>
        <w:tabs>
          <w:tab w:val="right" w:leader="dot" w:pos="8204"/>
        </w:tabs>
      </w:pPr>
      <w:r>
        <w:t>Tabela 8.7 — Rácio adimensional da maior dimensão da palma exportada face ao valor de referência</w:t>
        <w:tab/>
      </w:r>
      <w:r>
        <w:t>100</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41</w:t>
      </w:r>
    </w:p>
    <w:p>
      <w:pPr>
        <w:pStyle w:val="ndice1"/>
        <w:tabs>
          <w:tab w:val="right" w:leader="dot" w:pos="8204"/>
        </w:tabs>
      </w:pPr>
      <w:r>
        <w:t>Figura 4.2 — Comparação entre o escalonamento uniforme e a modelação paramétrica de dedo protésico.</w:t>
        <w:tab/>
      </w:r>
      <w:r>
        <w:t>43</w:t>
      </w:r>
    </w:p>
    <w:p>
      <w:pPr>
        <w:pStyle w:val="ndice1"/>
        <w:tabs>
          <w:tab w:val="right" w:leader="dot" w:pos="8204"/>
        </w:tabs>
      </w:pPr>
      <w:r>
        <w:t>Figura 4.3 — Relação entre modelo paramétrico digital, prototipagem e verificação de um dedo protésico.</w:t>
        <w:tab/>
      </w:r>
      <w:r>
        <w:t>53</w:t>
      </w:r>
    </w:p>
    <w:p>
      <w:pPr>
        <w:pStyle w:val="ndice1"/>
        <w:tabs>
          <w:tab w:val="right" w:leader="dot" w:pos="8204"/>
        </w:tabs>
      </w:pPr>
      <w:r>
        <w:t>Figura 5.1 — Fluxo geral de produção personalizada de próteses a partir de plataforma web – Hand Fab</w:t>
        <w:tab/>
      </w:r>
      <w:r>
        <w:t>62</w:t>
      </w:r>
    </w:p>
    <w:p>
      <w:pPr>
        <w:pStyle w:val="ndice1"/>
        <w:tabs>
          <w:tab w:val="right" w:leader="dot" w:pos="8204"/>
        </w:tabs>
      </w:pPr>
      <w:r>
        <w:t>Figura 5.2 — Arquitectura da plataforma e fronteiras entre navegador, servidor, serviço externo de IA e preparação do fabrico.</w:t>
        <w:tab/>
      </w:r>
      <w:r>
        <w:t>65</w:t>
      </w:r>
    </w:p>
    <w:p>
      <w:pPr>
        <w:pStyle w:val="ndice1"/>
        <w:tabs>
          <w:tab w:val="right" w:leader="dot" w:pos="8204"/>
        </w:tabs>
      </w:pPr>
      <w:r>
        <w:t>Figura 5.3 — Sequência de dados e decisões desde o perfil ou descrição até à sugestão, confirmação, geração determinística e exportação.</w:t>
        <w:tab/>
      </w:r>
      <w:r>
        <w:t>66</w:t>
      </w:r>
    </w:p>
    <w:p>
      <w:pPr>
        <w:pStyle w:val="ndice1"/>
        <w:tabs>
          <w:tab w:val="right" w:leader="dot" w:pos="8204"/>
        </w:tabs>
      </w:pPr>
      <w:r>
        <w:t>Figura 5.4 — Fluxo geral de produção personalizada de próteses a partir de digitalização, CAD adaptativo e fabrico aditivo.</w:t>
        <w:tab/>
      </w:r>
      <w:r>
        <w:t>67</w:t>
      </w:r>
    </w:p>
    <w:p>
      <w:pPr>
        <w:pStyle w:val="ndice1"/>
        <w:tabs>
          <w:tab w:val="right" w:leader="dot" w:pos="8204"/>
        </w:tabs>
      </w:pPr>
      <w:r>
        <w:t>Figura 5.5 — Ferramenta paramétrica para configuração de ajudas técnicas com variação de dimensões, materiais e peso.</w:t>
        <w:tab/>
      </w:r>
      <w:r>
        <w:t>71</w:t>
      </w:r>
    </w:p>
    <w:p>
      <w:pPr>
        <w:pStyle w:val="ndice1"/>
        <w:tabs>
          <w:tab w:val="right" w:leader="dot" w:pos="8204"/>
        </w:tabs>
      </w:pPr>
      <w:r>
        <w:t>Figura 6.1 — Relação entre desafios de explicabilidade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87</w:t>
      </w:r>
    </w:p>
    <w:p>
      <w:pPr>
        <w:pStyle w:val="ndice1"/>
        <w:tabs>
          <w:tab w:val="right" w:leader="dot" w:pos="8204"/>
        </w:tabs>
      </w:pPr>
      <w:r>
        <w:t>Figura 8.1 — Segmentos do Flexy Beast produzidos e assentes na plataforma da Bambu Lab A1.</w:t>
        <w:tab/>
      </w:r>
      <w:r>
        <w:t>95</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95</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95</w:t>
      </w:r>
    </w:p>
    <w:p>
      <w:pPr>
        <w:pStyle w:val="ndice1"/>
        <w:tabs>
          <w:tab w:val="right" w:leader="dot" w:pos="8204"/>
        </w:tabs>
      </w:pPr>
      <w:r>
        <w:t>Figura 8.4 — Tarefas funcionais usadas em avaliação de prótese personalizada de membro superior.</w:t>
        <w:tab/>
      </w:r>
      <w:r>
        <w:t>96</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39</w:t>
      </w:r>
    </w:p>
    <w:p>
      <w:pPr>
        <w:pStyle w:val="ndice2"/>
        <w:tabs>
          <w:tab w:val="right" w:leader="dot" w:pos="8204"/>
        </w:tabs>
      </w:pPr>
      <w:r>
        <w:t>4.1 Definição do problema de design e requisitos</w:t>
        <w:tab/>
      </w:r>
      <w:r>
        <w:t>39</w:t>
      </w:r>
    </w:p>
    <w:p>
      <w:pPr>
        <w:pStyle w:val="ndice2"/>
        <w:tabs>
          <w:tab w:val="right" w:leader="dot" w:pos="8204"/>
        </w:tabs>
      </w:pPr>
      <w:r>
        <w:t>4.2 Parâmetros antropométricos e estrutura do modelo</w:t>
        <w:tab/>
      </w:r>
      <w:r>
        <w:t>40</w:t>
      </w:r>
    </w:p>
    <w:p>
      <w:pPr>
        <w:pStyle w:val="ndice2"/>
        <w:tabs>
          <w:tab w:val="right" w:leader="dot" w:pos="8204"/>
        </w:tabs>
      </w:pPr>
      <w:r>
        <w:t>Conjuntos mínimos de parâmetros por nível de amputação</w:t>
        <w:tab/>
      </w:r>
      <w:r>
        <w:t>42</w:t>
      </w:r>
    </w:p>
    <w:p>
      <w:pPr>
        <w:pStyle w:val="ndice2"/>
        <w:tabs>
          <w:tab w:val="right" w:leader="dot" w:pos="8204"/>
        </w:tabs>
      </w:pPr>
      <w:r>
        <w:t>Limitações do redimensionamento proporcional</w:t>
        <w:tab/>
      </w:r>
      <w:r>
        <w:t>43</w:t>
      </w:r>
    </w:p>
    <w:p>
      <w:pPr>
        <w:pStyle w:val="ndice2"/>
        <w:tabs>
          <w:tab w:val="right" w:leader="dot" w:pos="8204"/>
        </w:tabs>
      </w:pPr>
      <w:r>
        <w:t>Métodos de recolha de dados antropométricos</w:t>
        <w:tab/>
      </w:r>
      <w:r>
        <w:t>43</w:t>
      </w:r>
    </w:p>
    <w:p>
      <w:pPr>
        <w:pStyle w:val="ndice2"/>
        <w:tabs>
          <w:tab w:val="right" w:leader="dot" w:pos="8204"/>
        </w:tabs>
      </w:pPr>
      <w:r>
        <w:t>Bases de dados antropométricas, extracção e normalização</w:t>
        <w:tab/>
      </w:r>
      <w:r>
        <w:t>44</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50</w:t>
      </w:r>
    </w:p>
    <w:p>
      <w:pPr>
        <w:pStyle w:val="ndice2"/>
        <w:tabs>
          <w:tab w:val="right" w:leader="dot" w:pos="8204"/>
        </w:tabs>
      </w:pPr>
      <w:r>
        <w:t>4.3 Modelação paramétrica em OpenSCAD</w:t>
        <w:tab/>
      </w:r>
      <w:r>
        <w:t>52</w:t>
      </w:r>
    </w:p>
    <w:p>
      <w:pPr>
        <w:pStyle w:val="ndice3"/>
        <w:tabs>
          <w:tab w:val="right" w:leader="dot" w:pos="8204"/>
        </w:tabs>
      </w:pPr>
      <w:r>
        <w:t>4.3.1 Estrutura técnica, parâmetros e restrições</w:t>
        <w:tab/>
      </w:r>
      <w:r>
        <w:t>53</w:t>
      </w:r>
    </w:p>
    <w:p>
      <w:pPr>
        <w:pStyle w:val="ndice3"/>
        <w:tabs>
          <w:tab w:val="right" w:leader="dot" w:pos="8204"/>
        </w:tabs>
      </w:pPr>
      <w:r>
        <w:t>4.3.2 Análise crítica da abordagem</w:t>
        <w:tab/>
      </w:r>
      <w:r>
        <w:t>54</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57</w:t>
      </w:r>
    </w:p>
    <w:p>
      <w:pPr>
        <w:pStyle w:val="ndice3"/>
        <w:tabs>
          <w:tab w:val="right" w:leader="dot" w:pos="8204"/>
        </w:tabs>
      </w:pPr>
      <w:r>
        <w:t>4.3.5 Exemplo numérico completo: perfil infantil no Flexy Beast</w:t>
        <w:tab/>
      </w:r>
      <w:r>
        <w:t>58</w:t>
      </w:r>
    </w:p>
    <w:p>
      <w:pPr>
        <w:pStyle w:val="ndice2"/>
        <w:tabs>
          <w:tab w:val="right" w:leader="dot" w:pos="8204"/>
        </w:tabs>
      </w:pPr>
      <w:r>
        <w:t>4.4 Iterações, refinamento e discussão intermédia</w:t>
        <w:tab/>
      </w:r>
      <w:r>
        <w:t>59</w:t>
      </w:r>
    </w:p>
    <w:p>
      <w:pPr>
        <w:pStyle w:val="ndice1"/>
        <w:tabs>
          <w:tab w:val="right" w:leader="dot" w:pos="8204"/>
        </w:tabs>
      </w:pPr>
      <w:r>
        <w:t>Capítulo 5 — Plataforma Web e Integração Digital</w:t>
        <w:tab/>
      </w:r>
      <w:r>
        <w:t>62</w:t>
      </w:r>
    </w:p>
    <w:p>
      <w:pPr>
        <w:pStyle w:val="ndice2"/>
        <w:tabs>
          <w:tab w:val="right" w:leader="dot" w:pos="8204"/>
        </w:tabs>
      </w:pPr>
      <w:r>
        <w:t>5.1 Enquadramento conceptual e perfis de utilizador</w:t>
        <w:tab/>
      </w:r>
      <w:r>
        <w:t>62</w:t>
      </w:r>
    </w:p>
    <w:p>
      <w:pPr>
        <w:pStyle w:val="ndice2"/>
        <w:tabs>
          <w:tab w:val="right" w:leader="dot" w:pos="8204"/>
        </w:tabs>
      </w:pPr>
      <w:r>
        <w:t>5.2 Arquitectura geral do sistema</w:t>
        <w:tab/>
      </w:r>
      <w:r>
        <w:t>63</w:t>
      </w:r>
    </w:p>
    <w:p>
      <w:pPr>
        <w:pStyle w:val="ndice2"/>
        <w:tabs>
          <w:tab w:val="right" w:leader="dot" w:pos="8204"/>
        </w:tabs>
      </w:pPr>
      <w:r>
        <w:t>5.3 Integração OpenSCAD via WebAssembly (WASM)</w:t>
        <w:tab/>
      </w:r>
      <w:r>
        <w:t>68</w:t>
      </w:r>
    </w:p>
    <w:p>
      <w:pPr>
        <w:pStyle w:val="ndice2"/>
        <w:tabs>
          <w:tab w:val="right" w:leader="dot" w:pos="8204"/>
        </w:tabs>
      </w:pPr>
      <w:r>
        <w:t>5.4 Estrutura funcional da plataforma</w:t>
        <w:tab/>
      </w:r>
      <w:r>
        <w:t>70</w:t>
      </w:r>
    </w:p>
    <w:p>
      <w:pPr>
        <w:pStyle w:val="ndice2"/>
        <w:tabs>
          <w:tab w:val="right" w:leader="dot" w:pos="8204"/>
        </w:tabs>
      </w:pPr>
      <w:r>
        <w:t>5.5 Gestão de parâmetros, versões e expansão</w:t>
        <w:tab/>
      </w:r>
      <w:r>
        <w:t>75</w:t>
      </w:r>
    </w:p>
    <w:p>
      <w:pPr>
        <w:pStyle w:val="ndice1"/>
        <w:tabs>
          <w:tab w:val="right" w:leader="dot" w:pos="8204"/>
        </w:tabs>
      </w:pPr>
      <w:r>
        <w:t>Capítulo 6 — Integração da Inteligência Artificial</w:t>
        <w:tab/>
      </w:r>
      <w:r>
        <w:t>77</w:t>
      </w:r>
    </w:p>
    <w:p>
      <w:pPr>
        <w:pStyle w:val="ndice2"/>
        <w:tabs>
          <w:tab w:val="right" w:leader="dot" w:pos="8204"/>
        </w:tabs>
      </w:pPr>
      <w:r>
        <w:t>6.1 Papel da IA no sistema proposto</w:t>
        <w:tab/>
      </w:r>
      <w:r>
        <w:t>77</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80</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85</w:t>
      </w:r>
    </w:p>
    <w:p>
      <w:pPr>
        <w:pStyle w:val="ndice2"/>
        <w:tabs>
          <w:tab w:val="right" w:leader="dot" w:pos="8204"/>
        </w:tabs>
      </w:pPr>
      <w:r>
        <w:t>7.3 Mediação do processo de design e reflexão crítica</w:t>
        <w:tab/>
      </w:r>
      <w:r>
        <w:t>87</w:t>
      </w:r>
    </w:p>
    <w:p>
      <w:pPr>
        <w:pStyle w:val="ndice1"/>
        <w:tabs>
          <w:tab w:val="right" w:leader="dot" w:pos="8204"/>
        </w:tabs>
      </w:pPr>
      <w:r>
        <w:t>Capítulo 8 — Avaliação e Discussão</w:t>
        <w:tab/>
      </w:r>
      <w:r>
        <w:t>90</w:t>
      </w:r>
    </w:p>
    <w:p>
      <w:pPr>
        <w:pStyle w:val="ndice2"/>
        <w:tabs>
          <w:tab w:val="right" w:leader="dot" w:pos="8204"/>
        </w:tabs>
      </w:pPr>
      <w:r>
        <w:t>8.1 Estratégia e critérios de avaliação</w:t>
        <w:tab/>
      </w:r>
      <w:r>
        <w:t>90</w:t>
      </w:r>
    </w:p>
    <w:p>
      <w:pPr>
        <w:pStyle w:val="ndice3"/>
        <w:tabs>
          <w:tab w:val="right" w:leader="dot" w:pos="8204"/>
        </w:tabs>
      </w:pPr>
      <w:r>
        <w:t>8.1.1 Verificação técnica da plataforma</w:t>
        <w:tab/>
      </w:r>
      <w:r>
        <w:t>90</w:t>
      </w:r>
    </w:p>
    <w:p>
      <w:pPr>
        <w:pStyle w:val="ndice3"/>
        <w:tabs>
          <w:tab w:val="right" w:leader="dot" w:pos="8204"/>
        </w:tabs>
      </w:pPr>
      <w:r>
        <w:t>8.1.2 Preparação para impressão e protótipos físicos</w:t>
        <w:tab/>
      </w:r>
      <w:r>
        <w:t>91</w:t>
      </w:r>
    </w:p>
    <w:p>
      <w:pPr>
        <w:pStyle w:val="ndice2"/>
        <w:tabs>
          <w:tab w:val="right" w:leader="dot" w:pos="8204"/>
        </w:tabs>
      </w:pPr>
      <w:r>
        <w:t>8.2 Avaliação da coerência das sugestões de IA</w:t>
        <w:tab/>
      </w:r>
      <w:r>
        <w:t>96</w:t>
      </w:r>
    </w:p>
    <w:p>
      <w:pPr>
        <w:pStyle w:val="ndice2"/>
        <w:tabs>
          <w:tab w:val="right" w:leader="dot" w:pos="8204"/>
        </w:tabs>
      </w:pPr>
      <w:r>
        <w:t>8.3 Verificação geométrica entre modelos</w:t>
        <w:tab/>
      </w:r>
      <w:r>
        <w:t>99</w:t>
      </w:r>
    </w:p>
    <w:p>
      <w:pPr>
        <w:pStyle w:val="ndice2"/>
        <w:tabs>
          <w:tab w:val="right" w:leader="dot" w:pos="8204"/>
        </w:tabs>
      </w:pPr>
      <w:r>
        <w:t>8.4 Discussão dos resultados face aos objectivos</w:t>
        <w:tab/>
      </w:r>
      <w:r>
        <w:t>101</w:t>
      </w:r>
    </w:p>
    <w:p>
      <w:pPr>
        <w:pStyle w:val="ndice1"/>
        <w:tabs>
          <w:tab w:val="right" w:leader="dot" w:pos="8204"/>
        </w:tabs>
      </w:pPr>
      <w:r>
        <w:t>Capítulo 9 — Conclusões e Trabalhos Futuros</w:t>
        <w:tab/>
      </w:r>
      <w:r>
        <w:t>102</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102</w:t>
      </w:r>
    </w:p>
    <w:p>
      <w:pPr>
        <w:pStyle w:val="ndice2"/>
        <w:tabs>
          <w:tab w:val="right" w:leader="dot" w:pos="8204"/>
        </w:tabs>
      </w:pPr>
      <w:r>
        <w:t>9.3 Limitações</w:t>
        <w:tab/>
      </w:r>
      <w:r>
        <w:t>103</w:t>
      </w:r>
    </w:p>
    <w:p>
      <w:pPr>
        <w:pStyle w:val="ndice2"/>
        <w:tabs>
          <w:tab w:val="right" w:leader="dot" w:pos="8204"/>
        </w:tabs>
      </w:pPr>
      <w:r>
        <w:t>9.4 Trabalho futuro</w:t>
        <w:tab/>
      </w:r>
      <w:r>
        <w:t>103</w:t>
      </w:r>
    </w:p>
    <w:p>
      <w:pPr>
        <w:pStyle w:val="ndice1"/>
        <w:tabs>
          <w:tab w:val="right" w:leader="dot" w:pos="8204"/>
        </w:tabs>
      </w:pPr>
      <w:r>
        <w:t>Referências Bibliográficas</w:t>
        <w:tab/>
      </w:r>
      <w:r>
        <w:t>105</w:t>
      </w:r>
    </w:p>
    <w:p>
      <w:pPr>
        <w:pStyle w:val="ndice1"/>
        <w:tabs>
          <w:tab w:val="right" w:leader="dot" w:pos="8204"/>
        </w:tabs>
      </w:pPr>
      <w:r>
        <w:t>Anexo A — Metodologia de extracção e codificação de dados antropométricos da mão</w:t>
        <w:tab/>
      </w:r>
      <w:r>
        <w:t>117</w:t>
      </w:r>
    </w:p>
    <w:p>
      <w:pPr>
        <w:pStyle w:val="ndice2"/>
        <w:tabs>
          <w:tab w:val="right" w:leader="dot" w:pos="8204"/>
        </w:tabs>
      </w:pPr>
      <w:r>
        <w:t>A.1 Contexto e Objectivo</w:t>
        <w:tab/>
      </w:r>
      <w:r>
        <w:t>117</w:t>
      </w:r>
    </w:p>
    <w:p>
      <w:pPr>
        <w:pStyle w:val="ndice3"/>
        <w:tabs>
          <w:tab w:val="right" w:leader="dot" w:pos="8204"/>
        </w:tabs>
      </w:pPr>
      <w:r>
        <w:t>A.1.1 Localização, versão e integridade dos ficheiros</w:t>
        <w:tab/>
      </w:r>
      <w:r>
        <w:t>117</w:t>
      </w:r>
    </w:p>
    <w:p>
      <w:pPr>
        <w:pStyle w:val="ndice2"/>
        <w:tabs>
          <w:tab w:val="right" w:leader="dot" w:pos="8204"/>
        </w:tabs>
      </w:pPr>
      <w:r>
        <w:t>A.2 Estratégia de Pesquisa Bibliográfica</w:t>
        <w:tab/>
      </w:r>
      <w:r>
        <w:t>117</w:t>
      </w:r>
    </w:p>
    <w:p>
      <w:pPr>
        <w:pStyle w:val="ndice3"/>
        <w:tabs>
          <w:tab w:val="right" w:leader="dot" w:pos="8204"/>
        </w:tabs>
      </w:pPr>
      <w:r>
        <w:t>A.2.1 Pesquisa bibliográfica orientada</w:t>
        <w:tab/>
      </w:r>
      <w:r>
        <w:t>118</w:t>
      </w:r>
    </w:p>
    <w:p>
      <w:pPr>
        <w:pStyle w:val="ndice3"/>
        <w:tabs>
          <w:tab w:val="right" w:leader="dot" w:pos="8204"/>
        </w:tabs>
      </w:pPr>
      <w:r>
        <w:t>A.2.2 Base ANSUR 1988</w:t>
        <w:tab/>
      </w:r>
      <w:r>
        <w:t>118</w:t>
      </w:r>
    </w:p>
    <w:p>
      <w:pPr>
        <w:pStyle w:val="ndice2"/>
        <w:tabs>
          <w:tab w:val="right" w:leader="dot" w:pos="8204"/>
        </w:tabs>
      </w:pPr>
      <w:r>
        <w:t>A.3 Critérios de Inclusão e Exclusão de Estudos</w:t>
        <w:tab/>
      </w:r>
      <w:r>
        <w:t>118</w:t>
      </w:r>
    </w:p>
    <w:p>
      <w:pPr>
        <w:pStyle w:val="ndice3"/>
        <w:tabs>
          <w:tab w:val="right" w:leader="dot" w:pos="8204"/>
        </w:tabs>
      </w:pPr>
      <w:r>
        <w:t>A.3.1 Critérios de inclusão</w:t>
        <w:tab/>
      </w:r>
      <w:r>
        <w:t>118</w:t>
      </w:r>
    </w:p>
    <w:p>
      <w:pPr>
        <w:pStyle w:val="ndice3"/>
        <w:tabs>
          <w:tab w:val="right" w:leader="dot" w:pos="8204"/>
        </w:tabs>
      </w:pPr>
      <w:r>
        <w:t>A.3.2 Critérios de exclusão</w:t>
        <w:tab/>
      </w:r>
      <w:r>
        <w:t>118</w:t>
      </w:r>
    </w:p>
    <w:p>
      <w:pPr>
        <w:pStyle w:val="ndice2"/>
        <w:tabs>
          <w:tab w:val="right" w:leader="dot" w:pos="8204"/>
        </w:tabs>
      </w:pPr>
      <w:r>
        <w:t>A.4 Processo de Extracção de Dados</w:t>
        <w:tab/>
      </w:r>
      <w:r>
        <w:t>119</w:t>
      </w:r>
    </w:p>
    <w:p>
      <w:pPr>
        <w:pStyle w:val="ndice3"/>
        <w:tabs>
          <w:tab w:val="right" w:leader="dot" w:pos="8204"/>
        </w:tabs>
      </w:pPr>
      <w:r>
        <w:t>A.4.1 Leitura dos PDFs e localização das tabelas</w:t>
        <w:tab/>
      </w:r>
      <w:r>
        <w:t>119</w:t>
      </w:r>
    </w:p>
    <w:p>
      <w:pPr>
        <w:pStyle w:val="ndice3"/>
        <w:tabs>
          <w:tab w:val="right" w:leader="dot" w:pos="8204"/>
        </w:tabs>
      </w:pPr>
      <w:r>
        <w:t>A.4.2 Identificação das unidades e conversão</w:t>
        <w:tab/>
      </w:r>
      <w:r>
        <w:t>119</w:t>
      </w:r>
    </w:p>
    <w:p>
      <w:pPr>
        <w:pStyle w:val="ndice3"/>
        <w:tabs>
          <w:tab w:val="right" w:leader="dot" w:pos="8204"/>
        </w:tabs>
      </w:pPr>
      <w:r>
        <w:t>A.4.3 Decomposição em linhas atómicas</w:t>
        <w:tab/>
      </w:r>
      <w:r>
        <w:t>119</w:t>
      </w:r>
    </w:p>
    <w:p>
      <w:pPr>
        <w:pStyle w:val="ndice3"/>
        <w:tabs>
          <w:tab w:val="right" w:leader="dot" w:pos="8204"/>
        </w:tabs>
      </w:pPr>
      <w:r>
        <w:t>A.4.4 Registo fiel do contexto da medição</w:t>
        <w:tab/>
      </w:r>
      <w:r>
        <w:t>119</w:t>
      </w:r>
    </w:p>
    <w:p>
      <w:pPr>
        <w:pStyle w:val="ndice2"/>
        <w:tabs>
          <w:tab w:val="right" w:leader="dot" w:pos="8204"/>
        </w:tabs>
      </w:pPr>
      <w:r>
        <w:t>A.5 Decisões por Estudo</w:t>
        <w:tab/>
      </w:r>
      <w:r>
        <w:t>120</w:t>
      </w:r>
    </w:p>
    <w:p>
      <w:pPr>
        <w:pStyle w:val="ndice3"/>
        <w:tabs>
          <w:tab w:val="right" w:leader="dot" w:pos="8204"/>
        </w:tabs>
      </w:pPr>
      <w:r>
        <w:t>A.5.1 ANSUR 1988 — EUA, militares (Gordon et al., 1989)</w:t>
        <w:tab/>
      </w:r>
      <w:r>
        <w:t>120</w:t>
      </w:r>
    </w:p>
    <w:p>
      <w:pPr>
        <w:pStyle w:val="ndice3"/>
        <w:tabs>
          <w:tab w:val="right" w:leader="dot" w:pos="8204"/>
        </w:tabs>
      </w:pPr>
      <w:r>
        <w:t>A.5.2 Turquia — jovens adultos (Chatzioglou et al., 2024)</w:t>
        <w:tab/>
      </w:r>
      <w:r>
        <w:t>120</w:t>
      </w:r>
    </w:p>
    <w:p>
      <w:pPr>
        <w:pStyle w:val="ndice3"/>
        <w:tabs>
          <w:tab w:val="right" w:leader="dot" w:pos="8204"/>
        </w:tabs>
      </w:pPr>
      <w:r>
        <w:t>A.5.3 México — população geral (Rodríguez-Vega &amp; Rodríguez-Vega, 2024)</w:t>
        <w:tab/>
      </w:r>
      <w:r>
        <w:t>120</w:t>
      </w:r>
    </w:p>
    <w:p>
      <w:pPr>
        <w:pStyle w:val="ndice3"/>
        <w:tabs>
          <w:tab w:val="right" w:leader="dot" w:pos="8204"/>
        </w:tabs>
      </w:pPr>
      <w:r>
        <w:t>A.5.4 Índia — mulheres trabalhadoras (Nag et al., 2003)</w:t>
        <w:tab/>
      </w:r>
      <w:r>
        <w:t>121</w:t>
      </w:r>
    </w:p>
    <w:p>
      <w:pPr>
        <w:pStyle w:val="ndice3"/>
        <w:tabs>
          <w:tab w:val="right" w:leader="dot" w:pos="8204"/>
        </w:tabs>
      </w:pPr>
      <w:r>
        <w:t>A.5.5 Portugal — trabalhadores industriais (Anacleto Filho et al., 2023)</w:t>
        <w:tab/>
      </w:r>
      <w:r>
        <w:t>121</w:t>
      </w:r>
    </w:p>
    <w:p>
      <w:pPr>
        <w:pStyle w:val="ndice3"/>
        <w:tabs>
          <w:tab w:val="right" w:leader="dot" w:pos="8204"/>
        </w:tabs>
      </w:pPr>
      <w:r>
        <w:t>A.5.6 Nigéria — atletas universitários (Ibiwari et al., 2025)</w:t>
        <w:tab/>
      </w:r>
      <w:r>
        <w:t>121</w:t>
      </w:r>
    </w:p>
    <w:p>
      <w:pPr>
        <w:pStyle w:val="ndice3"/>
        <w:tabs>
          <w:tab w:val="right" w:leader="dot" w:pos="8204"/>
        </w:tabs>
      </w:pPr>
      <w:r>
        <w:t>A.5.7 Jordânia — trabalhadores com deficiência (Mistarihi, 2020)</w:t>
        <w:tab/>
      </w:r>
      <w:r>
        <w:t>121</w:t>
      </w:r>
    </w:p>
    <w:p>
      <w:pPr>
        <w:pStyle w:val="ndice3"/>
        <w:tabs>
          <w:tab w:val="right" w:leader="dot" w:pos="8204"/>
        </w:tabs>
      </w:pPr>
      <w:r>
        <w:t>A.5.8 EUA — dedo indicador (Lim et al., 2018)</w:t>
        <w:tab/>
      </w:r>
      <w:r>
        <w:t>122</w:t>
      </w:r>
    </w:p>
    <w:p>
      <w:pPr>
        <w:pStyle w:val="ndice3"/>
        <w:tabs>
          <w:tab w:val="right" w:leader="dot" w:pos="8204"/>
        </w:tabs>
      </w:pPr>
      <w:r>
        <w:t>A.5.9 Estudo excluído: Moreo (2016)</w:t>
        <w:tab/>
      </w:r>
      <w:r>
        <w:t>122</w:t>
      </w:r>
    </w:p>
    <w:p>
      <w:pPr>
        <w:pStyle w:val="ndice3"/>
        <w:tabs>
          <w:tab w:val="right" w:leader="dot" w:pos="8204"/>
        </w:tabs>
      </w:pPr>
      <w:r>
        <w:t>A.5.10 EUA — militares ANSUR II (Gordon et al., 2015)</w:t>
        <w:tab/>
      </w:r>
      <w:r>
        <w:t>122</w:t>
      </w:r>
    </w:p>
    <w:p>
      <w:pPr>
        <w:pStyle w:val="ndice3"/>
        <w:tabs>
          <w:tab w:val="right" w:leader="dot" w:pos="8204"/>
        </w:tabs>
      </w:pPr>
      <w:r>
        <w:t>A.5.11 Países Baixos — DINED (TU Delft, 1993–2004)</w:t>
        <w:tab/>
      </w:r>
      <w:r>
        <w:t>122</w:t>
      </w:r>
    </w:p>
    <w:p>
      <w:pPr>
        <w:pStyle w:val="ndice3"/>
        <w:tabs>
          <w:tab w:val="right" w:leader="dot" w:pos="8204"/>
        </w:tabs>
      </w:pPr>
      <w:r>
        <w:t>A.5.12 China — idosos de Pequim (Hu et al., 2007)</w:t>
        <w:tab/>
      </w:r>
      <w:r>
        <w:t>123</w:t>
      </w:r>
    </w:p>
    <w:p>
      <w:pPr>
        <w:pStyle w:val="ndice3"/>
        <w:tabs>
          <w:tab w:val="right" w:leader="dot" w:pos="8204"/>
        </w:tabs>
      </w:pPr>
      <w:r>
        <w:t>A.5.13 Estudo excluído: reconstrução corporal 3D a partir de fotografias ortogonais</w:t>
        <w:tab/>
      </w:r>
      <w:r>
        <w:t>123</w:t>
      </w:r>
    </w:p>
    <w:p>
      <w:pPr>
        <w:pStyle w:val="ndice2"/>
        <w:tabs>
          <w:tab w:val="right" w:leader="dot" w:pos="8204"/>
        </w:tabs>
      </w:pPr>
      <w:r>
        <w:t>A.6 Estrutura do CSV e esquema de dados</w:t>
        <w:tab/>
      </w:r>
      <w:r>
        <w:t>123</w:t>
      </w:r>
    </w:p>
    <w:p>
      <w:pPr>
        <w:pStyle w:val="ndice3"/>
        <w:tabs>
          <w:tab w:val="right" w:leader="dot" w:pos="8204"/>
        </w:tabs>
      </w:pPr>
      <w:r>
        <w:t>A.6.1 Campos</w:t>
        <w:tab/>
      </w:r>
      <w:r>
        <w:t>124</w:t>
      </w:r>
    </w:p>
    <w:p>
      <w:pPr>
        <w:pStyle w:val="ndice3"/>
        <w:tabs>
          <w:tab w:val="right" w:leader="dot" w:pos="8204"/>
        </w:tabs>
      </w:pPr>
      <w:r>
        <w:t>A.6.2 Formato longo (long format)</w:t>
        <w:tab/>
      </w:r>
      <w:r>
        <w:t>125</w:t>
      </w:r>
    </w:p>
    <w:p>
      <w:pPr>
        <w:pStyle w:val="ndice2"/>
        <w:tabs>
          <w:tab w:val="right" w:leader="dot" w:pos="8204"/>
        </w:tabs>
      </w:pPr>
      <w:r>
        <w:t>A.7 Controlo de Qualidade dos Dados</w:t>
        <w:tab/>
      </w:r>
      <w:r>
        <w:t>125</w:t>
      </w:r>
    </w:p>
    <w:p>
      <w:pPr>
        <w:pStyle w:val="ndice3"/>
        <w:tabs>
          <w:tab w:val="right" w:leader="dot" w:pos="8204"/>
        </w:tabs>
      </w:pPr>
      <w:r>
        <w:t>A.7.1 Marcação inline de limitações</w:t>
        <w:tab/>
      </w:r>
      <w:r>
        <w:t>125</w:t>
      </w:r>
    </w:p>
    <w:p>
      <w:pPr>
        <w:pStyle w:val="ndice3"/>
        <w:tabs>
          <w:tab w:val="right" w:leader="dot" w:pos="8204"/>
        </w:tabs>
      </w:pPr>
      <w:r>
        <w:t>A.7.2 Verificação de unidades</w:t>
        <w:tab/>
      </w:r>
      <w:r>
        <w:t>125</w:t>
      </w:r>
    </w:p>
    <w:p>
      <w:pPr>
        <w:pStyle w:val="ndice3"/>
        <w:tabs>
          <w:tab w:val="right" w:leader="dot" w:pos="8204"/>
        </w:tabs>
      </w:pPr>
      <w:r>
        <w:t>A.7.3 Ligação à fonte</w:t>
        <w:tab/>
      </w:r>
      <w:r>
        <w:t>125</w:t>
      </w:r>
    </w:p>
    <w:p>
      <w:pPr>
        <w:pStyle w:val="ndice2"/>
        <w:tabs>
          <w:tab w:val="right" w:leader="dot" w:pos="8204"/>
        </w:tabs>
      </w:pPr>
      <w:r>
        <w:t>A.8 Escrita do Código de Geração</w:t>
        <w:tab/>
      </w:r>
      <w:r>
        <w:t>125</w:t>
      </w:r>
    </w:p>
    <w:p>
      <w:pPr>
        <w:pStyle w:val="ndice3"/>
        <w:tabs>
          <w:tab w:val="right" w:leader="dot" w:pos="8204"/>
        </w:tabs>
      </w:pPr>
      <w:r>
        <w:t>A.8.1 Correspondência entre os CSV e os parâmetros da plataforma</w:t>
        <w:tab/>
      </w:r>
      <w:r>
        <w:t>126</w:t>
      </w:r>
    </w:p>
    <w:p>
      <w:pPr>
        <w:pStyle w:val="ndice2"/>
        <w:tabs>
          <w:tab w:val="right" w:leader="dot" w:pos="8204"/>
        </w:tabs>
      </w:pPr>
      <w:r>
        <w:t>A.9 Resultado Final</w:t>
        <w:tab/>
      </w:r>
      <w:r>
        <w:t>126</w:t>
      </w:r>
    </w:p>
    <w:p>
      <w:pPr>
        <w:pStyle w:val="ndice2"/>
        <w:tabs>
          <w:tab w:val="right" w:leader="dot" w:pos="8204"/>
        </w:tabs>
      </w:pPr>
      <w:r>
        <w:t>A.10 Cobertura Global da Base de Dados e Lacunas</w:t>
        <w:tab/>
      </w:r>
      <w:r>
        <w:t>127</w:t>
      </w:r>
    </w:p>
    <w:p>
      <w:pPr>
        <w:pStyle w:val="ndice3"/>
        <w:tabs>
          <w:tab w:val="right" w:leader="dot" w:pos="8204"/>
        </w:tabs>
      </w:pPr>
      <w:r>
        <w:t>A.10.1 O que está coberto</w:t>
        <w:tab/>
      </w:r>
      <w:r>
        <w:t>127</w:t>
      </w:r>
    </w:p>
    <w:p>
      <w:pPr>
        <w:pStyle w:val="ndice4"/>
        <w:tabs>
          <w:tab w:val="right" w:leader="dot" w:pos="8204"/>
        </w:tabs>
      </w:pPr>
      <w:r>
        <w:t>A.10.1.1 Cobertura geográfica</w:t>
        <w:tab/>
      </w:r>
      <w:r>
        <w:t>127</w:t>
      </w:r>
    </w:p>
    <w:p>
      <w:pPr>
        <w:pStyle w:val="ndice4"/>
        <w:tabs>
          <w:tab w:val="right" w:leader="dot" w:pos="8204"/>
        </w:tabs>
      </w:pPr>
      <w:r>
        <w:t>A.10.1.2 Cobertura etária</w:t>
        <w:tab/>
      </w:r>
      <w:r>
        <w:t>128</w:t>
      </w:r>
    </w:p>
    <w:p>
      <w:pPr>
        <w:pStyle w:val="ndice4"/>
        <w:tabs>
          <w:tab w:val="right" w:leader="dot" w:pos="8204"/>
        </w:tabs>
      </w:pPr>
      <w:r>
        <w:t>A.10.1.3 Cobertura estatística</w:t>
        <w:tab/>
      </w:r>
      <w:r>
        <w:t>128</w:t>
      </w:r>
    </w:p>
    <w:p>
      <w:pPr>
        <w:pStyle w:val="ndice3"/>
        <w:tabs>
          <w:tab w:val="right" w:leader="dot" w:pos="8204"/>
        </w:tabs>
      </w:pPr>
      <w:r>
        <w:t>A.10.2 Onde a cobertura falha</w:t>
        <w:tab/>
      </w:r>
      <w:r>
        <w:t>129</w:t>
      </w:r>
    </w:p>
    <w:p>
      <w:pPr>
        <w:pStyle w:val="ndice4"/>
        <w:tabs>
          <w:tab w:val="right" w:leader="dot" w:pos="8204"/>
        </w:tabs>
      </w:pPr>
      <w:r>
        <w:t>A.10.2.1 Lacunas geográficas</w:t>
        <w:tab/>
      </w:r>
      <w:r>
        <w:t>129</w:t>
      </w:r>
    </w:p>
    <w:p>
      <w:pPr>
        <w:pStyle w:val="ndice4"/>
        <w:tabs>
          <w:tab w:val="right" w:leader="dot" w:pos="8204"/>
        </w:tabs>
      </w:pPr>
      <w:r>
        <w:t>A.10.2.2 Lacunas demográficas</w:t>
        <w:tab/>
      </w:r>
      <w:r>
        <w:t>129</w:t>
      </w:r>
    </w:p>
    <w:p>
      <w:pPr>
        <w:pStyle w:val="ndice4"/>
        <w:tabs>
          <w:tab w:val="right" w:leader="dot" w:pos="8204"/>
        </w:tabs>
      </w:pPr>
      <w:r>
        <w:t>A.10.2.3 Limitações qualitativas dos dados existentes</w:t>
        <w:tab/>
      </w:r>
      <w:r>
        <w:t>129</w:t>
      </w:r>
    </w:p>
    <w:p>
      <w:pPr>
        <w:pStyle w:val="ndice3"/>
        <w:tabs>
          <w:tab w:val="right" w:leader="dot" w:pos="8204"/>
        </w:tabs>
      </w:pPr>
      <w:r>
        <w:t>A.10.3 Frentes identificadas para expansão futura</w:t>
        <w:tab/>
      </w:r>
      <w:r>
        <w:t>130</w:t>
      </w:r>
    </w:p>
    <w:p>
      <w:pPr>
        <w:pStyle w:val="ndice4"/>
        <w:tabs>
          <w:tab w:val="right" w:leader="dot" w:pos="8204"/>
        </w:tabs>
      </w:pPr>
      <w:r>
        <w:t>A.10.3.1 Prioridade alta</w:t>
        <w:tab/>
      </w:r>
      <w:r>
        <w:t>130</w:t>
      </w:r>
    </w:p>
    <w:p>
      <w:pPr>
        <w:pStyle w:val="ndice4"/>
        <w:tabs>
          <w:tab w:val="right" w:leader="dot" w:pos="8204"/>
        </w:tabs>
      </w:pPr>
      <w:r>
        <w:t>A.10.3.2 Prioridade média</w:t>
        <w:tab/>
      </w:r>
      <w:r>
        <w:t>130</w:t>
      </w:r>
    </w:p>
    <w:p>
      <w:pPr>
        <w:pStyle w:val="ndice4"/>
        <w:tabs>
          <w:tab w:val="right" w:leader="dot" w:pos="8204"/>
        </w:tabs>
      </w:pPr>
      <w:r>
        <w:t>A.10.3.3 Pertinência directa para o tema da tese</w:t>
        <w:tab/>
      </w:r>
      <w:r>
        <w:t>130</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O projecto parte do design industrial como campo de prática e investigação capaz de mediar inovação tecnológica, requisitos de fabrico e experiência humana. Esta perspectiva relaciona-se com os designerly ways of knowing, que reconhecem modos próprios de formular problemas e produzir conhecimento através da experimentação material, da geração de alternativas e da articulação de exigências técnicas e humanas (Cross, 1982). Nesta dissertação, essa mediação é examinada na tradução entre fontes antropométricas, parâmetros editáveis, regras geométricas, mensagens da interface e peças fabricadas.</w:t>
      </w:r>
    </w:p>
    <w:p>
      <w:pPr>
        <w:pStyle w:val="TextoNormal-IPCA"/>
      </w:pPr>
      <w:r>
        <w:t>O contributo de investigação decorre da explicitação dessas traduções e das falhas encontradas durante o desenvolvimento. O trabalho não demonstra desempenho clínico do dispositivo nem efeitos na experiência de pessoas amputadas. A dimensão humana é tratada como requisito e limite ético, com base na literatura, e permanece como matéria de estudo posterior com participantes.</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Existem dois projectos Bambu Lab A1, para Flexy Beast e UnLimbited Phoenix, gerados no Bambu Studio 1.10.02.76, e um projecto Prusa MINI para Paraglider Hand, gerado no PrusaSlicer 2.8.1. Os dois projectos Bambu registam camada de 0,24 mm, duas paredes, 15% de enchimento em grelha, suporte em árvore automático e aba de 5 mm. O projecto Prusa regista camada de 0,20 mm, duas paredes, 15% de enchimento em grelha, PLA, bico de 0,4 mm, mesa a 60 °C e suporte desactivado. Os parâmetros comparáveis foram mantidos nas restantes impressões, segundo o registo do projecto, embora não exista um ficheiro de configuração individual para cada peça produzida.</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rPr>
                <w:sz w:val="15"/>
                <w:szCs w:val="15"/>
              </w:rPr>
              <w:t>Flexy-Beast de daprice; CC BY-SA 4.0</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TextoNormal-IPCA"/>
      </w:pPr>
      <w:r>
        <w:t>Os estudos consultados indicam que, no caso das próteses de membro superior, os métodos computacionais de adaptação e controlo têm incidido sobretudo na interpretação de sinais, na intenção motora e no desempenho operativo do dispositivo. Esta linha de trabalho difere do uso de um modelo de linguagem para sugerir parâmetros iniciais de geometria, que constitui o foco desta plataforma (Cordella et al., 2016; Marinelli et al., 2022; Peerdeman et al., 2011).</w:t>
      </w:r>
    </w:p>
    <w:p>
      <w:pPr>
        <w:pStyle w:val="TextoNormal-IPCA"/>
      </w:pPr>
      <w:r>
        <w:t>Em contrapartida, continuam pouco consolidadas as abordagens que articulam, no mesmo sistema, a entrada antropométrica, o modelo paramétrico explícito, a sugestão apoiada de parâmetros e a supervisão técnica. Esta lacuna é central para a presente investigação, pois permite situar a proposta como uma articulação entre componentes que os estudos consultados tendem a desenvolver de forma fragmentada.</w:t>
      </w:r>
    </w:p>
    <w:p>
      <w:pPr>
        <w:pStyle w:val="TextoNormal-IPCA"/>
      </w:pPr>
      <w:r>
        <w:t>Neste enquadramento, a IA assume a função de camada complementar de apoio à configuração, operando sobre uma base paramétrica já definida e articulando-se com a lógica geométrica do modelo, a decisão de projecto e a verificação técnica. Os trabalhos de da Silveira Romero et al. (2025), Lim et al. (2018) e Saldarriaga et al. (2024) fornecem fundamento técnico para construir geometrias configuráveis com regras explícitas, parâmetros dimensionais e relações geométricas controladas.</w:t>
      </w:r>
    </w:p>
    <w:p>
      <w:pPr>
        <w:pStyle w:val="TextoNormal-IPCA"/>
      </w:pPr>
      <w:r>
        <w:t>Em conjunto, esses estudos mostram que a personalização pode ser estruturada através de modelos explícitos e fluxos CAD/CAM ajustáveis. O sistema aqui proposto parte desta premissa: a geometria é produzida por um modelo paramétrico definido em OpenSCAD e manipulável através de parâmetros cuja origem e efeito podem ser identificados.</w:t>
      </w:r>
    </w:p>
    <w:p>
      <w:pPr>
        <w:pStyle w:val="TextoNormal-IPCA"/>
      </w:pPr>
      <w:r>
        <w:t>É neste ponto que a IA assume uma função específica. Actua como mecanismo de mediação entre os dados de entrada e a exploração inicial do espaço paramétrico. O seu papel é apoiar a tradução de informação antropométrica e de critérios de fabrico em sugestões paramétricas compatíveis com o esquema, reduzindo a complexidade associada à definição manual de valores iniciais e à navegação em sistemas com múltiplas dependências internas. Esta posição aproxima-se de abordagens orientadas por dados, mantendo a necessidade de interpretação humana (Gu et al., 2024).</w:t>
      </w:r>
    </w:p>
    <w:p>
      <w:pPr>
        <w:pStyle w:val="TextoNormal-IPCA"/>
      </w:pPr>
      <w:r>
        <w:t>No processo de desenvolvimento, a IA funciona como uma ferramenta de apoio à decisão e à iteração: propõe pontos de partida, ajuda a comparar cenários, acelera os ciclos de teste e permanece articulada com a estrutura técnica do sistema.</w:t>
      </w:r>
    </w:p>
    <w:p>
      <w:pPr>
        <w:pStyle w:val="TextoNormal-IPCA"/>
      </w:pPr>
      <w:r>
        <w:t>Entre os antecedentes mais próximos desta lógica encontram-se trabalhos que combinam personalização anatómica, modelação paramétrica, fabrico aditivo e componentes inteligentes, como o estudo de Romero et al. (2025), bem como modelos de optimização estrutural orientados por dados anatómicos e restrições de adaptação, como o proposto por Gu et al. (2024).</w:t>
      </w:r>
    </w:p>
    <w:p>
      <w:pPr>
        <w:pStyle w:val="TextoNormal-IPCA"/>
      </w:pPr>
      <w:r>
        <w:t>Esta leitura é coerente com a arquitectura da plataforma descrita no capítulo anterior. O sistema separa a camada de interface, a lógica paramétrica, a renderização local em WebAssembly e a comunicação controlada com serviços externos de IA. Tal organização preserva uma ligação verificável entre a entrada inicial, a sugestão produzida pela IA e o resultado geométrico gerado pelo modelo.</w:t>
      </w:r>
    </w:p>
    <w:p>
      <w:pPr>
        <w:pStyle w:val="TextoNormal-IPCA"/>
      </w:pPr>
      <w:r>
        <w:t>O sistema mantém a IA sob supervisão: sugere valores sem determinar a configuração, apoia a exploração sem validar o resultado e acelera tarefas sem substituir o julgamento técnico. Esta opção responde à supervisão clínica ou técnica limitada nos estudos que articulam modelação digital, CAD, IA, co-design apoiado ou impressão 3D (Romero et al., 2025; Elbreki et al., 2022; Idris et al., 2024). O valor da IA reside no apoio a um processo já estruturado por lógica paramétrica explícita, requisitos de fabrico e responsabilidade humana.</w:t>
      </w:r>
    </w:p>
    <w:p>
      <w:pPr>
        <w:pStyle w:val="Cabealho2"/>
        <w:numPr>
          <w:ilvl w:val="1"/>
          <w:numId w:val="0"/>
        </w:numPr>
      </w:pPr>
      <w:r>
        <w:t>6.2 IA na parametrização, personalização e apoio à decisão</w:t>
      </w:r>
    </w:p>
    <w:p>
      <w:pPr>
        <w:pStyle w:val="TextoNormal-IPCA"/>
      </w:pPr>
      <w:r>
        <w:t>No domínio da parametrização, a inteligência artificial torna-se mais relevante quando opera sobre uma estrutura geométrica previamente formalizada. Em sistemas como o aqui proposto, isso significa receber dados antropométricos e restrições de fabrico e convertê-los em sugestões iniciais para os parâmetros já definidos no modelo. A literatura sobre próteses paramétricas e personalização anatómica mostra que a configuração depende de relações explícitas entre medidas, proporções e componentes geométricos (Saldarriaga et al., 2024; da Silveira Romero et al., 2025). Neste enquadramento, a IA ajuda a propor valores dentro dos intervalos definidos e combinações iniciais sujeitas a verificação.</w:t>
      </w:r>
    </w:p>
    <w:p>
      <w:pPr>
        <w:pStyle w:val="TextoNormal-IPCA"/>
      </w:pPr>
      <w:r>
        <w:t>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O estudo de Lim et al. (2018),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TextoNormal-IPCA"/>
      </w:pPr>
      <w:r>
        <w:t>De forma convergente, Gu et al. (2024)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hardware seleccionado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vivo do modelo seleccionado, os nomes exactos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activo e sujeita a filtragem posterior pela aplicação.</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Especificação no protótipo</w:t>
            </w:r>
          </w:p>
        </w:tc>
      </w:tr>
      <w:tr>
        <w:tc>
          <w:tcPr>
            <w:tcW w:w="0" w:type="auto"/>
          </w:tcPr>
          <w:p>
            <w:pPr>
              <w:pStyle w:val="TextoNormal-IPCA"/>
              <w:jc w:val="left"/>
            </w:pPr>
            <w:r>
              <w:t>Função da IA</w:t>
            </w:r>
          </w:p>
        </w:tc>
        <w:tc>
          <w:tcPr>
            <w:tcW w:w="0" w:type="auto"/>
          </w:tcPr>
          <w:p>
            <w:pPr>
              <w:pStyle w:val="TextoNormal-IPCA"/>
              <w:jc w:val="left"/>
            </w:pPr>
            <w:r>
              <w:t>Sugestão inicial de parâmetros antropométricos e geométricos a partir de descrições em linguagem natural; não gera autonomamente a geometria final nem valida clinicamente a prótese.</w:t>
            </w:r>
          </w:p>
        </w:tc>
      </w:tr>
      <w:tr>
        <w:tc>
          <w:tcPr>
            <w:tcW w:w="0" w:type="auto"/>
          </w:tcPr>
          <w:p>
            <w:pPr>
              <w:pStyle w:val="TextoNormal-IPCA"/>
              <w:jc w:val="left"/>
            </w:pPr>
            <w:r>
              <w:t>Endpoint de integração</w:t>
            </w:r>
          </w:p>
        </w:tc>
        <w:tc>
          <w:tcPr>
            <w:tcW w:w="0" w:type="auto"/>
          </w:tcPr>
          <w:p>
            <w:pPr>
              <w:pStyle w:val="TextoNormal-IPCA"/>
              <w:jc w:val="left"/>
            </w:pPr>
            <w:r>
              <w:t>POST /api/ai/suggest</w:t>
            </w:r>
            <w:r>
              <w:t>, através de chamada autenticada e limitada por frequência, com as chaves de API mantidas no servidor.</w:t>
            </w:r>
          </w:p>
        </w:tc>
      </w:tr>
      <w:tr>
        <w:tc>
          <w:tcPr>
            <w:tcW w:w="0" w:type="auto"/>
          </w:tcPr>
          <w:p>
            <w:pPr>
              <w:pStyle w:val="TextoNormal-IPCA"/>
              <w:jc w:val="left"/>
            </w:pPr>
            <w:r>
              <w:t>Fornecedor e modelo usados na validação</w:t>
            </w:r>
          </w:p>
        </w:tc>
        <w:tc>
          <w:tcPr>
            <w:tcW w:w="0" w:type="auto"/>
          </w:tcPr>
          <w:p>
            <w:pPr>
              <w:pStyle w:val="TextoNormal-IPCA"/>
              <w:jc w:val="left"/>
            </w:pPr>
            <w:r>
              <w:t xml:space="preserve">Anthropic, com o modelo </w:t>
            </w:r>
            <w:r>
              <w:t>claude-sonnet-4-6</w:t>
            </w:r>
            <w:r>
              <w:t>, definido como opção predefinida no servidor do protótipo.</w:t>
            </w:r>
          </w:p>
        </w:tc>
      </w:tr>
      <w:tr>
        <w:tc>
          <w:tcPr>
            <w:tcW w:w="0" w:type="auto"/>
          </w:tcPr>
          <w:p>
            <w:pPr>
              <w:pStyle w:val="TextoNormal-IPCA"/>
              <w:jc w:val="left"/>
            </w:pPr>
            <w:r>
              <w:t>Modelo alternativo disponibilizado</w:t>
            </w:r>
          </w:p>
        </w:tc>
        <w:tc>
          <w:tcPr>
            <w:tcW w:w="0" w:type="auto"/>
          </w:tcPr>
          <w:p>
            <w:pPr>
              <w:pStyle w:val="TextoNormal-IPCA"/>
              <w:jc w:val="left"/>
            </w:pPr>
            <w:r>
              <w:t xml:space="preserve">OpenAI, com o modelo </w:t>
            </w:r>
            <w:r>
              <w:t>gpt-4</w:t>
            </w:r>
            <w:r>
              <w:t>, acessível através da mesma rota de sugestão paramétrica.</w:t>
            </w:r>
          </w:p>
        </w:tc>
      </w:tr>
      <w:tr>
        <w:tc>
          <w:tcPr>
            <w:tcW w:w="0" w:type="auto"/>
          </w:tcPr>
          <w:p>
            <w:pPr>
              <w:pStyle w:val="TextoNormal-IPCA"/>
              <w:jc w:val="left"/>
            </w:pPr>
            <w:r>
              <w:t>Selecção do fornecedor</w:t>
            </w:r>
          </w:p>
        </w:tc>
        <w:tc>
          <w:tcPr>
            <w:tcW w:w="0" w:type="auto"/>
          </w:tcPr>
          <w:p>
            <w:pPr>
              <w:pStyle w:val="TextoNormal-IPCA"/>
              <w:jc w:val="left"/>
            </w:pPr>
            <w:r>
              <w:t xml:space="preserve">A interface permite escolher entre </w:t>
            </w:r>
            <w:r>
              <w:t>Anthropic (Claude)</w:t>
            </w:r>
            <w:r>
              <w:t xml:space="preserve"> e </w:t>
            </w:r>
            <w:r>
              <w:t>OpenAI (GPT-4)</w:t>
            </w:r>
            <w:r>
              <w:t xml:space="preserve">; o pedido enviado ao servidor identifica o fornecedor através do campo </w:t>
            </w:r>
            <w:r>
              <w:t>provider</w:t>
            </w:r>
            <w:r>
              <w:t>.</w:t>
            </w:r>
          </w:p>
        </w:tc>
      </w:tr>
      <w:tr>
        <w:tc>
          <w:tcPr>
            <w:tcW w:w="0" w:type="auto"/>
          </w:tcPr>
          <w:p>
            <w:pPr>
              <w:pStyle w:val="TextoNormal-IPCA"/>
              <w:jc w:val="left"/>
            </w:pPr>
            <w:r>
              <w:t>Parâmetros da chamada avaliada</w:t>
            </w:r>
          </w:p>
        </w:tc>
        <w:tc>
          <w:tcPr>
            <w:tcW w:w="0" w:type="auto"/>
          </w:tcPr>
          <w:p>
            <w:pPr>
              <w:pStyle w:val="TextoNormal-IPCA"/>
              <w:jc w:val="left"/>
            </w:pPr>
            <w:r>
              <w:t xml:space="preserve">Máximo de 1024 tokens; o código não fixa a temperatura na chamada ao </w:t>
            </w:r>
            <w:r>
              <w:t>claude-sonnet-4-6</w:t>
            </w:r>
            <w:r>
              <w:t>, pelo que fica em vigor a configuração do fornecedor. O percurso OpenAI fixa temperatura de 0,7, mas não integra a avaliação reportada.</w:t>
            </w:r>
          </w:p>
        </w:tc>
      </w:tr>
      <w:tr>
        <w:tc>
          <w:tcPr>
            <w:tcW w:w="0" w:type="auto"/>
          </w:tcPr>
          <w:p>
            <w:pPr>
              <w:pStyle w:val="TextoNormal-IPCA"/>
              <w:jc w:val="left"/>
            </w:pPr>
            <w:r>
              <w:t>Contrato de resposta</w:t>
            </w:r>
          </w:p>
        </w:tc>
        <w:tc>
          <w:tcPr>
            <w:tcW w:w="0" w:type="auto"/>
          </w:tcPr>
          <w:p>
            <w:pPr>
              <w:pStyle w:val="TextoNormal-IPCA"/>
              <w:jc w:val="left"/>
            </w:pPr>
            <w:r>
              <w:t>Objeto JSON simples no formato parâmetro-valor; chaves desconhecidas são rejeitadas ou ignoradas e apenas parâmetros pertencentes ao modelo activo podem ser aplicados.</w:t>
            </w:r>
          </w:p>
        </w:tc>
      </w:tr>
      <w:tr>
        <w:tc>
          <w:tcPr>
            <w:tcW w:w="0" w:type="auto"/>
          </w:tcPr>
          <w:p>
            <w:pPr>
              <w:pStyle w:val="TextoNormal-IPCA"/>
              <w:jc w:val="left"/>
            </w:pPr>
            <w:r>
              <w:t>Enquadramento dos dados</w:t>
            </w:r>
          </w:p>
        </w:tc>
        <w:tc>
          <w:tcPr>
            <w:tcW w:w="0" w:type="auto"/>
          </w:tcPr>
          <w:p>
            <w:pPr>
              <w:pStyle w:val="TextoNormal-IPCA"/>
              <w:jc w:val="left"/>
            </w:pPr>
            <w:r>
              <w:t>O pedido inclui o esquema vivo do modelo, limites mínimos e máximos, valores correntes, legendas dos parâmetros e, quando disponível, médias de perfis antropométricos populacionais.</w:t>
            </w:r>
          </w:p>
        </w:tc>
      </w:tr>
      <w:tr>
        <w:tc>
          <w:tcPr>
            <w:tcW w:w="0" w:type="auto"/>
          </w:tcPr>
          <w:p>
            <w:pPr>
              <w:pStyle w:val="TextoNormal-IPCA"/>
              <w:jc w:val="left"/>
            </w:pPr>
            <w:r>
              <w:t>Modelos CAD registados na versão 14.67.0</w:t>
            </w:r>
          </w:p>
        </w:tc>
        <w:tc>
          <w:tcPr>
            <w:tcW w:w="0" w:type="auto"/>
          </w:tcPr>
          <w:p>
            <w:pPr>
              <w:pStyle w:val="TextoNormal-IPCA"/>
              <w:jc w:val="left"/>
            </w:pPr>
            <w:r>
              <w:t>Flexy Beast, Paraglider Hand, UnLimbited Phoenix e Cyborg Beast. A avaliação comparativa abrangeu os três primeiros.</w:t>
            </w:r>
          </w:p>
        </w:tc>
      </w:tr>
    </w:tbl>
    <w:p>
      <w:pPr>
        <w:pStyle w:val="TextoNormal-IPCA"/>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directa e mais no facto de mostrar que a personalização digital e a camada inteligente podem coexistir no mesmo fluxo, desde que cada componente mantenha uma função claramente delimitada.</w:t>
      </w:r>
    </w:p>
    <w:p>
      <w:pPr>
        <w:pStyle w:val="TextoNormal-IPCA"/>
      </w:pPr>
      <w:r>
        <w:t>É por isso que, nesta investigação, a personalização apoiada por IA deve ser entendida como uma prática de supervisão humana contínua.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projecto, a aceitação final, porém, continua dependente de verificação técnica e de julgamento contextual. Deste modo, a parametrização apoiada por IA não corresponde a uma automatização cega da personalização, mas a um mecanismo de apoio à decisão que atua sobre uma base geométrica explícita, documentada e tecnicamente verificável.</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 xml:space="preserve">O protocolo executado em 28 e 29 de Junho de 2026 usou o fornecedor Anthropic e o modelo </w:t>
      </w:r>
      <w:r>
        <w:t>claude-sonnet-4-6</w:t>
      </w:r>
      <w:r>
        <w:t>.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A plataforma extraía o primeiro objecto JSON, ignorava chaves desconhecidas e aplicava apenas campos pertencentes ao modelo activo. Esta filtragem foi observada na amostra; a versão avaliada ainda não possuía validação integral por esquema no servidor.</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Tarefa</w:t>
            </w:r>
          </w:p>
        </w:tc>
        <w:tc>
          <w:tcPr>
            <w:tcW w:w="0" w:type="auto"/>
          </w:tcPr>
          <w:p>
            <w:pPr>
              <w:pStyle w:val="TextoNormal-IPCA"/>
              <w:jc w:val="center"/>
            </w:pPr>
            <w:r>
              <w:rPr>
                <w:b/>
              </w:rPr>
              <w:t>Mecanismo</w:t>
            </w:r>
          </w:p>
        </w:tc>
        <w:tc>
          <w:tcPr>
            <w:tcW w:w="0" w:type="auto"/>
          </w:tcPr>
          <w:p>
            <w:pPr>
              <w:pStyle w:val="TextoNormal-IPCA"/>
              <w:jc w:val="center"/>
            </w:pPr>
            <w:r>
              <w:rPr>
                <w:b/>
              </w:rPr>
              <w:t>Resultado</w:t>
            </w:r>
          </w:p>
        </w:tc>
      </w:tr>
      <w:tr>
        <w:tc>
          <w:tcPr>
            <w:tcW w:w="0" w:type="auto"/>
          </w:tcPr>
          <w:p>
            <w:pPr>
              <w:pStyle w:val="TextoNormal-IPCA"/>
              <w:jc w:val="left"/>
            </w:pPr>
            <w:r>
              <w:t>Identificar sexo e idade explícitos</w:t>
            </w:r>
          </w:p>
        </w:tc>
        <w:tc>
          <w:tcPr>
            <w:tcW w:w="0" w:type="auto"/>
          </w:tcPr>
          <w:p>
            <w:pPr>
              <w:pStyle w:val="TextoNormal-IPCA"/>
              <w:jc w:val="left"/>
            </w:pPr>
            <w:r>
              <w:t xml:space="preserve">Analisador de texto e, quando faltam campos, extracção opcional por </w:t>
            </w:r>
            <w:r>
              <w:t>claude-haiku-4-5-20251001</w:t>
            </w:r>
            <w:r>
              <w:t xml:space="preserve"> a temperatura 0</w:t>
            </w:r>
          </w:p>
        </w:tc>
        <w:tc>
          <w:tcPr>
            <w:tcW w:w="0" w:type="auto"/>
          </w:tcPr>
          <w:p>
            <w:pPr>
              <w:pStyle w:val="TextoNormal-IPCA"/>
              <w:jc w:val="left"/>
            </w:pPr>
            <w:r>
              <w:t>Atributos para procurar uma referência populacional</w:t>
            </w:r>
          </w:p>
        </w:tc>
      </w:tr>
      <w:tr>
        <w:tc>
          <w:tcPr>
            <w:tcW w:w="0" w:type="auto"/>
          </w:tcPr>
          <w:p>
            <w:pPr>
              <w:pStyle w:val="TextoNormal-IPCA"/>
              <w:jc w:val="left"/>
            </w:pPr>
            <w:r>
              <w:t>Escolher o perfil disponível mais próximo</w:t>
            </w:r>
          </w:p>
        </w:tc>
        <w:tc>
          <w:tcPr>
            <w:tcW w:w="0" w:type="auto"/>
          </w:tcPr>
          <w:p>
            <w:pPr>
              <w:pStyle w:val="TextoNormal-IPCA"/>
              <w:jc w:val="left"/>
            </w:pPr>
            <w:r>
              <w:t>Pontuação por sexo, grupo etário, idade e país, com critérios de desempate de qualidade</w:t>
            </w:r>
          </w:p>
        </w:tc>
        <w:tc>
          <w:tcPr>
            <w:tcW w:w="0" w:type="auto"/>
          </w:tcPr>
          <w:p>
            <w:pPr>
              <w:pStyle w:val="TextoNormal-IPCA"/>
              <w:jc w:val="left"/>
            </w:pPr>
            <w:r>
              <w:t>Referência quantitativa; não corresponde a diagnóstico nem a correspondência nacional garantida</w:t>
            </w:r>
          </w:p>
        </w:tc>
      </w:tr>
      <w:tr>
        <w:tc>
          <w:tcPr>
            <w:tcW w:w="0" w:type="auto"/>
          </w:tcPr>
          <w:p>
            <w:pPr>
              <w:pStyle w:val="TextoNormal-IPCA"/>
              <w:jc w:val="left"/>
            </w:pPr>
            <w:r>
              <w:t>Sugerir campos em falta</w:t>
            </w:r>
          </w:p>
        </w:tc>
        <w:tc>
          <w:tcPr>
            <w:tcW w:w="0" w:type="auto"/>
          </w:tcPr>
          <w:p>
            <w:pPr>
              <w:pStyle w:val="TextoNormal-IPCA"/>
              <w:jc w:val="left"/>
            </w:pPr>
            <w:r>
              <w:t>claude-sonnet-4-6</w:t>
            </w:r>
          </w:p>
        </w:tc>
        <w:tc>
          <w:tcPr>
            <w:tcW w:w="0" w:type="auto"/>
          </w:tcPr>
          <w:p>
            <w:pPr>
              <w:pStyle w:val="TextoNormal-IPCA"/>
              <w:jc w:val="left"/>
            </w:pPr>
            <w:r>
              <w:t>Ponto de partida sujeito a alterações entre execuções</w:t>
            </w:r>
          </w:p>
        </w:tc>
      </w:tr>
      <w:tr>
        <w:tc>
          <w:tcPr>
            <w:tcW w:w="0" w:type="auto"/>
          </w:tcPr>
          <w:p>
            <w:pPr>
              <w:pStyle w:val="TextoNormal-IPCA"/>
              <w:jc w:val="left"/>
            </w:pPr>
            <w:r>
              <w:t>Respeitar tipos e limites</w:t>
            </w:r>
          </w:p>
        </w:tc>
        <w:tc>
          <w:tcPr>
            <w:tcW w:w="0" w:type="auto"/>
          </w:tcPr>
          <w:p>
            <w:pPr>
              <w:pStyle w:val="TextoNormal-IPCA"/>
              <w:jc w:val="left"/>
            </w:pPr>
            <w:r>
              <w:t>Configuração do modelo e filtragem da aplicação</w:t>
            </w:r>
          </w:p>
        </w:tc>
        <w:tc>
          <w:tcPr>
            <w:tcW w:w="0" w:type="auto"/>
          </w:tcPr>
          <w:p>
            <w:pPr>
              <w:pStyle w:val="TextoNormal-IPCA"/>
              <w:jc w:val="left"/>
            </w:pPr>
            <w:r>
              <w:t>Valores aplicáveis aos controlos conhecidos</w:t>
            </w:r>
          </w:p>
        </w:tc>
      </w:tr>
      <w:tr>
        <w:tc>
          <w:tcPr>
            <w:tcW w:w="0" w:type="auto"/>
          </w:tcPr>
          <w:p>
            <w:pPr>
              <w:pStyle w:val="TextoNormal-IPCA"/>
              <w:jc w:val="left"/>
            </w:pPr>
            <w:r>
              <w:t>Definir lateralidade</w:t>
            </w:r>
          </w:p>
        </w:tc>
        <w:tc>
          <w:tcPr>
            <w:tcW w:w="0" w:type="auto"/>
          </w:tcPr>
          <w:p>
            <w:pPr>
              <w:pStyle w:val="TextoNormal-IPCA"/>
              <w:jc w:val="left"/>
            </w:pPr>
            <w:r>
              <w:t xml:space="preserve">Controlo da interface com o papel </w:t>
            </w:r>
            <w:r>
              <w:t>laterality</w:t>
            </w:r>
          </w:p>
        </w:tc>
        <w:tc>
          <w:tcPr>
            <w:tcW w:w="0" w:type="auto"/>
          </w:tcPr>
          <w:p>
            <w:pPr>
              <w:pStyle w:val="TextoNormal-IPCA"/>
              <w:jc w:val="left"/>
            </w:pPr>
            <w:r>
              <w:t>Escolha fixa excluída das sugestões</w:t>
            </w:r>
          </w:p>
        </w:tc>
      </w:tr>
      <w:tr>
        <w:tc>
          <w:tcPr>
            <w:tcW w:w="0" w:type="auto"/>
          </w:tcPr>
          <w:p>
            <w:pPr>
              <w:pStyle w:val="TextoNormal-IPCA"/>
              <w:jc w:val="left"/>
            </w:pPr>
            <w:r>
              <w:t>Gerar a geometria</w:t>
            </w:r>
          </w:p>
        </w:tc>
        <w:tc>
          <w:tcPr>
            <w:tcW w:w="0" w:type="auto"/>
          </w:tcPr>
          <w:p>
            <w:pPr>
              <w:pStyle w:val="TextoNormal-IPCA"/>
              <w:jc w:val="left"/>
            </w:pPr>
            <w:r>
              <w:t>Regras OpenSCAD executadas em WebAssembly</w:t>
            </w:r>
          </w:p>
        </w:tc>
        <w:tc>
          <w:tcPr>
            <w:tcW w:w="0" w:type="auto"/>
          </w:tcPr>
          <w:p>
            <w:pPr>
              <w:pStyle w:val="TextoNormal-IPCA"/>
              <w:jc w:val="left"/>
            </w:pPr>
            <w:r>
              <w:t>Forma determinística para um mesmo conjunto de parâmetros e versão de código</w:t>
            </w:r>
          </w:p>
        </w:tc>
      </w:tr>
      <w:tr>
        <w:tc>
          <w:tcPr>
            <w:tcW w:w="0" w:type="auto"/>
          </w:tcPr>
          <w:p>
            <w:pPr>
              <w:pStyle w:val="TextoNormal-IPCA"/>
              <w:jc w:val="left"/>
            </w:pPr>
            <w:r>
              <w:t>Aceitar, corrigir ou rejeitar a configuração</w:t>
            </w:r>
          </w:p>
        </w:tc>
        <w:tc>
          <w:tcPr>
            <w:tcW w:w="0" w:type="auto"/>
          </w:tcPr>
          <w:p>
            <w:pPr>
              <w:pStyle w:val="TextoNormal-IPCA"/>
              <w:jc w:val="left"/>
            </w:pPr>
            <w:r>
              <w:t>Designer ou técnico responsável</w:t>
            </w:r>
          </w:p>
        </w:tc>
        <w:tc>
          <w:tcPr>
            <w:tcW w:w="0" w:type="auto"/>
          </w:tcPr>
          <w:p>
            <w:pPr>
              <w:pStyle w:val="TextoNormal-IPCA"/>
              <w:jc w:val="left"/>
            </w:pPr>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A interpretação limita-se ao comportamento observado no modelo, nas versões e nos casos documentados.</w:t>
      </w:r>
    </w:p>
    <w:p>
      <w:pPr>
        <w:pStyle w:val="Cabealho2"/>
        <w:numPr>
          <w:ilvl w:val="1"/>
          <w:numId w:val="0"/>
        </w:numPr>
      </w:pPr>
      <w:r>
        <w:t>6.4 Ajuste, verificação e limitações éticas e técnicas</w:t>
      </w:r>
    </w:p>
    <w:p>
      <w:pPr>
        <w:pStyle w:val="TextoNormal-IPCA"/>
      </w:pPr>
      <w:r>
        <w:t>A introdução de IA num sistema como o proposto exige distinguir claramente entre sugestão paramétrica, ajuste efectivo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os valores sugeridos pela IA devem ser entendidos como hipóteses operativas sujeitas a validação posterior, e não como prescrições definitivas.</w:t>
      </w:r>
    </w:p>
    <w:p>
      <w:pPr>
        <w:pStyle w:val="TextoNormal-IPCA"/>
      </w:pPr>
      <w:r>
        <w:t>Do ponto de vista técnico, subsistem limitações significativas. A IA pode produzir sugestões aparentemente coerentes, mas inadequadas para casos extremos, perfis antropométricos pouco representados ou combinações paramétricas fora da distribuição esperada. Pode também introduzir inconsistências difíceis de detectar se a sua saída não for confrontada com restrições geométricas, limites de fabrico e critérios funcionais explícitos. Assim, a integração responsável da IA depende de salvaguardas incorporadas no sistema, incluindo limites paramétricos, verificação de intervalos, controlo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apoiado por IA, que sublinha a importância de compreender os dados considerados, os critérios aplicados e os limites das sugestões produzidas pelo modelo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TextoNormal-IPCA"/>
      </w:pPr>
      <w:r>
        <w:t>Mesmo quando a plataforma utiliza apenas dados antropométricos não clínicos ou cenários experimentais, a sua arquitectura deve limitar a recolha ao necessário, controlar quem pode aceder às configurações e explicitar que a IA atua como apoio à configuração, e não como autoridade técnica ou clínica.</w:t>
      </w:r>
    </w:p>
    <w:p>
      <w:pPr>
        <w:pStyle w:val="TextoNormal-IPCA"/>
      </w:pPr>
      <w: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correctamente o âmbito da ferramenta.</w:t>
      </w:r>
    </w:p>
    <w:p>
      <w:pPr>
        <w:pStyle w:val="TextoNormal-IPCA"/>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projectual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O ponto de partida desta secção é a organização, através da interface, de um sistema de modelação paramétrica baseado em código. A aplicação apresenta uma sequência de acções: seleccionar um modelo, introduzir dados antropométricos, ajustar parâmetros, observar a geometria, guardar a configuração e exportar ficheiros. Esta sequência descreve uma decisão projectual implementada; a sua facilidade de uso não foi avaliada com participantes.</w:t>
      </w:r>
    </w:p>
    <w:p>
      <w:pPr>
        <w:pStyle w:val="TextoNormal-IPCA"/>
      </w:pPr>
      <w: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Peixoto et al., 2025).</w:t>
      </w:r>
    </w:p>
    <w:p>
      <w:pPr>
        <w:pStyle w:val="TextoNormal-IPCA"/>
      </w:pPr>
      <w:r>
        <w:t>Do ponto de vista estrutural, a interface adopta uma composição modular orientada por tarefa. A selecção do modelo funciona como ponto de entrada; os parâmetros surgem como elementos editáveis; a visualização tridimensional apresenta o resultado da geração; e as acções de guardar, recuperar e exportar prolongam o processo. A organização foi concebida para manter uma relação clara entre intenção, acção e consequência formal. A redução de carga cognitiva e a adequação desta sequência a diferentes perfis permanecem hipóteses de design que exigem avaliação com utilizadores (Peixoto et al., 2025; Quintero et al., 2018).</w:t>
      </w:r>
    </w:p>
    <w:p>
      <w:pPr>
        <w:pStyle w:val="TextoNormal-IPCA"/>
      </w:pPr>
      <w:r>
        <w:t>Uma decisão relevante reside na tradução da lógica paramétrica para linguagem operacional. Cada controlo dá acesso a uma relação geométrica definida no modelo. A plataforma expõe uma parte delimitada do espaço de configuração e reserva parâmetros críticos a regras ou perfis com maior responsabilidade. Esta contenção reduz a possibilidade de combinações fora dos limites declarados, embora o seu efeito na compreensão e na confiança ainda não tenha sido medido.</w:t>
      </w:r>
    </w:p>
    <w:p>
      <w:pPr>
        <w:pStyle w:val="TextoNormal-IPCA"/>
      </w:pPr>
      <w:r>
        <w:t>A articulação entre edição paramétrica e pré-visualização constitui outra decisão relevante, pois a renderização local através de WebAssembly permite que a resposta visual resulte directamente da geometria gerada pelo sistema, evitando o recurso a imagens estáticas ou a representações simplificadas desligadas do modelo.</w:t>
      </w:r>
    </w:p>
    <w:p>
      <w:pPr>
        <w:pStyle w:val="TextoNormal-IPCA"/>
      </w:pPr>
      <w:r>
        <w:t>A pré-visualização resulta da geometria gerada e permite comparar o valor introduzido com a forma apresentada. O Web Worker separa o cálculo da tarefa principal da interface. Esta decisão técnica evita o bloqueio directo durante a execução, mas o tempo percebido, a compreensão dos estados e a qualidade da interacção não foram medidos (Abbas Alili et al., 2023; Colombo et al., 2015; Peixoto et al., 2025).</w:t>
      </w:r>
    </w:p>
    <w:p>
      <w:pPr>
        <w:pStyle w:val="TextoNormal-IPCA"/>
      </w:pPr>
      <w:r>
        <w:t>A interface privilegia a clareza operacional em relação à exuberância formal, em coerência com o contexto do projecto: trata-se de uma ferramenta de configuração protésica, e não de um configurador lúdico ou promocional.</w:t>
      </w:r>
    </w:p>
    <w:p>
      <w:pPr>
        <w:pStyle w:val="TextoNormal-IPCA"/>
      </w:pPr>
      <w:r>
        <w:t>As decisões de desenho da interface procuram, assim, favorecer a clareza operacional, a consistência entre controlos, a previsibilidade das acções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Quintero et al., 2018).</w:t>
      </w:r>
    </w:p>
    <w:p>
      <w:pPr>
        <w:pStyle w:val="TextoNormal-IPCA"/>
      </w:pPr>
      <w:r>
        <w:t>Deste modo, a estratégia de interacção constitui uma especificação projectual para expor parâmetros, resultados e estados guardados. A avaliação da clareza desta especificação requer observação de uso futura.</w:t>
      </w:r>
    </w:p>
    <w:p>
      <w:pPr>
        <w:pStyle w:val="TextoNormal-IPCA"/>
      </w:pPr>
      <w:r>
        <w:t>A interface medeia o conhecimento técnico, os dados de entrada e a decisão de projecto. A sua organização preserva continuidade com a lógica paramétrica e com o papel de apoio atribuído à IA.</w:t>
      </w:r>
    </w:p>
    <w:p>
      <w:pPr>
        <w:pStyle w:val="Cabealho2"/>
        <w:numPr>
          <w:ilvl w:val="1"/>
          <w:numId w:val="0"/>
        </w:numPr>
      </w:pPr>
      <w:r>
        <w:t>7.2 Papéis previstos e distribuição de decisões</w:t>
      </w:r>
    </w:p>
    <w:p>
      <w:pPr>
        <w:pStyle w:val="TextoNormal-IPCA"/>
      </w:pPr>
      <w:r>
        <w:t>A plataforma prevê formas distintas de participação, porque designers, técnicos, clínicos e utilizadores finais não intervêm sobre os mesmos parâmetros nem assumem o mesmo grau de responsabilidade. Estes papéis resultam do enquadramento teórico e da arquitectura de permissões; não foram confirmados por observação de práticas profissionais ou por testes com utilizadores.</w:t>
      </w:r>
    </w:p>
    <w:p>
      <w:pPr>
        <w:pStyle w:val="TextoNormal-IPCA"/>
      </w:pPr>
      <w:r>
        <w:t>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clareza do sistema ou aspectos estéticos que o utilizador consegue avaliar directamente, a sua participação torna-se mais substantiva.</w:t>
      </w:r>
    </w:p>
    <w:p>
      <w:pPr>
        <w:pStyle w:val="TextoNormal-IPCA"/>
      </w:pPr>
      <w:r>
        <w:t>O contraste entre estes domínios é central para compreender a diferenciação entre perfis de uso, ainda que a literatura directa sobre plataformas paramétricas para o membro superior permaneça escassa e muitas conclusões tenham de ser complementadas por evidência transferível de contextos adjacentes (Cordella et al., 2016; Saldarriaga et al., 2024).</w:t>
      </w:r>
    </w:p>
    <w:p>
      <w:pPr>
        <w:pStyle w:val="TextoNormal-IPCA"/>
      </w:pPr>
      <w:r>
        <w:t>Para o designer, o técnico de próteses e ortóteses ou o clínico, a plataforma foi concebida como ambiente de configuração, teste, comparação e supervisão. A literatura indica que estes profissionais valorizam relações compreensíveis entre parâmetros e consequências geométricas, continuidade com o raciocínio técnico e preservação do conhecimento prático. A adequação da implementação a essas expectativas permanece por testar (Colombo et al., 2015; Quintero et al., 2018; Bai et al., 2024).</w:t>
      </w:r>
    </w:p>
    <w:p>
      <w:pPr>
        <w:pStyle w:val="TextoNormal-IPCA"/>
      </w:pPr>
      <w:r>
        <w:t>Para o utilizador final, foram previstos consulta da configuração, visualização do modelo e acompanhamento do processo. O estudo não permite afirmar que estas funções aumentem a compreensão, a confiança ou a participação.</w:t>
      </w:r>
    </w:p>
    <w:p>
      <w:pPr>
        <w:pStyle w:val="TextoNormal-IPCA"/>
      </w:pPr>
      <w:r>
        <w:t>A aceitação de uma prótese relaciona-se com o desempenho funcional, a percepção de adequação, a participação e o controlo sobre o resultado. Os estudos analisados indicam que a comunicação do funcionamento pode influenciar a experiência de utilização.</w:t>
      </w:r>
    </w:p>
    <w:p>
      <w:pPr>
        <w:pStyle w:val="TextoNormal-IPCA"/>
      </w:pPr>
      <w:r>
        <w:t>Na plataforma, os limites dos parâmetros e os efeitos geométricos são apresentados como suporte à decisão. O efeito desta apresentação na facilidade de utilização e na confiança subjectiva permanece por avaliar.</w:t>
      </w:r>
    </w:p>
    <w:p>
      <w:pPr>
        <w:pStyle w:val="TextoNormal-IPCA"/>
      </w:pPr>
      <w:r>
        <w:t>As plataformas de personalização estética e os sistemas com visualização explícita do espaço de decisão sugerem que a participação activa do utilizador aumenta quando as opções editáveis são claras, compreensíveis e associadas a consequências de baixo risco. (Peixoto et al., 2025).</w:t>
      </w:r>
    </w:p>
    <w:p>
      <w:pPr>
        <w:pStyle w:val="TextoNormal-IPCA"/>
      </w:pPr>
      <w:r>
        <w:t>A diferença entre estes níveis de participação torna-se mais clara quando se consideram três domínios de personalização que os estudos analisados abordam de forma diferenciada. 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directa. O terceiro domínio relaciona-se com a personalização estética e identitária, em que a autonomia do utilizador pode ser mais ampla, dado que o risco clínico e biomecânico é menor e o critério de adequação depende mais directamente da sua percepção.</w:t>
      </w:r>
    </w:p>
    <w:p>
      <w:pPr>
        <w:pStyle w:val="TextoNormal-IPCA"/>
      </w:pPr>
      <w:r>
        <w:t>A coexistência destes perfis e domínios justifica a adopção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acções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TextoNormal-IPCA"/>
      </w:pPr>
      <w:r>
        <w:t>A plataforma propõe uma colaboração assimétrica: o perfil técnico possui maior capacidade de configuração e o utilizador final dispõe de consulta e acompanhamento. Esta distribuição é coerente com abordagens de supervisão humana contínua e com a necessidade de supervisão, mas os seus efeitos sobre rapidez, compreensão e qualidade da decisão não foram avaliados (Alili et al., 2023; Oldfrey et al., 2024).</w:t>
      </w:r>
    </w:p>
    <w:p>
      <w:pPr>
        <w:pStyle w:val="Cabealho2"/>
        <w:numPr>
          <w:ilvl w:val="1"/>
          <w:numId w:val="0"/>
        </w:numPr>
      </w:pPr>
      <w:r>
        <w:t>7.3 Mediação do processo de design e reflexão crítica</w:t>
      </w:r>
    </w:p>
    <w:p>
      <w:pPr>
        <w:pStyle w:val="TextoNormal-IPCA"/>
      </w:pPr>
      <w:r>
        <w:t>A interface permite editar parâmetros e medeia o processo de design. Introduz uma camada entre o modelo algorítmico, a decisão técnica e a interpretação do utilizador, organizando uma sequência de leitura de dados, proposta de configuração, avaliação visual, revisão e eventual exportação para fabrico. Esta sequência corresponde ao processo implementado; os seus efeitos no trabalho de diferentes intervenientes são inferências projectuais apoiadas pela literatura.</w:t>
      </w:r>
    </w:p>
    <w:p>
      <w:pPr>
        <w:pStyle w:val="TextoNormal-IPCA"/>
      </w:pPr>
      <w:r>
        <w:t>Neste sentido, a interface assume uma dimensão simultaneamente operacional e epistemológica, ao influenciar a forma como o problema é compreendido, como as alternativas são exploradas e como as decisões são justificadas.</w:t>
      </w:r>
    </w:p>
    <w:p>
      <w:pPr>
        <w:pStyle w:val="TextoNormal-IPCA"/>
      </w:pPr>
      <w:r>
        <w:t>Ao disponibilizar parâmetros editáveis, visualização tridimensional, sugestões apoiadas por IA e gestão de versões, a plataforma contribui para estruturar o trabalho de projecto e documentar a evolução das decisões. Essa estrutura estabelece igualmente limites: o utilizador explora o espaço de soluções permitido pelo modelo e pela interface. Os estudos analisados sugerem que as plataformas relevantes neste domínio recorrem a mecanismos concretos de mediação, como controlo diferenciado de permissões, exposição selectiva de variáveis, pontos de partida algorítmicos, visualização orientada pelo problema e supervisão integrada na interface.</w:t>
      </w:r>
    </w:p>
    <w:p>
      <w:pPr>
        <w:pStyle w:val="TextoNormal-IPCA"/>
      </w:pPr>
      <w: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Alili et al., 2023).</w:t>
      </w:r>
    </w:p>
    <w:p>
      <w:pPr>
        <w:pStyle w:val="TextoNormal-IPCA"/>
      </w:pPr>
      <w: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TextoNormal-IPCA"/>
      </w:pPr>
      <w: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TextoNormal-IPCA"/>
      </w:pPr>
      <w:r>
        <w:t>Nesta perspectiva, a mediação digital participa na forma como as decisões de projecto são preparadas, avaliadas e justificadas. Esta observação conduz a uma reflexão crítica sobre o papel da plataforma no próprio processo de design.</w:t>
      </w:r>
    </w:p>
    <w:p>
      <w:pPr>
        <w:pStyle w:val="TextoNormal-IPCA"/>
      </w:pPr>
      <w:r>
        <w:t>Uma interface bem desenhada pode criar uma sensação de evidência ou neutralidade em decisões condicionadas por critérios de projecto, pressupostos técnicos e escolhas interpretativas. A apresentação de um parâmetro como controlo disponível, ou de uma sugestão com aparência de coerência técnica, não significa que a solução esteja validada ou represente a melhor opção em todos os contextos.</w:t>
      </w:r>
    </w:p>
    <w:p>
      <w:pPr>
        <w:pStyle w:val="TextoNormal-IPCA"/>
      </w:pPr>
      <w:r>
        <w:t>A mediação da interface deve ser avaliada pela eficiência e pela forma como torna visíveis dependências, incertezas e responsabilidades. Peixoto et al. (2025), Quintero et al. (2018) e Bai et al. (2024) reforçam esta cautela: resultados positivos de usabilidade ou rapidez de afinação mantêm a necessidade de definir quem decide, quais parâmetros podem ser alterados, quais decisões ficam pré-estruturadas pelo sistema e em que condições essas alterações são seguras ou adequadas.</w:t>
      </w:r>
    </w:p>
    <w:p>
      <w:pPr>
        <w:pStyle w:val="TextoNormal-IPCA"/>
      </w:pPr>
      <w:r>
        <w:t>A mediação do processo de design preserva a responsabilidade pelas decisões de projecto e a necessidade de validação técnica, reorganizando ambas num ambiente digital mais controlado e explícito.</w:t>
      </w:r>
    </w:p>
    <w:p>
      <w:pPr>
        <w:pStyle w:val="TextoNormal-IPCA"/>
      </w:pPr>
      <w:r>
        <w:t>A plataforma foi concebida para distribuir a capacidade de intervenção de forma diferenciada: concentra certas decisões em perfis técnicos, abre outras ao acompanhamento do utilizador e enquadra outras através de sugestões produzidas por IA.</w:t>
      </w:r>
    </w:p>
    <w:p>
      <w:pPr>
        <w:pStyle w:val="TextoNormal-IPCA"/>
      </w:pPr>
      <w:r>
        <w:t>É precisamente nessa articulação entre interface, lógica paramétrica, sugestão apoiada, visibilidade selectiva e responsabilidade crítica que reside o valor metodológico deste sistema enquanto contributo para o design de próteses personalizadas.</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Preparação para impressão e protótipos físicos</w:t>
      </w:r>
    </w:p>
    <w:p>
      <w:pPr>
        <w:pStyle w:val="TextoNormal-IPCA"/>
      </w:pPr>
      <w:r>
        <w:t xml:space="preserve">A evidência de fabrico inclui 116 ficheiros 3MF gerados para três modelos e quatro idades, três projectos com parâmetros de preparação e fotografias de peças físicas. Os 116 ficheiros representam exportações digitais, distribuídas por placas combinadas e peças individuais; esse total não corresponde a 116 impressões físicas. Os três perfis encontram-se em </w:t>
      </w:r>
      <w:r>
        <w:t>docs/print-validation/bambulaba1_flexy_beast_teen_15_print.3mf</w:t>
      </w:r>
      <w:r>
        <w:t xml:space="preserve">, </w:t>
      </w:r>
      <w:r>
        <w:t>docs/print-validation/bambulaba1_unlimbed_phoenix_hand_teen_15_print_project.3mf</w:t>
      </w:r>
      <w:r>
        <w:t xml:space="preserve"> e </w:t>
      </w:r>
      <w:r>
        <w:t>docs/print-validation/prusa_mini_paraglider_15_teen_print_profile.3mf</w:t>
      </w:r>
      <w:r>
        <w:t>. Cada projecto identifica um caso adolescente de 15 anos e a impressora usada. Os parâmetros comparáveis foram mantidos nas restantes impressões, segundo o registo do projecto.</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Mesmos parâmetros do projecto Flexy Beast; objectos atribuídos ao extrusor PLA</w:t>
            </w:r>
          </w:p>
        </w:tc>
        <w:tc>
          <w:tcPr>
            <w:tcW w:w="0" w:type="auto"/>
          </w:tcPr>
          <w:p>
            <w:pPr>
              <w:pStyle w:val="TextoNormal-IPCA"/>
              <w:jc w:val="left"/>
            </w:pPr>
            <w:r>
              <w:t>Oito conjuntos de peças importados; programa regista 0 arestas corrigidas e 0 faces degeneradas</w:t>
            </w:r>
          </w:p>
        </w:tc>
      </w:tr>
      <w:t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Os dois projectos Bambu contêm três materiais disponíveis na configuração, mas as peças presentes estão atribuídas ao extrusor 1, identificado como PLA. A documentação disponível não permite uma comparação controlada entre PLA e PETG. Por isso, não se retiram conclusões sobre resistência, fragilidade ou durabilidade relativas dos materiais.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a linha estatística do CSV, o perfil populacional agregado, os parâmetros compatíveis com o modelo activo e a geometria gerada após confirmação humana. A rastreabilidade pode, assim, ser reconstruída desde a fonte e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