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5.1 — Fluxo de dados e responsabilidades da plataforma</w:t>
        <w:tab/>
      </w:r>
      <w:r>
        <w:t>65</w:t>
      </w:r>
    </w:p>
    <w:p>
      <w:pPr>
        <w:pStyle w:val="ndice1"/>
        <w:tabs>
          <w:tab w:val="right" w:leader="dot" w:pos="8204"/>
        </w:tabs>
      </w:pPr>
      <w:r>
        <w:t>Tabela 5.2 — Inventário consolidado dos modelos no fecho do estudo</w:t>
        <w:tab/>
      </w:r>
      <w:r>
        <w:t>74</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80</w:t>
      </w:r>
    </w:p>
    <w:p>
      <w:pPr>
        <w:pStyle w:val="ndice1"/>
        <w:tabs>
          <w:tab w:val="right" w:leader="dot" w:pos="8204"/>
        </w:tabs>
      </w:pPr>
      <w:r>
        <w:t>Tabela 8.1 — Evidência técnica do funcionamento da plataforma</w:t>
        <w:tab/>
      </w:r>
      <w:r>
        <w:t>86</w:t>
      </w:r>
    </w:p>
    <w:p>
      <w:pPr>
        <w:pStyle w:val="ndice1"/>
        <w:tabs>
          <w:tab w:val="right" w:leader="dot" w:pos="8204"/>
        </w:tabs>
      </w:pPr>
      <w:r>
        <w:t>Tabela 8.2 — Projectos de preparação para impressão arquivados</w:t>
        <w:tab/>
      </w:r>
      <w:r>
        <w:t>87</w:t>
      </w:r>
    </w:p>
    <w:p>
      <w:pPr>
        <w:pStyle w:val="ndice1"/>
        <w:tabs>
          <w:tab w:val="right" w:leader="dot" w:pos="8204"/>
        </w:tabs>
      </w:pPr>
      <w:r>
        <w:t>Tabela 8.3 — Inspecção computacional de malhas na configuração infantil</w:t>
        <w:tab/>
      </w:r>
      <w:r>
        <w:t>88</w:t>
      </w:r>
    </w:p>
    <w:p>
      <w:pPr>
        <w:pStyle w:val="ndice1"/>
        <w:tabs>
          <w:tab w:val="right" w:leader="dot" w:pos="8204"/>
        </w:tabs>
      </w:pPr>
      <w:r>
        <w:t>Tabela 8.4 — Entradas utilizadas nos cenários de avaliação da IA</w:t>
        <w:tab/>
      </w:r>
      <w:r>
        <w:t>92</w:t>
      </w:r>
    </w:p>
    <w:p>
      <w:pPr>
        <w:pStyle w:val="ndice1"/>
        <w:tabs>
          <w:tab w:val="right" w:leader="dot" w:pos="8204"/>
        </w:tabs>
      </w:pPr>
      <w:r>
        <w:t>Tabela 8.5 — Síntese da avaliação das sugestões de IA</w:t>
        <w:tab/>
      </w:r>
      <w:r>
        <w:t>94</w:t>
      </w:r>
    </w:p>
    <w:p>
      <w:pPr>
        <w:pStyle w:val="ndice1"/>
        <w:tabs>
          <w:tab w:val="right" w:leader="dot" w:pos="8204"/>
        </w:tabs>
      </w:pPr>
      <w:r>
        <w:t>Tabela 8.6 — Modelos e mecanismos de escala avaliados</w:t>
        <w:tab/>
      </w:r>
      <w:r>
        <w:t>95</w:t>
      </w:r>
    </w:p>
    <w:p>
      <w:pPr>
        <w:pStyle w:val="ndice1"/>
        <w:tabs>
          <w:tab w:val="right" w:leader="dot" w:pos="8204"/>
        </w:tabs>
      </w:pPr>
      <w:r>
        <w:t>Tabela 8.7 — Rácio adimensional da maior dimensão da palma exportada face ao valor de referência</w:t>
        <w:tab/>
      </w:r>
      <w:r>
        <w:t>96</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67</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72</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84</w:t>
      </w:r>
    </w:p>
    <w:p>
      <w:pPr>
        <w:pStyle w:val="ndice1"/>
        <w:tabs>
          <w:tab w:val="right" w:leader="dot" w:pos="8204"/>
        </w:tabs>
      </w:pPr>
      <w:r>
        <w:t>Figura 8.1 — Segmentos do Flexy Beast produzidos e assentes na plataforma da Bambu Lab A1.</w:t>
        <w:tab/>
      </w:r>
      <w:r>
        <w:t>91</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91</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91</w:t>
      </w:r>
    </w:p>
    <w:p>
      <w:pPr>
        <w:pStyle w:val="ndice1"/>
        <w:tabs>
          <w:tab w:val="right" w:leader="dot" w:pos="8204"/>
        </w:tabs>
      </w:pPr>
      <w:r>
        <w:t>Figura 8.4 — Tarefas funcionais usadas em avaliação de prótese personalizada de membro superior.</w:t>
        <w:tab/>
      </w:r>
      <w:r>
        <w:t>92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refinamento e discussão intermédia</w:t>
        <w:tab/>
      </w:r>
      <w:r>
        <w:t>60</w:t>
      </w:r>
    </w:p>
    <w:p>
      <w:pPr>
        <w:pStyle w:val="ndice1"/>
        <w:tabs>
          <w:tab w:val="right" w:leader="dot" w:pos="8204"/>
        </w:tabs>
      </w:pPr>
      <w:r>
        <w:t>Capítulo 5 — Plataforma Web e Integração Digital</w:t>
        <w:tab/>
      </w:r>
      <w:r>
        <w:t>63</w:t>
      </w:r>
    </w:p>
    <w:p>
      <w:pPr>
        <w:pStyle w:val="ndice2"/>
        <w:tabs>
          <w:tab w:val="right" w:leader="dot" w:pos="8204"/>
        </w:tabs>
      </w:pPr>
      <w:r>
        <w:t>5.1 Enquadramento conceptual e perfis de utilizador</w:t>
        <w:tab/>
      </w:r>
      <w:r>
        <w:t>63</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84</w:t>
      </w:r>
    </w:p>
    <w:p>
      <w:pPr>
        <w:pStyle w:val="ndice1"/>
        <w:tabs>
          <w:tab w:val="right" w:leader="dot" w:pos="8204"/>
        </w:tabs>
      </w:pPr>
      <w:r>
        <w:t>Capítulo 8 — Avaliação e Discussão</w:t>
        <w:tab/>
      </w:r>
      <w:r>
        <w:t>86</w:t>
      </w:r>
    </w:p>
    <w:p>
      <w:pPr>
        <w:pStyle w:val="ndice2"/>
        <w:tabs>
          <w:tab w:val="right" w:leader="dot" w:pos="8204"/>
        </w:tabs>
      </w:pPr>
      <w:r>
        <w:t>8.1 Estratégia e critérios de avaliação</w:t>
        <w:tab/>
      </w:r>
      <w:r>
        <w:t>86</w:t>
      </w:r>
    </w:p>
    <w:p>
      <w:pPr>
        <w:pStyle w:val="ndice3"/>
        <w:tabs>
          <w:tab w:val="right" w:leader="dot" w:pos="8204"/>
        </w:tabs>
      </w:pPr>
      <w:r>
        <w:t>8.1.1 Verificação técnica da plataforma</w:t>
        <w:tab/>
      </w:r>
      <w:r>
        <w:t>86</w:t>
      </w:r>
    </w:p>
    <w:p>
      <w:pPr>
        <w:pStyle w:val="ndice3"/>
        <w:tabs>
          <w:tab w:val="right" w:leader="dot" w:pos="8204"/>
        </w:tabs>
      </w:pPr>
      <w:r>
        <w:t>8.1.2 Preparação para impressão e protótipos físicos</w:t>
        <w:tab/>
      </w:r>
      <w:r>
        <w:t>87</w:t>
      </w:r>
    </w:p>
    <w:p>
      <w:pPr>
        <w:pStyle w:val="ndice2"/>
        <w:tabs>
          <w:tab w:val="right" w:leader="dot" w:pos="8204"/>
        </w:tabs>
      </w:pPr>
      <w:r>
        <w:t>8.2 Avaliação da coerência das sugestões de IA</w:t>
        <w:tab/>
      </w:r>
      <w:r>
        <w:t>92</w:t>
      </w:r>
    </w:p>
    <w:p>
      <w:pPr>
        <w:pStyle w:val="ndice2"/>
        <w:tabs>
          <w:tab w:val="right" w:leader="dot" w:pos="8204"/>
        </w:tabs>
      </w:pPr>
      <w:r>
        <w:t>8.3 Verificação geométrica entre modelos</w:t>
        <w:tab/>
      </w:r>
      <w:r>
        <w:t>95</w:t>
      </w:r>
    </w:p>
    <w:p>
      <w:pPr>
        <w:pStyle w:val="ndice2"/>
        <w:tabs>
          <w:tab w:val="right" w:leader="dot" w:pos="8204"/>
        </w:tabs>
      </w:pPr>
      <w:r>
        <w:t>8.4 Discussão dos resultados face aos objectivos</w:t>
        <w:tab/>
      </w:r>
      <w:r>
        <w:t>97</w:t>
      </w:r>
    </w:p>
    <w:p>
      <w:pPr>
        <w:pStyle w:val="ndice1"/>
        <w:tabs>
          <w:tab w:val="right" w:leader="dot" w:pos="8204"/>
        </w:tabs>
      </w:pPr>
      <w:r>
        <w:t>Capítulo 9 — Conclusões e Trabalhos Futuros</w:t>
        <w:tab/>
      </w:r>
      <w:r>
        <w:t>98</w:t>
      </w:r>
    </w:p>
    <w:p>
      <w:pPr>
        <w:pStyle w:val="ndice2"/>
        <w:tabs>
          <w:tab w:val="right" w:leader="dot" w:pos="8204"/>
        </w:tabs>
      </w:pPr>
      <w:r>
        <w:t>9.1 Resposta ao problema e às perguntas de investigação</w:t>
        <w:tab/>
      </w:r>
      <w:r>
        <w:t>98</w:t>
      </w:r>
    </w:p>
    <w:p>
      <w:pPr>
        <w:pStyle w:val="ndice2"/>
        <w:tabs>
          <w:tab w:val="right" w:leader="dot" w:pos="8204"/>
        </w:tabs>
      </w:pPr>
      <w:r>
        <w:t>9.2 Contributos da investigação</w:t>
        <w:tab/>
      </w:r>
      <w:r>
        <w:t>98</w:t>
      </w:r>
    </w:p>
    <w:p>
      <w:pPr>
        <w:pStyle w:val="ndice2"/>
        <w:tabs>
          <w:tab w:val="right" w:leader="dot" w:pos="8204"/>
        </w:tabs>
      </w:pPr>
      <w:r>
        <w:t>9.3 Limitações</w:t>
        <w:tab/>
      </w:r>
      <w:r>
        <w:t>99</w:t>
      </w:r>
    </w:p>
    <w:p>
      <w:pPr>
        <w:pStyle w:val="ndice2"/>
        <w:tabs>
          <w:tab w:val="right" w:leader="dot" w:pos="8204"/>
        </w:tabs>
      </w:pPr>
      <w:r>
        <w:t>9.4 Trabalho futuro</w:t>
        <w:tab/>
      </w:r>
      <w:r>
        <w:t>99</w:t>
      </w:r>
    </w:p>
    <w:p>
      <w:pPr>
        <w:pStyle w:val="ndice1"/>
        <w:tabs>
          <w:tab w:val="right" w:leader="dot" w:pos="8204"/>
        </w:tabs>
      </w:pPr>
      <w:r>
        <w:t>Referências Bibliográficas</w:t>
        <w:tab/>
      </w:r>
      <w:r>
        <w:t>101</w:t>
      </w:r>
    </w:p>
    <w:p>
      <w:pPr>
        <w:pStyle w:val="ndice1"/>
        <w:tabs>
          <w:tab w:val="right" w:leader="dot" w:pos="8204"/>
        </w:tabs>
      </w:pPr>
      <w:r>
        <w:t>Anexo A — Metodologia de extracção e codificação de dados antropométricos da mão</w:t>
        <w:tab/>
      </w:r>
      <w:r>
        <w:t>113</w:t>
      </w:r>
    </w:p>
    <w:p>
      <w:pPr>
        <w:pStyle w:val="ndice2"/>
        <w:tabs>
          <w:tab w:val="right" w:leader="dot" w:pos="8204"/>
        </w:tabs>
      </w:pPr>
      <w:r>
        <w:t>A.1 Contexto e Objectivo</w:t>
        <w:tab/>
      </w:r>
      <w:r>
        <w:t>113</w:t>
      </w:r>
    </w:p>
    <w:p>
      <w:pPr>
        <w:pStyle w:val="ndice3"/>
        <w:tabs>
          <w:tab w:val="right" w:leader="dot" w:pos="8204"/>
        </w:tabs>
      </w:pPr>
      <w:r>
        <w:t>A.1.1 Localização, versão e integridade dos ficheiros</w:t>
        <w:tab/>
      </w:r>
      <w:r>
        <w:t>113</w:t>
      </w:r>
    </w:p>
    <w:p>
      <w:pPr>
        <w:pStyle w:val="ndice2"/>
        <w:tabs>
          <w:tab w:val="right" w:leader="dot" w:pos="8204"/>
        </w:tabs>
      </w:pPr>
      <w:r>
        <w:t>A.2 Estratégia de Pesquisa Bibliográfica</w:t>
        <w:tab/>
      </w:r>
      <w:r>
        <w:t>113</w:t>
      </w:r>
    </w:p>
    <w:p>
      <w:pPr>
        <w:pStyle w:val="ndice3"/>
        <w:tabs>
          <w:tab w:val="right" w:leader="dot" w:pos="8204"/>
        </w:tabs>
      </w:pPr>
      <w:r>
        <w:t>A.2.1 Pesquisa bibliográfica orientada</w:t>
        <w:tab/>
      </w:r>
      <w:r>
        <w:t>114</w:t>
      </w:r>
    </w:p>
    <w:p>
      <w:pPr>
        <w:pStyle w:val="ndice3"/>
        <w:tabs>
          <w:tab w:val="right" w:leader="dot" w:pos="8204"/>
        </w:tabs>
      </w:pPr>
      <w:r>
        <w:t>A.2.2 Base ANSUR 1988</w:t>
        <w:tab/>
      </w:r>
      <w:r>
        <w:t>114</w:t>
      </w:r>
    </w:p>
    <w:p>
      <w:pPr>
        <w:pStyle w:val="ndice2"/>
        <w:tabs>
          <w:tab w:val="right" w:leader="dot" w:pos="8204"/>
        </w:tabs>
      </w:pPr>
      <w:r>
        <w:t>A.3 Critérios de Inclusão e Exclusão de Estudos</w:t>
        <w:tab/>
      </w:r>
      <w:r>
        <w:t>114</w:t>
      </w:r>
    </w:p>
    <w:p>
      <w:pPr>
        <w:pStyle w:val="ndice3"/>
        <w:tabs>
          <w:tab w:val="right" w:leader="dot" w:pos="8204"/>
        </w:tabs>
      </w:pPr>
      <w:r>
        <w:t>A.3.1 Critérios de inclusão</w:t>
        <w:tab/>
      </w:r>
      <w:r>
        <w:t>114</w:t>
      </w:r>
    </w:p>
    <w:p>
      <w:pPr>
        <w:pStyle w:val="ndice3"/>
        <w:tabs>
          <w:tab w:val="right" w:leader="dot" w:pos="8204"/>
        </w:tabs>
      </w:pPr>
      <w:r>
        <w:t>A.3.2 Critérios de exclusão</w:t>
        <w:tab/>
      </w:r>
      <w:r>
        <w:t>114</w:t>
      </w:r>
    </w:p>
    <w:p>
      <w:pPr>
        <w:pStyle w:val="ndice2"/>
        <w:tabs>
          <w:tab w:val="right" w:leader="dot" w:pos="8204"/>
        </w:tabs>
      </w:pPr>
      <w:r>
        <w:t>A.4 Processo de Extracção de Dados</w:t>
        <w:tab/>
      </w:r>
      <w:r>
        <w:t>115</w:t>
      </w:r>
    </w:p>
    <w:p>
      <w:pPr>
        <w:pStyle w:val="ndice3"/>
        <w:tabs>
          <w:tab w:val="right" w:leader="dot" w:pos="8204"/>
        </w:tabs>
      </w:pPr>
      <w:r>
        <w:t>A.4.1 Leitura dos PDFs e localização das tabelas</w:t>
        <w:tab/>
      </w:r>
      <w:r>
        <w:t>115</w:t>
      </w:r>
    </w:p>
    <w:p>
      <w:pPr>
        <w:pStyle w:val="ndice3"/>
        <w:tabs>
          <w:tab w:val="right" w:leader="dot" w:pos="8204"/>
        </w:tabs>
      </w:pPr>
      <w:r>
        <w:t>A.4.2 Identificação das unidades e conversão</w:t>
        <w:tab/>
      </w:r>
      <w:r>
        <w:t>115</w:t>
      </w:r>
    </w:p>
    <w:p>
      <w:pPr>
        <w:pStyle w:val="ndice3"/>
        <w:tabs>
          <w:tab w:val="right" w:leader="dot" w:pos="8204"/>
        </w:tabs>
      </w:pPr>
      <w:r>
        <w:t>A.4.3 Decomposição em linhas atómicas</w:t>
        <w:tab/>
      </w:r>
      <w:r>
        <w:t>115</w:t>
      </w:r>
    </w:p>
    <w:p>
      <w:pPr>
        <w:pStyle w:val="ndice3"/>
        <w:tabs>
          <w:tab w:val="right" w:leader="dot" w:pos="8204"/>
        </w:tabs>
      </w:pPr>
      <w:r>
        <w:t>A.4.4 Registo fiel do contexto da medição</w:t>
        <w:tab/>
      </w:r>
      <w:r>
        <w:t>115</w:t>
      </w:r>
    </w:p>
    <w:p>
      <w:pPr>
        <w:pStyle w:val="ndice2"/>
        <w:tabs>
          <w:tab w:val="right" w:leader="dot" w:pos="8204"/>
        </w:tabs>
      </w:pPr>
      <w:r>
        <w:t>A.5 Decisões por Estudo</w:t>
        <w:tab/>
      </w:r>
      <w:r>
        <w:t>116</w:t>
      </w:r>
    </w:p>
    <w:p>
      <w:pPr>
        <w:pStyle w:val="ndice3"/>
        <w:tabs>
          <w:tab w:val="right" w:leader="dot" w:pos="8204"/>
        </w:tabs>
      </w:pPr>
      <w:r>
        <w:t>A.5.1 ANSUR 1988 — EUA, militares (Gordon et al., 1989)</w:t>
        <w:tab/>
      </w:r>
      <w:r>
        <w:t>116</w:t>
      </w:r>
    </w:p>
    <w:p>
      <w:pPr>
        <w:pStyle w:val="ndice3"/>
        <w:tabs>
          <w:tab w:val="right" w:leader="dot" w:pos="8204"/>
        </w:tabs>
      </w:pPr>
      <w:r>
        <w:t>A.5.2 Turquia — jovens adultos (Chatzioglou et al., 2024)</w:t>
        <w:tab/>
      </w:r>
      <w:r>
        <w:t>116</w:t>
      </w:r>
    </w:p>
    <w:p>
      <w:pPr>
        <w:pStyle w:val="ndice3"/>
        <w:tabs>
          <w:tab w:val="right" w:leader="dot" w:pos="8204"/>
        </w:tabs>
      </w:pPr>
      <w:r>
        <w:t>A.5.3 México — população geral (Rodríguez-Vega &amp; Rodríguez-Vega, 2024)</w:t>
        <w:tab/>
      </w:r>
      <w:r>
        <w:t>116</w:t>
      </w:r>
    </w:p>
    <w:p>
      <w:pPr>
        <w:pStyle w:val="ndice3"/>
        <w:tabs>
          <w:tab w:val="right" w:leader="dot" w:pos="8204"/>
        </w:tabs>
      </w:pPr>
      <w:r>
        <w:t>A.5.4 Índia — mulheres trabalhadoras (Nag et al., 2003)</w:t>
        <w:tab/>
      </w:r>
      <w:r>
        <w:t>117</w:t>
      </w:r>
    </w:p>
    <w:p>
      <w:pPr>
        <w:pStyle w:val="ndice3"/>
        <w:tabs>
          <w:tab w:val="right" w:leader="dot" w:pos="8204"/>
        </w:tabs>
      </w:pPr>
      <w:r>
        <w:t>A.5.5 Portugal — trabalhadores industriais (Anacleto Filho et al., 2023)</w:t>
        <w:tab/>
      </w:r>
      <w:r>
        <w:t>117</w:t>
      </w:r>
    </w:p>
    <w:p>
      <w:pPr>
        <w:pStyle w:val="ndice3"/>
        <w:tabs>
          <w:tab w:val="right" w:leader="dot" w:pos="8204"/>
        </w:tabs>
      </w:pPr>
      <w:r>
        <w:t>A.5.6 Nigéria — atletas universitários (Ibiwari et al., 2025)</w:t>
        <w:tab/>
      </w:r>
      <w:r>
        <w:t>117</w:t>
      </w:r>
    </w:p>
    <w:p>
      <w:pPr>
        <w:pStyle w:val="ndice3"/>
        <w:tabs>
          <w:tab w:val="right" w:leader="dot" w:pos="8204"/>
        </w:tabs>
      </w:pPr>
      <w:r>
        <w:t>A.5.7 Jordânia — trabalhadores com deficiência (Mistarihi, 2020)</w:t>
        <w:tab/>
      </w:r>
      <w:r>
        <w:t>117</w:t>
      </w:r>
    </w:p>
    <w:p>
      <w:pPr>
        <w:pStyle w:val="ndice3"/>
        <w:tabs>
          <w:tab w:val="right" w:leader="dot" w:pos="8204"/>
        </w:tabs>
      </w:pPr>
      <w:r>
        <w:t>A.5.8 EUA — dedo indicador (Lim et al., 2018)</w:t>
        <w:tab/>
      </w:r>
      <w:r>
        <w:t>118</w:t>
      </w:r>
    </w:p>
    <w:p>
      <w:pPr>
        <w:pStyle w:val="ndice3"/>
        <w:tabs>
          <w:tab w:val="right" w:leader="dot" w:pos="8204"/>
        </w:tabs>
      </w:pPr>
      <w:r>
        <w:t>A.5.9 Estudo excluído: Moreo (2016)</w:t>
        <w:tab/>
      </w:r>
      <w:r>
        <w:t>118</w:t>
      </w:r>
    </w:p>
    <w:p>
      <w:pPr>
        <w:pStyle w:val="ndice3"/>
        <w:tabs>
          <w:tab w:val="right" w:leader="dot" w:pos="8204"/>
        </w:tabs>
      </w:pPr>
      <w:r>
        <w:t>A.5.10 EUA — militares ANSUR II (Gordon et al., 2015)</w:t>
        <w:tab/>
      </w:r>
      <w:r>
        <w:t>118</w:t>
      </w:r>
    </w:p>
    <w:p>
      <w:pPr>
        <w:pStyle w:val="ndice3"/>
        <w:tabs>
          <w:tab w:val="right" w:leader="dot" w:pos="8204"/>
        </w:tabs>
      </w:pPr>
      <w:r>
        <w:t>A.5.11 Países Baixos — DINED (TU Delft, 1993–2004)</w:t>
        <w:tab/>
      </w:r>
      <w:r>
        <w:t>118</w:t>
      </w:r>
    </w:p>
    <w:p>
      <w:pPr>
        <w:pStyle w:val="ndice3"/>
        <w:tabs>
          <w:tab w:val="right" w:leader="dot" w:pos="8204"/>
        </w:tabs>
      </w:pPr>
      <w:r>
        <w:t>A.5.12 China — idosos de Pequim (Hu et al., 2007)</w:t>
        <w:tab/>
      </w:r>
      <w:r>
        <w:t>119</w:t>
      </w:r>
    </w:p>
    <w:p>
      <w:pPr>
        <w:pStyle w:val="ndice3"/>
        <w:tabs>
          <w:tab w:val="right" w:leader="dot" w:pos="8204"/>
        </w:tabs>
      </w:pPr>
      <w:r>
        <w:t>A.5.13 Estudo excluído: reconstrução corporal 3D a partir de fotografias ortogonais</w:t>
        <w:tab/>
      </w:r>
      <w:r>
        <w:t>119</w:t>
      </w:r>
    </w:p>
    <w:p>
      <w:pPr>
        <w:pStyle w:val="ndice2"/>
        <w:tabs>
          <w:tab w:val="right" w:leader="dot" w:pos="8204"/>
        </w:tabs>
      </w:pPr>
      <w:r>
        <w:t>A.6 Estrutura do CSV e esquema de dados</w:t>
        <w:tab/>
      </w:r>
      <w:r>
        <w:t>119</w:t>
      </w:r>
    </w:p>
    <w:p>
      <w:pPr>
        <w:pStyle w:val="ndice3"/>
        <w:tabs>
          <w:tab w:val="right" w:leader="dot" w:pos="8204"/>
        </w:tabs>
      </w:pPr>
      <w:r>
        <w:t>A.6.1 Campos</w:t>
        <w:tab/>
      </w:r>
      <w:r>
        <w:t>120</w:t>
      </w:r>
    </w:p>
    <w:p>
      <w:pPr>
        <w:pStyle w:val="ndice3"/>
        <w:tabs>
          <w:tab w:val="right" w:leader="dot" w:pos="8204"/>
        </w:tabs>
      </w:pPr>
      <w:r>
        <w:t>A.6.2 Formato longo (long format)</w:t>
        <w:tab/>
      </w:r>
      <w:r>
        <w:t>121</w:t>
      </w:r>
    </w:p>
    <w:p>
      <w:pPr>
        <w:pStyle w:val="ndice2"/>
        <w:tabs>
          <w:tab w:val="right" w:leader="dot" w:pos="8204"/>
        </w:tabs>
      </w:pPr>
      <w:r>
        <w:t>A.7 Controlo de Qualidade dos Dados</w:t>
        <w:tab/>
      </w:r>
      <w:r>
        <w:t>121</w:t>
      </w:r>
    </w:p>
    <w:p>
      <w:pPr>
        <w:pStyle w:val="ndice3"/>
        <w:tabs>
          <w:tab w:val="right" w:leader="dot" w:pos="8204"/>
        </w:tabs>
      </w:pPr>
      <w:r>
        <w:t>A.7.1 Marcação inline de limitações</w:t>
        <w:tab/>
      </w:r>
      <w:r>
        <w:t>121</w:t>
      </w:r>
    </w:p>
    <w:p>
      <w:pPr>
        <w:pStyle w:val="ndice3"/>
        <w:tabs>
          <w:tab w:val="right" w:leader="dot" w:pos="8204"/>
        </w:tabs>
      </w:pPr>
      <w:r>
        <w:t>A.7.2 Verificação de unidades</w:t>
        <w:tab/>
      </w:r>
      <w:r>
        <w:t>121</w:t>
      </w:r>
    </w:p>
    <w:p>
      <w:pPr>
        <w:pStyle w:val="ndice3"/>
        <w:tabs>
          <w:tab w:val="right" w:leader="dot" w:pos="8204"/>
        </w:tabs>
      </w:pPr>
      <w:r>
        <w:t>A.7.3 Ligação à fonte</w:t>
        <w:tab/>
      </w:r>
      <w:r>
        <w:t>121</w:t>
      </w:r>
    </w:p>
    <w:p>
      <w:pPr>
        <w:pStyle w:val="ndice2"/>
        <w:tabs>
          <w:tab w:val="right" w:leader="dot" w:pos="8204"/>
        </w:tabs>
      </w:pPr>
      <w:r>
        <w:t>A.8 Escrita do Código de Geração</w:t>
        <w:tab/>
      </w:r>
      <w:r>
        <w:t>121</w:t>
      </w:r>
    </w:p>
    <w:p>
      <w:pPr>
        <w:pStyle w:val="ndice3"/>
        <w:tabs>
          <w:tab w:val="right" w:leader="dot" w:pos="8204"/>
        </w:tabs>
      </w:pPr>
      <w:r>
        <w:t>A.8.1 Correspondência entre os CSV e os parâmetros da plataforma</w:t>
        <w:tab/>
      </w:r>
      <w:r>
        <w:t>122</w:t>
      </w:r>
    </w:p>
    <w:p>
      <w:pPr>
        <w:pStyle w:val="ndice2"/>
        <w:tabs>
          <w:tab w:val="right" w:leader="dot" w:pos="8204"/>
        </w:tabs>
      </w:pPr>
      <w:r>
        <w:t>A.9 Resultado Final</w:t>
        <w:tab/>
      </w:r>
      <w:r>
        <w:t>122</w:t>
      </w:r>
    </w:p>
    <w:p>
      <w:pPr>
        <w:pStyle w:val="ndice2"/>
        <w:tabs>
          <w:tab w:val="right" w:leader="dot" w:pos="8204"/>
        </w:tabs>
      </w:pPr>
      <w:r>
        <w:t>A.10 Cobertura Global da Base de Dados e Lacunas</w:t>
        <w:tab/>
      </w:r>
      <w:r>
        <w:t>123</w:t>
      </w:r>
    </w:p>
    <w:p>
      <w:pPr>
        <w:pStyle w:val="ndice3"/>
        <w:tabs>
          <w:tab w:val="right" w:leader="dot" w:pos="8204"/>
        </w:tabs>
      </w:pPr>
      <w:r>
        <w:t>A.10.1 O que está coberto</w:t>
        <w:tab/>
      </w:r>
      <w:r>
        <w:t>123</w:t>
      </w:r>
    </w:p>
    <w:p>
      <w:pPr>
        <w:pStyle w:val="ndice4"/>
        <w:tabs>
          <w:tab w:val="right" w:leader="dot" w:pos="8204"/>
        </w:tabs>
      </w:pPr>
      <w:r>
        <w:t>A.10.1.1 Cobertura geográfica</w:t>
        <w:tab/>
      </w:r>
      <w:r>
        <w:t>123</w:t>
      </w:r>
    </w:p>
    <w:p>
      <w:pPr>
        <w:pStyle w:val="ndice4"/>
        <w:tabs>
          <w:tab w:val="right" w:leader="dot" w:pos="8204"/>
        </w:tabs>
      </w:pPr>
      <w:r>
        <w:t>A.10.1.2 Cobertura etária</w:t>
        <w:tab/>
      </w:r>
      <w:r>
        <w:t>124</w:t>
      </w:r>
    </w:p>
    <w:p>
      <w:pPr>
        <w:pStyle w:val="ndice4"/>
        <w:tabs>
          <w:tab w:val="right" w:leader="dot" w:pos="8204"/>
        </w:tabs>
      </w:pPr>
      <w:r>
        <w:t>A.10.1.3 Cobertura estatística</w:t>
        <w:tab/>
      </w:r>
      <w:r>
        <w:t>124</w:t>
      </w:r>
    </w:p>
    <w:p>
      <w:pPr>
        <w:pStyle w:val="ndice3"/>
        <w:tabs>
          <w:tab w:val="right" w:leader="dot" w:pos="8204"/>
        </w:tabs>
      </w:pPr>
      <w:r>
        <w:t>A.10.2 Onde a cobertura falha</w:t>
        <w:tab/>
      </w:r>
      <w:r>
        <w:t>125</w:t>
      </w:r>
    </w:p>
    <w:p>
      <w:pPr>
        <w:pStyle w:val="ndice4"/>
        <w:tabs>
          <w:tab w:val="right" w:leader="dot" w:pos="8204"/>
        </w:tabs>
      </w:pPr>
      <w:r>
        <w:t>A.10.2.1 Lacunas geográficas</w:t>
        <w:tab/>
      </w:r>
      <w:r>
        <w:t>125</w:t>
      </w:r>
    </w:p>
    <w:p>
      <w:pPr>
        <w:pStyle w:val="ndice4"/>
        <w:tabs>
          <w:tab w:val="right" w:leader="dot" w:pos="8204"/>
        </w:tabs>
      </w:pPr>
      <w:r>
        <w:t>A.10.2.2 Lacunas demográficas</w:t>
        <w:tab/>
      </w:r>
      <w:r>
        <w:t>125</w:t>
      </w:r>
    </w:p>
    <w:p>
      <w:pPr>
        <w:pStyle w:val="ndice4"/>
        <w:tabs>
          <w:tab w:val="right" w:leader="dot" w:pos="8204"/>
        </w:tabs>
      </w:pPr>
      <w:r>
        <w:t>A.10.2.3 Limitações qualitativas dos dados existentes</w:t>
        <w:tab/>
      </w:r>
      <w:r>
        <w:t>125</w:t>
      </w:r>
    </w:p>
    <w:p>
      <w:pPr>
        <w:pStyle w:val="ndice3"/>
        <w:tabs>
          <w:tab w:val="right" w:leader="dot" w:pos="8204"/>
        </w:tabs>
      </w:pPr>
      <w:r>
        <w:t>A.10.3 Frentes identificadas para expansão futura</w:t>
        <w:tab/>
      </w:r>
      <w:r>
        <w:t>126</w:t>
      </w:r>
    </w:p>
    <w:p>
      <w:pPr>
        <w:pStyle w:val="ndice4"/>
        <w:tabs>
          <w:tab w:val="right" w:leader="dot" w:pos="8204"/>
        </w:tabs>
      </w:pPr>
      <w:r>
        <w:t>A.10.3.1 Prioridade alta</w:t>
        <w:tab/>
      </w:r>
      <w:r>
        <w:t>126</w:t>
      </w:r>
    </w:p>
    <w:p>
      <w:pPr>
        <w:pStyle w:val="ndice4"/>
        <w:tabs>
          <w:tab w:val="right" w:leader="dot" w:pos="8204"/>
        </w:tabs>
      </w:pPr>
      <w:r>
        <w:t>A.10.3.2 Prioridade média</w:t>
        <w:tab/>
      </w:r>
      <w:r>
        <w:t>126</w:t>
      </w:r>
    </w:p>
    <w:p>
      <w:pPr>
        <w:pStyle w:val="ndice4"/>
        <w:tabs>
          <w:tab w:val="right" w:leader="dot" w:pos="8204"/>
        </w:tabs>
      </w:pPr>
      <w:r>
        <w:t>A.10.3.3 Pertinência directa para o tema da tese</w:t>
        <w:tab/>
      </w:r>
      <w:r>
        <w:t>126</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Existem dois projectos Bambu Lab A1, para Flexy Beast e UnLimbited Phoenix, gerados no Bambu Studio 1.10.02.76, e um projecto Prusa MINI para Paraglider Hand, gerado no PrusaSlicer 2.8.1. Os dois projectos Bambu registam camada de 0,24 mm, duas paredes, 15% de enchimento em grelha, suporte em árvore automático e aba de 5 mm. O projecto Prusa regista camada de 0,20 mm, duas paredes, 15% de enchimento em grelha, PLA, bico de 0,4 mm, mesa a 60 °C e suporte desactivado. Os parâmetros comparáveis foram mantidos nas restantes impressões, segundo o registo do projecto, embora não exista um ficheiro de configuração individual para cada peça produzida. A distribuição dos modelos pelos dois programas e equipamentos decorreu da disponibilidade dos projectos de preparação e das condições operacionais de cada impressão. Não foi desenhado um ensaio comparativo: a mesma geometria não foi produzida em condições equivalentes nos dois sistemas, pelo que estes registos não permitem inferir superioridade ou equivalência entre os programas de fatiamento ou entre as impressoras.</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Concretamente, o serviço recebe uma descrição textual, o esquema do modelo activo, os valores correntes, os limites declarados e, quando disponível, uma referência populacional. A sua saída é um conjunto de pares parâmetro–valor que funciona como ponto de partida. A aplicação filtra os campos recebidos; a interface apresenta os valores; e o OpenSCAD gera a geometria segundo regras independentes do modelo de linguagem.</w:t>
      </w:r>
    </w:p>
    <w:p>
      <w:pPr>
        <w:pStyle w:val="TextoNormal-IPCA"/>
      </w:pPr>
      <w:r>
        <w:t>A fronteira entre estas operações corresponde à arquitectura descrita na Secção 5.2: a chamada externa produz uma sugestão probabilística, enquanto a aplicação dos valores, a lateralidade e a construção geométrica permanecem em componentes identificáveis. O princípio de supervisão fundamentado na Secção 2.6 é, assim, materializado por limites, filtragem, revisão da configuração e decisão humana antes da exportação. As regras concretas e o protocolo de ensaio são apresentados nas Secções 6.2 e 6.3.</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hardware seleccionado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vivo do modelo seleccionado, os nomes exactos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activo e sujeita a filtragem posterior pela aplicação.</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Especificação no protótipo</w:t>
            </w:r>
          </w:p>
        </w:tc>
      </w:tr>
      <w:tr>
        <w:tc>
          <w:tcPr>
            <w:tcW w:w="0" w:type="auto"/>
          </w:tcPr>
          <w:p>
            <w:pPr>
              <w:pStyle w:val="TextoNormal-IPCA"/>
              <w:jc w:val="left"/>
            </w:pPr>
            <w:r>
              <w:t>Função da IA</w:t>
            </w:r>
          </w:p>
        </w:tc>
        <w:tc>
          <w:tcPr>
            <w:tcW w:w="0" w:type="auto"/>
          </w:tcPr>
          <w:p>
            <w:pPr>
              <w:pStyle w:val="TextoNormal-IPCA"/>
              <w:jc w:val="left"/>
            </w:pPr>
            <w:r>
              <w:t>Sugestão inicial de parâmetros antropométricos e geométricos a partir de descrições em linguagem natural; não gera autonomamente a geometria final nem valida clinicamente a prótese.</w:t>
            </w:r>
          </w:p>
        </w:tc>
      </w:tr>
      <w:tr>
        <w:tc>
          <w:tcPr>
            <w:tcW w:w="0" w:type="auto"/>
          </w:tcPr>
          <w:p>
            <w:pPr>
              <w:pStyle w:val="TextoNormal-IPCA"/>
              <w:jc w:val="left"/>
            </w:pPr>
            <w:r>
              <w:t>Endpoint de integração</w:t>
            </w:r>
          </w:p>
        </w:tc>
        <w:tc>
          <w:tcPr>
            <w:tcW w:w="0" w:type="auto"/>
          </w:tcPr>
          <w:p>
            <w:pPr>
              <w:pStyle w:val="TextoNormal-IPCA"/>
              <w:jc w:val="left"/>
            </w:pPr>
            <w:r>
              <w:t>POST /api/ai/suggest</w:t>
            </w:r>
            <w:r>
              <w:t>, através de chamada autenticada e limitada por frequência, com as chaves de API mantidas no servidor.</w:t>
            </w:r>
          </w:p>
        </w:tc>
      </w:tr>
      <w:tr>
        <w:tc>
          <w:tcPr>
            <w:tcW w:w="0" w:type="auto"/>
          </w:tcPr>
          <w:p>
            <w:pPr>
              <w:pStyle w:val="TextoNormal-IPCA"/>
              <w:jc w:val="left"/>
            </w:pPr>
            <w:r>
              <w:t>Fornecedor e modelo usados na validação</w:t>
            </w:r>
          </w:p>
        </w:tc>
        <w:tc>
          <w:tcPr>
            <w:tcW w:w="0" w:type="auto"/>
          </w:tcPr>
          <w:p>
            <w:pPr>
              <w:pStyle w:val="TextoNormal-IPCA"/>
              <w:jc w:val="left"/>
            </w:pPr>
            <w:r>
              <w:t xml:space="preserve">Anthropic, com o modelo </w:t>
            </w:r>
            <w:r>
              <w:t>claude-sonnet-4-6</w:t>
            </w:r>
            <w:r>
              <w:t>, definido como opção predefinida no servidor do protótipo.</w:t>
            </w:r>
          </w:p>
        </w:tc>
      </w:tr>
      <w:tr>
        <w:tc>
          <w:tcPr>
            <w:tcW w:w="0" w:type="auto"/>
          </w:tcPr>
          <w:p>
            <w:pPr>
              <w:pStyle w:val="TextoNormal-IPCA"/>
              <w:jc w:val="left"/>
            </w:pPr>
            <w:r>
              <w:t>Modelo alternativo disponibilizado</w:t>
            </w:r>
          </w:p>
        </w:tc>
        <w:tc>
          <w:tcPr>
            <w:tcW w:w="0" w:type="auto"/>
          </w:tcPr>
          <w:p>
            <w:pPr>
              <w:pStyle w:val="TextoNormal-IPCA"/>
              <w:jc w:val="left"/>
            </w:pPr>
            <w:r>
              <w:t xml:space="preserve">OpenAI, com o modelo </w:t>
            </w:r>
            <w:r>
              <w:t>gpt-4</w:t>
            </w:r>
            <w:r>
              <w:t>, acessível através da mesma rota de sugestão paramétrica.</w:t>
            </w:r>
          </w:p>
        </w:tc>
      </w:tr>
      <w:tr>
        <w:tc>
          <w:tcPr>
            <w:tcW w:w="0" w:type="auto"/>
          </w:tcPr>
          <w:p>
            <w:pPr>
              <w:pStyle w:val="TextoNormal-IPCA"/>
              <w:jc w:val="left"/>
            </w:pPr>
            <w:r>
              <w:t>Selecção do fornecedor</w:t>
            </w:r>
          </w:p>
        </w:tc>
        <w:tc>
          <w:tcPr>
            <w:tcW w:w="0" w:type="auto"/>
          </w:tcPr>
          <w:p>
            <w:pPr>
              <w:pStyle w:val="TextoNormal-IPCA"/>
              <w:jc w:val="left"/>
            </w:pPr>
            <w:r>
              <w:t xml:space="preserve">A interface permite escolher entre </w:t>
            </w:r>
            <w:r>
              <w:t>Anthropic (Claude)</w:t>
            </w:r>
            <w:r>
              <w:t xml:space="preserve"> e </w:t>
            </w:r>
            <w:r>
              <w:t>OpenAI (GPT-4)</w:t>
            </w:r>
            <w:r>
              <w:t xml:space="preserve">; o pedido enviado ao servidor identifica o fornecedor através do campo </w:t>
            </w:r>
            <w:r>
              <w:t>provider</w:t>
            </w:r>
            <w:r>
              <w:t>.</w:t>
            </w:r>
          </w:p>
        </w:tc>
      </w:tr>
      <w:tr>
        <w:tc>
          <w:tcPr>
            <w:tcW w:w="0" w:type="auto"/>
          </w:tcPr>
          <w:p>
            <w:pPr>
              <w:pStyle w:val="TextoNormal-IPCA"/>
              <w:jc w:val="left"/>
            </w:pPr>
            <w:r>
              <w:t>Parâmetros da chamada avaliada</w:t>
            </w:r>
          </w:p>
        </w:tc>
        <w:tc>
          <w:tcPr>
            <w:tcW w:w="0" w:type="auto"/>
          </w:tcPr>
          <w:p>
            <w:pPr>
              <w:pStyle w:val="TextoNormal-IPCA"/>
              <w:jc w:val="left"/>
            </w:pPr>
            <w:r>
              <w:t xml:space="preserve">Máximo de 1024 tokens; o código não fixa a temperatura na chamada ao </w:t>
            </w:r>
            <w:r>
              <w:t>claude-sonnet-4-6</w:t>
            </w:r>
            <w:r>
              <w:t>, pelo que fica em vigor a configuração do fornecedor. O percurso OpenAI fixa temperatura de 0,7, mas não integra a avaliação reportada.</w:t>
            </w:r>
          </w:p>
        </w:tc>
      </w:tr>
      <w:tr>
        <w:tc>
          <w:tcPr>
            <w:tcW w:w="0" w:type="auto"/>
          </w:tcPr>
          <w:p>
            <w:pPr>
              <w:pStyle w:val="TextoNormal-IPCA"/>
              <w:jc w:val="left"/>
            </w:pPr>
            <w:r>
              <w:t>Contrato de resposta</w:t>
            </w:r>
          </w:p>
        </w:tc>
        <w:tc>
          <w:tcPr>
            <w:tcW w:w="0" w:type="auto"/>
          </w:tcPr>
          <w:p>
            <w:pPr>
              <w:pStyle w:val="TextoNormal-IPCA"/>
              <w:jc w:val="left"/>
            </w:pPr>
            <w:r>
              <w:t>Objeto JSON simples no formato parâmetro-valor; chaves desconhecidas são rejeitadas ou ignoradas e apenas parâmetros pertencentes ao modelo activo podem ser aplicados.</w:t>
            </w:r>
          </w:p>
        </w:tc>
      </w:tr>
      <w:tr>
        <w:tc>
          <w:tcPr>
            <w:tcW w:w="0" w:type="auto"/>
          </w:tcPr>
          <w:p>
            <w:pPr>
              <w:pStyle w:val="TextoNormal-IPCA"/>
              <w:jc w:val="left"/>
            </w:pPr>
            <w:r>
              <w:t>Enquadramento dos dados</w:t>
            </w:r>
          </w:p>
        </w:tc>
        <w:tc>
          <w:tcPr>
            <w:tcW w:w="0" w:type="auto"/>
          </w:tcPr>
          <w:p>
            <w:pPr>
              <w:pStyle w:val="TextoNormal-IPCA"/>
              <w:jc w:val="left"/>
            </w:pPr>
            <w:r>
              <w:t>O pedido inclui o esquema vivo do modelo, limites mínimos e máximos, valores correntes, legendas dos parâmetros e, quando disponível, médias de perfis antropométricos populacionais.</w:t>
            </w:r>
          </w:p>
        </w:tc>
      </w:tr>
      <w:tr>
        <w:tc>
          <w:tcPr>
            <w:tcW w:w="0" w:type="auto"/>
          </w:tcPr>
          <w:p>
            <w:pPr>
              <w:pStyle w:val="TextoNormal-IPCA"/>
              <w:jc w:val="left"/>
            </w:pPr>
            <w:r>
              <w:t>Modelos CAD registados na versão 14.67.0</w:t>
            </w:r>
          </w:p>
        </w:tc>
        <w:tc>
          <w:tcPr>
            <w:tcW w:w="0" w:type="auto"/>
          </w:tcPr>
          <w:p>
            <w:pPr>
              <w:pStyle w:val="TextoNormal-IPCA"/>
              <w:jc w:val="left"/>
            </w:pPr>
            <w:r>
              <w:t>Flexy Beast, Paraglider Hand, UnLimbited Phoenix e Cyborg Beast. A avaliação comparativa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 xml:space="preserve">O protocolo executado em 28 e 29 de Junho de 2026 usou o fornecedor Anthropic e o modelo </w:t>
      </w:r>
      <w:r>
        <w:t>claude-sonnet-4-6</w:t>
      </w:r>
      <w:r>
        <w:t>.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A plataforma extraía o primeiro objecto JSON, ignorava chaves desconhecidas e aplicava apenas campos pertencentes ao modelo activo. Esta filtragem foi observada na amostra; a versão avaliada ainda não possuía validação integral por esquema no servidor.</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Tarefa</w:t>
            </w:r>
          </w:p>
        </w:tc>
        <w:tc>
          <w:tcPr>
            <w:tcW w:w="0" w:type="auto"/>
          </w:tcPr>
          <w:p>
            <w:pPr>
              <w:pStyle w:val="TextoNormal-IPCA"/>
              <w:jc w:val="center"/>
            </w:pPr>
            <w:r>
              <w:rPr>
                <w:b/>
              </w:rPr>
              <w:t>Mecanismo</w:t>
            </w:r>
          </w:p>
        </w:tc>
        <w:tc>
          <w:tcPr>
            <w:tcW w:w="0" w:type="auto"/>
          </w:tcPr>
          <w:p>
            <w:pPr>
              <w:pStyle w:val="TextoNormal-IPCA"/>
              <w:jc w:val="center"/>
            </w:pPr>
            <w:r>
              <w:rPr>
                <w:b/>
              </w:rPr>
              <w:t>Resultado</w:t>
            </w:r>
          </w:p>
        </w:tc>
      </w:tr>
      <w:tr>
        <w:tc>
          <w:tcPr>
            <w:tcW w:w="0" w:type="auto"/>
          </w:tcPr>
          <w:p>
            <w:pPr>
              <w:pStyle w:val="TextoNormal-IPCA"/>
              <w:jc w:val="left"/>
            </w:pPr>
            <w:r>
              <w:t>Identificar sexo e idade explícitos</w:t>
            </w:r>
          </w:p>
        </w:tc>
        <w:tc>
          <w:tcPr>
            <w:tcW w:w="0" w:type="auto"/>
          </w:tcPr>
          <w:p>
            <w:pPr>
              <w:pStyle w:val="TextoNormal-IPCA"/>
              <w:jc w:val="left"/>
            </w:pPr>
            <w:r>
              <w:t xml:space="preserve">Analisador de texto e, quando faltam campos, extracção opcional por </w:t>
            </w:r>
            <w:r>
              <w:t>claude-haiku-4-5-20251001</w:t>
            </w:r>
            <w:r>
              <w:t xml:space="preserve"> a temperatura 0</w:t>
            </w:r>
          </w:p>
        </w:tc>
        <w:tc>
          <w:tcPr>
            <w:tcW w:w="0" w:type="auto"/>
          </w:tcPr>
          <w:p>
            <w:pPr>
              <w:pStyle w:val="TextoNormal-IPCA"/>
              <w:jc w:val="left"/>
            </w:pPr>
            <w:r>
              <w:t>Atributos para procurar uma referência populacional</w:t>
            </w:r>
          </w:p>
        </w:tc>
      </w:tr>
      <w:tr>
        <w:tc>
          <w:tcPr>
            <w:tcW w:w="0" w:type="auto"/>
          </w:tcPr>
          <w:p>
            <w:pPr>
              <w:pStyle w:val="TextoNormal-IPCA"/>
              <w:jc w:val="left"/>
            </w:pPr>
            <w:r>
              <w:t>Escolher o perfil disponível mais próximo</w:t>
            </w:r>
          </w:p>
        </w:tc>
        <w:tc>
          <w:tcPr>
            <w:tcW w:w="0" w:type="auto"/>
          </w:tcPr>
          <w:p>
            <w:pPr>
              <w:pStyle w:val="TextoNormal-IPCA"/>
              <w:jc w:val="left"/>
            </w:pPr>
            <w:r>
              <w:t>Pontuação por sexo, grupo etário, idade e país, com critérios de desempate de qualidade</w:t>
            </w:r>
          </w:p>
        </w:tc>
        <w:tc>
          <w:tcPr>
            <w:tcW w:w="0" w:type="auto"/>
          </w:tcPr>
          <w:p>
            <w:pPr>
              <w:pStyle w:val="TextoNormal-IPCA"/>
              <w:jc w:val="left"/>
            </w:pPr>
            <w:r>
              <w:t>Referência quantitativa; não corresponde a diagnóstico nem a correspondência nacional garantida</w:t>
            </w:r>
          </w:p>
        </w:tc>
      </w:tr>
      <w:tr>
        <w:tc>
          <w:tcPr>
            <w:tcW w:w="0" w:type="auto"/>
          </w:tcPr>
          <w:p>
            <w:pPr>
              <w:pStyle w:val="TextoNormal-IPCA"/>
              <w:jc w:val="left"/>
            </w:pPr>
            <w:r>
              <w:t>Sugerir campos em falta</w:t>
            </w:r>
          </w:p>
        </w:tc>
        <w:tc>
          <w:tcPr>
            <w:tcW w:w="0" w:type="auto"/>
          </w:tcPr>
          <w:p>
            <w:pPr>
              <w:pStyle w:val="TextoNormal-IPCA"/>
              <w:jc w:val="left"/>
            </w:pPr>
            <w:r>
              <w:t>claude-sonnet-4-6</w:t>
            </w:r>
          </w:p>
        </w:tc>
        <w:tc>
          <w:tcPr>
            <w:tcW w:w="0" w:type="auto"/>
          </w:tcPr>
          <w:p>
            <w:pPr>
              <w:pStyle w:val="TextoNormal-IPCA"/>
              <w:jc w:val="left"/>
            </w:pPr>
            <w:r>
              <w:t>Ponto de partida sujeito a alterações entre execuções</w:t>
            </w:r>
          </w:p>
        </w:tc>
      </w:tr>
      <w:tr>
        <w:tc>
          <w:tcPr>
            <w:tcW w:w="0" w:type="auto"/>
          </w:tcPr>
          <w:p>
            <w:pPr>
              <w:pStyle w:val="TextoNormal-IPCA"/>
              <w:jc w:val="left"/>
            </w:pPr>
            <w:r>
              <w:t>Respeitar tipos e limites</w:t>
            </w:r>
          </w:p>
        </w:tc>
        <w:tc>
          <w:tcPr>
            <w:tcW w:w="0" w:type="auto"/>
          </w:tcPr>
          <w:p>
            <w:pPr>
              <w:pStyle w:val="TextoNormal-IPCA"/>
              <w:jc w:val="left"/>
            </w:pPr>
            <w:r>
              <w:t>Configuração do modelo e filtragem da aplicação</w:t>
            </w:r>
          </w:p>
        </w:tc>
        <w:tc>
          <w:tcPr>
            <w:tcW w:w="0" w:type="auto"/>
          </w:tcPr>
          <w:p>
            <w:pPr>
              <w:pStyle w:val="TextoNormal-IPCA"/>
              <w:jc w:val="left"/>
            </w:pPr>
            <w:r>
              <w:t>Valores aplicáveis aos controlos conhecidos</w:t>
            </w:r>
          </w:p>
        </w:tc>
      </w:tr>
      <w:tr>
        <w:tc>
          <w:tcPr>
            <w:tcW w:w="0" w:type="auto"/>
          </w:tcPr>
          <w:p>
            <w:pPr>
              <w:pStyle w:val="TextoNormal-IPCA"/>
              <w:jc w:val="left"/>
            </w:pPr>
            <w:r>
              <w:t>Definir lateralidade</w:t>
            </w:r>
          </w:p>
        </w:tc>
        <w:tc>
          <w:tcPr>
            <w:tcW w:w="0" w:type="auto"/>
          </w:tcPr>
          <w:p>
            <w:pPr>
              <w:pStyle w:val="TextoNormal-IPCA"/>
              <w:jc w:val="left"/>
            </w:pPr>
            <w:r>
              <w:t xml:space="preserve">Controlo da interface com o papel </w:t>
            </w:r>
            <w:r>
              <w:t>laterality</w:t>
            </w:r>
          </w:p>
        </w:tc>
        <w:tc>
          <w:tcPr>
            <w:tcW w:w="0" w:type="auto"/>
          </w:tcPr>
          <w:p>
            <w:pPr>
              <w:pStyle w:val="TextoNormal-IPCA"/>
              <w:jc w:val="left"/>
            </w:pPr>
            <w:r>
              <w:t>Escolha fixa excluída das sugestões</w:t>
            </w:r>
          </w:p>
        </w:tc>
      </w:tr>
      <w:tr>
        <w:tc>
          <w:tcPr>
            <w:tcW w:w="0" w:type="auto"/>
          </w:tcPr>
          <w:p>
            <w:pPr>
              <w:pStyle w:val="TextoNormal-IPCA"/>
              <w:jc w:val="left"/>
            </w:pPr>
            <w:r>
              <w:t>Gerar a geometria</w:t>
            </w:r>
          </w:p>
        </w:tc>
        <w:tc>
          <w:tcPr>
            <w:tcW w:w="0" w:type="auto"/>
          </w:tcPr>
          <w:p>
            <w:pPr>
              <w:pStyle w:val="TextoNormal-IPCA"/>
              <w:jc w:val="left"/>
            </w:pPr>
            <w:r>
              <w:t>Regras OpenSCAD executadas em WebAssembly</w:t>
            </w:r>
          </w:p>
        </w:tc>
        <w:tc>
          <w:tcPr>
            <w:tcW w:w="0" w:type="auto"/>
          </w:tcPr>
          <w:p>
            <w:pPr>
              <w:pStyle w:val="TextoNormal-IPCA"/>
              <w:jc w:val="left"/>
            </w:pPr>
            <w:r>
              <w:t>Forma determinística para um mesmo conjunto de parâmetros e versão de código</w:t>
            </w:r>
          </w:p>
        </w:tc>
      </w:tr>
      <w:tr>
        <w:tc>
          <w:tcPr>
            <w:tcW w:w="0" w:type="auto"/>
          </w:tcPr>
          <w:p>
            <w:pPr>
              <w:pStyle w:val="TextoNormal-IPCA"/>
              <w:jc w:val="left"/>
            </w:pPr>
            <w:r>
              <w:t>Aceitar, corrigir ou rejeitar a configuração</w:t>
            </w:r>
          </w:p>
        </w:tc>
        <w:tc>
          <w:tcPr>
            <w:tcW w:w="0" w:type="auto"/>
          </w:tcPr>
          <w:p>
            <w:pPr>
              <w:pStyle w:val="TextoNormal-IPCA"/>
              <w:jc w:val="left"/>
            </w:pPr>
            <w:r>
              <w:t>Designer ou técnico responsável</w:t>
            </w:r>
          </w:p>
        </w:tc>
        <w:tc>
          <w:tcPr>
            <w:tcW w:w="0" w:type="auto"/>
          </w:tcPr>
          <w:p>
            <w:pPr>
              <w:pStyle w:val="TextoNormal-IPCA"/>
              <w:jc w:val="left"/>
            </w:pPr>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A interpretação limita-se ao comportamento observado no modelo, nas versões e nos casos documentados.</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respeitam limites isolados, mas falham na geometria completa. A versão avaliada reduz estes riscos através do esquema activo, limitação de intervalos, rejeição de chaves desconhecidas, controlo determinístico da lateralidade e inspecção posterior da malha. Estas salvaguardas tornam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proveniência,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aplica os intervalos existentes e exclui decisões como a lateralidade do pedido enviado à IA. Esta contenção corresponde a uma salvaguarda implementada; o seu efeito na compreensão ou na confiança permanece por medir.</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Assim, esta secção descreve uma especificação projectual e as funções efectivamente disponíveis. Clareza, carga cognitiva, aprendizagem e adequação aos diferentes perfis permanecem hipóteses para avaliação futura.</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tornam parte das dependências auditável,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proveniência, a incerteza e o estatuto de cada valor devem permanecer visíveis; a versão avaliada implementa apenas parte dessa comunicação.</w:t>
      </w:r>
    </w:p>
    <w:p>
      <w:pPr>
        <w:pStyle w:val="TextoNormal-IPCA"/>
      </w:pPr>
      <w:r>
        <w:t>A evidência disponível permite descrever a organização das decisões e identificar as salvaguardas incorporadas.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Preparação para impressão e protótipos físicos</w:t>
      </w:r>
    </w:p>
    <w:p>
      <w:pPr>
        <w:pStyle w:val="TextoNormal-IPCA"/>
      </w:pPr>
      <w:r>
        <w:t xml:space="preserve">A evidência de fabrico inclui 116 ficheiros 3MF gerados para três modelos e quatro idades, três projectos com parâmetros de preparação e fotografias de peças físicas. Os 116 ficheiros representam exportações digitais, distribuídas por placas combinadas e peças individuais; esse total não corresponde a 116 impressões físicas. Os três perfis encontram-se em </w:t>
      </w:r>
      <w:r>
        <w:t>docs/print-validation/bambulaba1_flexy_beast_teen_15_print.3mf</w:t>
      </w:r>
      <w:r>
        <w:t xml:space="preserve">, </w:t>
      </w:r>
      <w:r>
        <w:t>docs/print-validation/bambulaba1_unlimbed_phoenix_hand_teen_15_print_project.3mf</w:t>
      </w:r>
      <w:r>
        <w:t xml:space="preserve"> e </w:t>
      </w:r>
      <w:r>
        <w:t>docs/print-validation/prusa_mini_paraglider_15_teen_print_profile.3mf</w:t>
      </w:r>
      <w:r>
        <w:t>. Cada projecto identifica um caso adolescente de 15 anos e a impressora usada. Os parâmetros comparáveis foram mantidos nas restantes impressões, segundo o registo do projecto.</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Mesmos parâmetros do projecto Flexy Beast; objectos atribuídos ao extrusor PLA</w:t>
            </w:r>
          </w:p>
        </w:tc>
        <w:tc>
          <w:tcPr>
            <w:tcW w:w="0" w:type="auto"/>
          </w:tcPr>
          <w:p>
            <w:pPr>
              <w:pStyle w:val="TextoNormal-IPCA"/>
              <w:jc w:val="left"/>
            </w:pPr>
            <w:r>
              <w:t>Oito conjuntos de peças importados;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Os dois projectos Bambu contêm três materiais disponíveis na configuração, mas as peças presentes estão atribuídas ao extrusor 1, identificado como PLA. Embora a documentação de origem do Flexy Beast preveja juntas em filamento flexível ou silicone moldado, os segmentos testados nesta investigação foram produzidos com filamento rígido, registado no projecto como PLA. Não foram produzidas as juntas flexíveis nem as almofadas de silicone dos dedos. Por conseguinte, não foram avaliados o comportamento elástico das juntas, o retorno dos dedos, a aderência das almofadas ou a influência desses componentes na montagem e no funcionamento do dispositivo. A documentação disponível também não permite uma comparação controlada entre PLA e PETG; não se retiram, portanto, conclusões sobre resistência, fragilidade ou durabilidade relativas dos materiais.</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a linha estatística do CSV, o perfil populacional agregado, os parâmetros compatíveis com o modelo activo e a geometria gerada após confirmação humana. A rastreabilidade pode, assim, ser reconstruída desde a fonte e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