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documento:0.4.10</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 xml:space="preserve">A literatura </w:t>
      </w:r>
      <w:r>
        <w:rPr/>
        <w:t>revista e</w:t>
      </w:r>
      <w:r>
        <w:rPr/>
        <w:t>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 xml:space="preserve">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w:t>
      </w:r>
      <w:r>
        <w:rPr>
          <w:lang w:val="pt-PT"/>
        </w:rPr>
        <w:t>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2"/>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w:t>
      </w:r>
      <w:r>
        <w:rPr>
          <w:lang w:val="pt-PT"/>
        </w:rPr>
        <w:t>(Privitera, 2017</w:t>
      </w:r>
      <w:r>
        <w:rPr>
          <w:lang w:val="pt-PT"/>
        </w:rPr>
        <w:t xml:space="preserve">; </w:t>
      </w:r>
      <w:r>
        <w:rPr>
          <w:b w:val="false"/>
          <w:i w:val="false"/>
          <w:sz w:val="22"/>
        </w:rPr>
        <w:t xml:space="preserve"> Oldfrey</w:t>
      </w:r>
      <w:r>
        <w:rPr>
          <w:b w:val="false"/>
          <w:i w:val="false"/>
          <w:sz w:val="22"/>
          <w:lang w:val="pt-PT"/>
        </w:rPr>
        <w:t xml:space="preserve"> et al 2024; </w:t>
      </w:r>
      <w:r>
        <w:rPr>
          <w:b w:val="false"/>
          <w:i w:val="false"/>
          <w:sz w:val="22"/>
        </w:rPr>
        <w:t xml:space="preserve">  Mc Guinness </w:t>
      </w:r>
      <w:r>
        <w:rPr>
          <w:b w:val="false"/>
          <w:i w:val="false"/>
          <w:sz w:val="22"/>
        </w:rPr>
        <w:t>et al</w:t>
      </w:r>
      <w:r>
        <w:rPr>
          <w:b w:val="false"/>
          <w:i w:val="false"/>
          <w:sz w:val="22"/>
          <w:lang w:val="pt-PT"/>
        </w:rPr>
        <w:t>, 2025</w:t>
      </w:r>
      <w:r>
        <w:rPr>
          <w:lang w:val="pt-PT"/>
        </w:rPr>
        <w:t>)</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 xml:space="preserve">As tecnologias de </w:t>
      </w:r>
      <w:r>
        <w:rPr>
          <w:lang w:val="pt-PT"/>
        </w:rPr>
        <w:t>fabricação aditiva (FA)</w:t>
      </w:r>
      <w:r>
        <w:rPr>
          <w:lang w:val="pt-PT"/>
        </w:rPr>
        <w:t xml:space="preserve">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3"/>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4"/>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 xml:space="preserve">As imagens médicas, como tomografia computorizada </w:t>
      </w:r>
      <w:r>
        <w:rPr/>
        <w:t>(</w:t>
      </w:r>
      <w:r>
        <w:rPr/>
        <w:t>CT</w:t>
      </w:r>
      <w:r>
        <w:rPr/>
        <w:t>)</w:t>
      </w:r>
      <w:r>
        <w:rPr/>
        <w:t xml:space="preserve">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 xml:space="preserve">zonas de aquecimento localizado </w:t>
      </w:r>
      <w:r>
        <w:rPr/>
        <w:t>(</w:t>
      </w:r>
      <w:r>
        <w:rPr>
          <w:i/>
          <w:iCs/>
        </w:rPr>
        <w:t>Thermal hot spots</w:t>
      </w:r>
      <w:r>
        <w:rPr/>
        <w:t>)</w:t>
      </w:r>
      <w:r>
        <w:rPr>
          <w:lang w:val="pt-PT"/>
        </w:rPr>
        <w:t xml:space="preserve"> e flutuações de volume do </w:t>
      </w:r>
      <w:r>
        <w:rPr>
          <w:lang w:val="pt-PT"/>
        </w:rPr>
        <w:t>membro residual</w:t>
      </w:r>
      <w:r>
        <w:rPr>
          <w:lang w:val="pt-PT"/>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 xml:space="preserve">Modelos preditivos e modelação estatística de forma (SSM): aplicados para reconstruir a geometria a partir de medições reduzidas e inferir relações entre a superfície e a anatomia interna, com </w:t>
      </w:r>
      <w:r>
        <w:rPr>
          <w:lang w:val="pt-PT"/>
        </w:rPr>
        <w:t>a</w:t>
      </w:r>
      <w:r>
        <w:rPr>
          <w:rStyle w:val="Strong"/>
          <w:b w:val="false"/>
          <w:bCs w:val="false"/>
        </w:rPr>
        <w:t xml:space="preserve">nálise de </w:t>
      </w:r>
      <w:r>
        <w:rPr>
          <w:rStyle w:val="Strong"/>
          <w:b w:val="false"/>
          <w:bCs w:val="false"/>
        </w:rPr>
        <w:t>c</w:t>
      </w:r>
      <w:r>
        <w:rPr>
          <w:rStyle w:val="Strong"/>
          <w:b w:val="false"/>
          <w:bCs w:val="false"/>
        </w:rPr>
        <w:t xml:space="preserve">omponentes </w:t>
      </w:r>
      <w:r>
        <w:rPr>
          <w:rStyle w:val="Strong"/>
          <w:b w:val="false"/>
          <w:bCs w:val="false"/>
        </w:rPr>
        <w:t>p</w:t>
      </w:r>
      <w:r>
        <w:rPr>
          <w:rStyle w:val="Strong"/>
          <w:b w:val="false"/>
          <w:bCs w:val="false"/>
        </w:rPr>
        <w:t xml:space="preserve">rincipais </w:t>
      </w:r>
      <w:r>
        <w:rPr>
          <w:rStyle w:val="Strong"/>
          <w:b w:val="false"/>
          <w:bCs w:val="false"/>
        </w:rPr>
        <w:t>(</w:t>
      </w:r>
      <w:r>
        <w:rPr>
          <w:lang w:val="pt-PT"/>
        </w:rPr>
        <w:t>PCA</w:t>
      </w:r>
      <w:r>
        <w:rPr>
          <w:lang w:val="pt-PT"/>
        </w:rPr>
        <w:t>)</w:t>
      </w:r>
      <w:r>
        <w:rPr>
          <w:rStyle w:val="FootnoteReference"/>
          <w:lang w:val="pt-PT"/>
        </w:rPr>
        <w:footnoteReference w:id="6"/>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w:t>
      </w:r>
      <w:r>
        <w:rPr>
          <w:lang w:val="pt-PT"/>
        </w:rPr>
        <w:t xml:space="preserv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7"/>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8"/>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w:t>
      </w:r>
      <w:r>
        <w:rPr>
          <w:lang w:val="pt-PT"/>
        </w:rPr>
        <w:t xml:space="preserve"> consultada</w:t>
      </w:r>
      <w:r>
        <w:rPr>
          <w:lang w:val="pt-PT"/>
        </w:rPr>
        <w:t xml:space="preserve">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2">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3">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0"/>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4"/>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5"/>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6"/>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7"/>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8">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19"/>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0">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 xml:space="preserve">os conjuntos de dados </w:t>
      </w:r>
      <w:r>
        <w:rPr/>
        <w:t>(</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 xml:space="preserve">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w:t>
      </w:r>
      <w:r>
        <w:rPr/>
        <w:t>foi</w:t>
      </w:r>
      <w:r>
        <w:rPr/>
        <w:t xml:space="preserve">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 xml:space="preserve">Deste modo, a base de dados sustenta a passagem entre o enquadramento antropométrico e a modelação paramétrica tridimensional, </w:t>
      </w:r>
      <w:r>
        <w:rPr/>
        <w:t>usando OpenSCAD</w:t>
      </w:r>
      <w:r>
        <w:rPr/>
        <w:t>: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t>OpenSCAD: enquadramento e justificação da escolha</w:t>
      </w:r>
    </w:p>
    <w:p>
      <w:pPr>
        <w:pStyle w:val="Normal"/>
        <w:bidi w:val="0"/>
        <w:jc w:val="left"/>
        <w:rPr>
          <w:lang w:val="pt-PT"/>
        </w:rPr>
      </w:pPr>
      <w: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1"/>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2">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noChangeAspect="1"/>
            </wp:cNvGraphicFramePr>
            <a:graphic>
              <a:graphicData uri="http://schemas.openxmlformats.org/drawingml/2006/picture">
                <pic:pic>
                  <pic:nvPicPr>
                    <pic:cNvPr id="15" name="Image20"/>
                    <pic:cNvPicPr>
                      <a:picLocks noChangeAspect="1" noChangeArrowheads="1"/>
                    </pic:cNvPicPr>
                  </pic:nvPicPr>
                  <pic:blipFill>
                    <a:blip r:embed="rId23"/>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 xml:space="preserve">Figura 5.1 — Fluxo geral de produção personalizada de próteses a partir de </w:t>
      </w:r>
      <w:r>
        <w:rPr>
          <w:lang w:val="pt-PT"/>
        </w:rPr>
        <w:t>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noChangeAspect="1"/>
            </wp:cNvGraphicFramePr>
            <a:graphic>
              <a:graphicData uri="http://schemas.openxmlformats.org/drawingml/2006/picture">
                <pic:pic>
                  <pic:nvPicPr>
                    <pic:cNvPr id="16" name="Image 15" descr="Image 15"/>
                    <pic:cNvPicPr>
                      <a:picLocks noChangeAspect="1" noChangeArrowheads="1"/>
                    </pic:cNvPicPr>
                  </pic:nvPicPr>
                  <pic:blipFill>
                    <a:blip r:embed="rId24"/>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5">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noChangeAspect="1"/>
            </wp:cNvGraphicFramePr>
            <a:graphic>
              <a:graphicData uri="http://schemas.openxmlformats.org/drawingml/2006/picture">
                <pic:pic>
                  <pic:nvPicPr>
                    <pic:cNvPr id="17" name="Image 16" descr="Image 16"/>
                    <pic:cNvPicPr>
                      <a:picLocks noChangeAspect="1" noChangeArrowheads="1"/>
                    </pic:cNvPicPr>
                  </pic:nvPicPr>
                  <pic:blipFill>
                    <a:blip r:embed="rId26"/>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7">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noChangeAspect="1"/>
            </wp:cNvGraphicFramePr>
            <a:graphic>
              <a:graphicData uri="http://schemas.openxmlformats.org/drawingml/2006/picture">
                <pic:pic>
                  <pic:nvPicPr>
                    <pic:cNvPr id="18" name="Image 17" descr="Image 17"/>
                    <pic:cNvPicPr>
                      <a:picLocks noChangeAspect="1" noChangeArrowheads="1"/>
                    </pic:cNvPicPr>
                  </pic:nvPicPr>
                  <pic:blipFill>
                    <a:blip r:embed="rId28"/>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9">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noChangeAspect="1"/>
            </wp:cNvGraphicFramePr>
            <a:graphic>
              <a:graphicData uri="http://schemas.openxmlformats.org/drawingml/2006/picture">
                <pic:pic>
                  <pic:nvPicPr>
                    <pic:cNvPr id="19" name="Image 18" descr="Image 18"/>
                    <pic:cNvPicPr>
                      <a:picLocks noChangeAspect="1" noChangeArrowheads="1"/>
                    </pic:cNvPicPr>
                  </pic:nvPicPr>
                  <pic:blipFill>
                    <a:blip r:embed="rId30"/>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noChangeAspect="1"/>
            </wp:cNvGraphicFramePr>
            <a:graphic>
              <a:graphicData uri="http://schemas.openxmlformats.org/drawingml/2006/picture">
                <pic:pic>
                  <pic:nvPicPr>
                    <pic:cNvPr id="20" name="Image 19" descr="Image 19"/>
                    <pic:cNvPicPr>
                      <a:picLocks noChangeAspect="1" noChangeArrowheads="1"/>
                    </pic:cNvPicPr>
                  </pic:nvPicPr>
                  <pic:blipFill>
                    <a:blip r:embed="rId31"/>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9"/>
        <w:gridCol w:w="3718"/>
        <w:gridCol w:w="3009"/>
      </w:tblGrid>
      <w:tr>
        <w:trPr>
          <w:tblHeader w:val="true"/>
        </w:trPr>
        <w:tc>
          <w:tcPr>
            <w:tcW w:w="2299" w:type="dxa"/>
            <w:tcBorders/>
            <w:vAlign w:val="center"/>
          </w:tcPr>
          <w:p>
            <w:pPr>
              <w:pStyle w:val="TableHeading"/>
              <w:rPr/>
            </w:pPr>
            <w:r>
              <w:rPr/>
              <w:t>Eixo avaliado</w:t>
            </w:r>
          </w:p>
        </w:tc>
        <w:tc>
          <w:tcPr>
            <w:tcW w:w="3718"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9" w:type="dxa"/>
            <w:tcBorders/>
            <w:vAlign w:val="center"/>
          </w:tcPr>
          <w:p>
            <w:pPr>
              <w:pStyle w:val="TableContents"/>
              <w:rPr/>
            </w:pPr>
            <w:r>
              <w:rPr/>
              <w:t>Conformidade com o esquema</w:t>
            </w:r>
          </w:p>
        </w:tc>
        <w:tc>
          <w:tcPr>
            <w:tcW w:w="3718"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9" w:type="dxa"/>
            <w:tcBorders/>
            <w:vAlign w:val="center"/>
          </w:tcPr>
          <w:p>
            <w:pPr>
              <w:pStyle w:val="TableContents"/>
              <w:rPr/>
            </w:pPr>
            <w:r>
              <w:rPr/>
              <w:t>Proporcionalidade digital</w:t>
            </w:r>
          </w:p>
        </w:tc>
        <w:tc>
          <w:tcPr>
            <w:tcW w:w="3718"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9" w:type="dxa"/>
            <w:tcBorders/>
            <w:vAlign w:val="center"/>
          </w:tcPr>
          <w:p>
            <w:pPr>
              <w:pStyle w:val="TableContents"/>
              <w:rPr/>
            </w:pPr>
            <w:r>
              <w:rPr/>
              <w:t>Entradas completas</w:t>
            </w:r>
          </w:p>
        </w:tc>
        <w:tc>
          <w:tcPr>
            <w:tcW w:w="3718"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9" w:type="dxa"/>
            <w:tcBorders/>
            <w:vAlign w:val="center"/>
          </w:tcPr>
          <w:p>
            <w:pPr>
              <w:pStyle w:val="TableContents"/>
              <w:rPr/>
            </w:pPr>
            <w:r>
              <w:rPr/>
              <w:t>Entradas parciais</w:t>
            </w:r>
          </w:p>
        </w:tc>
        <w:tc>
          <w:tcPr>
            <w:tcW w:w="3718"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9" w:type="dxa"/>
            <w:tcBorders/>
            <w:vAlign w:val="center"/>
          </w:tcPr>
          <w:p>
            <w:pPr>
              <w:pStyle w:val="TableContents"/>
              <w:rPr/>
            </w:pPr>
            <w:r>
              <w:rPr/>
              <w:t>Entradas apenas demográficas</w:t>
            </w:r>
          </w:p>
        </w:tc>
        <w:tc>
          <w:tcPr>
            <w:tcW w:w="3718"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9" w:type="dxa"/>
            <w:tcBorders/>
            <w:vAlign w:val="center"/>
          </w:tcPr>
          <w:p>
            <w:pPr>
              <w:pStyle w:val="TableContents"/>
              <w:rPr/>
            </w:pPr>
            <w:r>
              <w:rPr/>
              <w:t>Lateralidade</w:t>
            </w:r>
          </w:p>
        </w:tc>
        <w:tc>
          <w:tcPr>
            <w:tcW w:w="3718"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3">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 xml:space="preserve"> </w:t>
      </w:r>
      <w:r>
        <w:rPr/>
        <w:t>T</w:t>
      </w:r>
      <w:r>
        <w:rPr/>
        <w: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hyperlink" Target="https://www.semanticscholar.org/paper/305d55af5fda06b4d1b33e7d29c1f16d1b7ea488"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doi.org/10.1109/BioRob60516.2024.10719909" TargetMode="External"/><Relationship Id="rId19" Type="http://schemas.openxmlformats.org/officeDocument/2006/relationships/image" Target="media/image13.png"/><Relationship Id="rId20" Type="http://schemas.openxmlformats.org/officeDocument/2006/relationships/hyperlink" Target="https://doi.org/10.1115/DETC2018-85645" TargetMode="External"/><Relationship Id="rId21" Type="http://schemas.openxmlformats.org/officeDocument/2006/relationships/image" Target="media/image14.png"/><Relationship Id="rId22" Type="http://schemas.openxmlformats.org/officeDocument/2006/relationships/hyperlink" Target="https://doi.org/10.1109/BioRob60516.2024.10719909" TargetMode="External"/><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doi.org/10.1088/1742-6596/2198/1/012040" TargetMode="External"/><Relationship Id="rId26" Type="http://schemas.openxmlformats.org/officeDocument/2006/relationships/image" Target="media/image17.png"/><Relationship Id="rId27" Type="http://schemas.openxmlformats.org/officeDocument/2006/relationships/hyperlink" Target="https://doi.org/10.1080/17483107.2025.2483953" TargetMode="External"/><Relationship Id="rId28" Type="http://schemas.openxmlformats.org/officeDocument/2006/relationships/image" Target="media/image18.png"/><Relationship Id="rId29" Type="http://schemas.openxmlformats.org/officeDocument/2006/relationships/hyperlink" Target="https://doi.org/10.1016/j.inffus.2019.12.012" TargetMode="Externa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footnotes" Target="footnotes.xml"/><Relationship Id="rId33" Type="http://schemas.openxmlformats.org/officeDocument/2006/relationships/comments" Target="comment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4030</TotalTime>
  <Application>LibreOffice/26.2.4.2$Linux_X86_64 LibreOffice_project/3346a99e6b841765b75a9b29714a5b95c6761ce3</Application>
  <AppVersion>15.0000</AppVersion>
  <Pages>110</Pages>
  <Words>40136</Words>
  <Characters>256706</Characters>
  <CharactersWithSpaces>295929</CharactersWithSpaces>
  <Paragraphs>1031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2026-07-07T14:34:51Z</dcterms:modified>
  <cp:revision>82</cp:revision>
  <dc:subject/>
  <dc:title>projecto-completo</dc:title>
</cp:coreProperties>
</file>

<file path=docProps/custom.xml><?xml version="1.0" encoding="utf-8"?>
<Properties xmlns="http://schemas.openxmlformats.org/officeDocument/2006/custom-properties" xmlns:vt="http://schemas.openxmlformats.org/officeDocument/2006/docPropsVTypes"/>
</file>