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15">
  <w:body>
    <w:p>
      <w:pPr>
        <w:pStyle w:val="Normal"/>
        <w:bidi w:val="0"/>
        <w:jc w:val="left"/>
        <w:rPr>
          <w:lang w:val="pt-PT"/>
        </w:rPr>
      </w:pPr>
      <w:r>
        <w:rPr>
          <w:lang w:val="pt-PT"/>
        </w:rPr>
        <w:t>Projecto completo</w:t>
      </w:r>
    </w:p>
    <w:p>
      <w:pPr>
        <w:pStyle w:val="Normal"/>
        <w:bidi w:val="0"/>
        <w:jc w:val="left"/>
        <w:rPr>
          <w:lang w:val="pt-PT"/>
        </w:rPr>
      </w:pPr>
      <w:r>
        <w:rPr/>
        <w:t>Versão do documento:0.4.21</w:t>
      </w:r>
    </w:p>
    <w:p>
      <w:pPr>
        <w:pStyle w:val="Normal"/>
        <w:bidi w:val="0"/>
        <w:jc w:val="left"/>
        <w:rPr>
          <w:lang w:val="pt-PT"/>
        </w:rPr>
      </w:pPr>
      <w:r>
        <w:rPr>
          <w:lang w:val="pt-PT"/>
        </w:rPr>
      </w:r>
    </w:p>
    <w:p>
      <w:pPr>
        <w:pStyle w:val="Heading2"/>
        <w:rPr/>
      </w:pPr>
      <w:r>
        <w:rPr/>
        <w:t>INTEGRAÇÃO DO DESIGN E DA INTELIGÊNCIA ARTIFICIAL EM PROCESSOS PARAMÉTRICOS PARA O DESENVOLVIMENTO DE PRÓTESES DE MEMBROS SUPERIORES EM IMPRESSÃO 3D.</w:t>
      </w:r>
    </w:p>
    <w:p>
      <w:pPr>
        <w:pStyle w:val="Normal"/>
        <w:bidi w:val="0"/>
        <w:jc w:val="left"/>
        <w:rPr>
          <w:lang w:val="pt-PT"/>
        </w:rPr>
      </w:pPr>
      <w:r>
        <w:rPr>
          <w:lang w:val="pt-PT"/>
        </w:rPr>
      </w:r>
    </w:p>
    <w:p>
      <w:pPr>
        <w:pStyle w:val="Heading2"/>
      </w:pPr>
      <w:r>
        <w:t xml:space="preserve">Resumo</w:t>
      </w:r>
    </w:p>
    <w:p>
      <w:pPr>
        <w:pStyle w:val="Normal"/>
      </w:pPr>
      <w:r>
        <w:t xml:space="preserve">A personalização de próteses de membros superiores continua a ser condicionada por custos elevados, dependência de competências técnicas especializadas e dificuldade em traduzir dados antropométricos em geometrias ajustadas, reprodutíveis e fabricáveis. Esta dissertação investiga de que modo o design industrial, articulado com modelação paramétrica e inteligência artificial, pode apoiar processos mais acessíveis, explícitos e controláveis de desenvolvimento de próteses personalizadas para impressão 3D. A investigação adota uma abordagem de Research Through Design, combinando revisão crítica da literatura, análise de soluções open source, estruturação de uma base local de dados antropométricos, desenvolvimento de modelos paramétricos em OpenSCAD, integração numa plataforma web e avaliação por testes de perfil, exportação de geometrias e prototipagem física. O sistema desenvolvido permite converter descrições e medidas do utilizador em sugestões paramétricas, visualizar o modelo no navegador, exportar ficheiros STL/3MF e verificar a sua passagem para fabrico digital. A validação incidiu sobre a coerência entre perfil, parâmetros, geometria exportada e protótipo físico, usando dados antropométricos públicos e testes de impressão realizados a partir do mesmo perfil de base, com alteração controlada da idade. As peças foram preparadas no PrusaSlicer 2.9.6 e no Bambu Studio e materializadas em PLA e PETG em impressoras FDM. Os resultados mostram que a combinação entre regras paramétricas explícitas, apoio de IA e verificação material pode tornar o processo de personalização mais rastreável e replicável, embora não substitua validação clínica, avaliação biomecânica completa ou testes com utilizadores reais. O contributo principal reside na formulação de um processo metodológico que articula design, dados antropométricos, IA e fabrico digital de forma crítica e operacional.</w:t>
      </w:r>
    </w:p>
    <w:p>
      <w:pPr>
        <w:pStyle w:val="Normal"/>
      </w:pPr>
      <w:r>
        <w:t xml:space="preserve">Palavras-chave: design industrial; próteses de membro superior; design paramétrico; inteligência artificial; impressão 3D; dados antropométricos; fabrico digital.</w:t>
      </w:r>
    </w:p>
    <w:p>
      <w:pPr>
        <w:pStyle w:val="Heading2"/>
      </w:pPr>
      <w:r>
        <w:t xml:space="preserve">Abstract</w:t>
      </w:r>
    </w:p>
    <w:p>
      <w:pPr>
        <w:pStyle w:val="Normal"/>
      </w:pPr>
      <w:r>
        <w:t xml:space="preserve">The personalisation of upper-limb prostheses remains constrained by high costs, dependence on specialised technical expertise, and the difficulty of translating anthropometric data into geometries that are fitted, reproducible, and manufacturable. This dissertation investigates how industrial design, combined with parametric modelling and artificial intelligence, can support more accessible, explicit, and controllable processes for developing personalised prostheses for 3D printing. The research follows a Research Through Design approach, combining a critical literature review, analysis of open-source prosthetic solutions, the structuring of a local anthropometric database, the development of parametric models in OpenSCAD, integration into a web platform, and evaluation through profile tests, geometry export, and physical prototyping. The developed system converts user descriptions and measurements into parametric suggestions, enables browser-based model visualisation, exports STL/3MF files, and supports verification of the transition from digital model to digital fabrication. Validation focused on coherence between profile, parameters, exported geometry, and physical prototype, using public anthropometric data and print tests derived from the same base profile, with age changed as a controlled variable. The parts were prepared in PrusaSlicer 2.9.6 and Bambu Studio and materialised in PLA and PETG using FDM printers. The results indicate that combining explicit parametric rules, AI support, and material verification can make personalisation processes more traceable and replicable, although it does not replace clinical validation, full biomechanical assessment, or tests with real users. The main contribution lies in the formulation of a methodological process that critically and operationally connects design, anthropometric data, AI, and digital fabrication.</w:t>
      </w:r>
    </w:p>
    <w:p>
      <w:pPr>
        <w:pStyle w:val="Normal"/>
      </w:pPr>
      <w:r>
        <w:t xml:space="preserve">Keywords: industrial design; upper-limb prostheses; parametric design; artificial intelligence; 3D printing; anthropometric data; digital fabrication.</w:t>
      </w:r>
    </w:p>
    <w:p>
      <w:pPr>
        <w:pStyle w:val="Normal"/>
      </w:pPr>
      <w:r>
        <w:t xml:space="preserve"/>
      </w:r>
    </w:p>
    <w:p>
      <w:pPr>
        <w:pStyle w:val="Heading2"/>
        <w:rPr/>
      </w:pPr>
      <w:r>
        <w:rPr/>
        <w:t>Lista de acrónimos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1259"/>
        <w:gridCol w:w="7767"/>
      </w:tblGrid>
      <w:tr>
        <w:trPr>
          <w:tblHeader w:val="true"/>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2D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Bidimensional.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Tridimensional.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AMS</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Automatic Material System; sistema automático de alimentação de filamento usado em impressoras Bambu Lab.</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3DP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Printing</w:t>
            </w:r>
            <w:r>
              <w:rPr/>
              <w:t>;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3MF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3D Manufacturing Format</w:t>
            </w:r>
            <w:r>
              <w:rPr/>
              <w:t>; formato de ficheiro para fabrico aditivo.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ANSUR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Anthropometric Survey of U.S. Army Personnel</w:t>
            </w:r>
            <w:r>
              <w:rPr/>
              <w:t>; inquérito antropométrico do Exército dos Estados Unidos.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API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Application Programming Interface</w:t>
            </w:r>
            <w:r>
              <w:rPr/>
              <w:t>; interface de programação de aplicações.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ASTM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American Society for Testing and Materials</w:t>
            </w:r>
            <w:r>
              <w:rPr/>
              <w:t>; organismo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Design</w:t>
            </w:r>
            <w:r>
              <w:rPr/>
              <w:t>; desenho ou projeto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Computer-Aided Manufacturing</w:t>
            </w:r>
            <w:r>
              <w:rPr/>
              <w:t>; fabrico assistido por computador.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Conformité Européenne</w:t>
            </w:r>
            <w:r>
              <w:rPr/>
              <w:t>; marcação europeia de conformidade.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Constructive Solid Geometry</w:t>
            </w:r>
            <w:r>
              <w:rPr/>
              <w:t>; geometria sólida construtiva.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CSV</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Comma-Separated Values</w:t>
            </w:r>
            <w:r>
              <w:rPr/>
              <w:t>; formato de valores separados por vírgulas.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CT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Computed Tomography</w:t>
            </w:r>
            <w:r>
              <w:rPr/>
              <w:t>; tomografia computorizada.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DfAM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Design for Additive Manufacturing</w:t>
            </w:r>
            <w:r>
              <w:rPr/>
              <w:t>; design para 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DINED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Delft Institute of Ergonomics and Design</w:t>
            </w:r>
            <w:r>
              <w:rPr/>
              <w:t>; base de dados antropométrica da TU Delft.</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DOI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Digital Object Identifier</w:t>
            </w:r>
            <w:r>
              <w:rPr/>
              <w:t>; identificador digital de objeto.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EMG</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Eletromiografia; registo da atividade elétrica muscular.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European Union</w:t>
            </w:r>
            <w:r>
              <w:rPr/>
              <w:t>; União Europeia.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Estados Unidos da América.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FA/FdA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Fabricação aditiva.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Food and Drug Administration</w:t>
            </w:r>
            <w:r>
              <w:rPr/>
              <w:t>; agência reguladora dos Estados Unidos para alimentos, medicamentos e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FDM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Deposition Modelling</w:t>
            </w:r>
            <w:r>
              <w:rPr/>
              <w:t>; modelação por deposição fundida.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Analysis</w:t>
            </w:r>
            <w:r>
              <w:rPr/>
              <w:t>; análise por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FEM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Finite Element Method</w:t>
            </w:r>
            <w:r>
              <w:rPr/>
              <w:t>; método dos elementos finitos.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Fused Filament Fabrication</w:t>
            </w:r>
            <w:r>
              <w:rPr/>
              <w:t>; fabricação por filamento fundido.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FFD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Free-Form Deformation</w:t>
            </w:r>
            <w:r>
              <w:rPr/>
              <w:t>; deformação de forma livre.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GB/T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Norma nacional recomendada chinesa.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HB</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Breadth</w:t>
            </w:r>
            <w:r>
              <w:rPr/>
              <w:t>; largura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Human-Centred Design</w:t>
            </w:r>
            <w:r>
              <w:rPr/>
              <w:t>; design centrado no humano.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HGD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Grip Diameter</w:t>
            </w:r>
            <w:r>
              <w:rPr/>
              <w:t>; diâmetro de preensão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Hand Length</w:t>
            </w:r>
            <w:r>
              <w:rPr/>
              <w:t>; comprimento da mão.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HTML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HyperText Markup Language</w:t>
            </w:r>
            <w:r>
              <w:rPr/>
              <w:t>; linguagem de marcação de hipertexto.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t>Inteligência Artificial.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ICF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Classification of Functioning, Disability and Health</w:t>
            </w:r>
            <w:r>
              <w:rPr/>
              <w:t>; Classificação Internacional de Funcionalidade, Incapacidade e Saúde.</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IEEE</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Institute of Electrical and Electronics Engineers</w:t>
            </w:r>
            <w:r>
              <w:rPr/>
              <w:t>; associação técnico-científica e entidade editorial/de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ISO</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International Organization for Standardization</w:t>
            </w:r>
            <w:r>
              <w:rPr/>
              <w:t>; Organização Internacional de Normalização.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JSON</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JavaScript Object Notation</w:t>
            </w:r>
            <w:r>
              <w:rPr/>
              <w:t>; formato leve de intercâmbio de dados.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JWT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JSON Web Token</w:t>
            </w:r>
            <w:r>
              <w:rPr/>
              <w:t>; token web em formato JSON para autenticação e autorização.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LL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Lower Limb</w:t>
            </w:r>
            <w:r>
              <w:rPr/>
              <w:t>; membro inferior.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MCP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Metacarpophalangeal</w:t>
            </w:r>
            <w:r>
              <w:rPr/>
              <w:t>; articulação metacarpofalângica.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MDR</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Medical Device Regulation</w:t>
            </w:r>
            <w:r>
              <w:rPr/>
              <w:t>; Regulamento Europeu dos Dispositivos Médicos.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MPT</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Matching Person and Technology</w:t>
            </w:r>
            <w:r>
              <w:rPr/>
              <w:t>; modelo de adequação entre pessoa e tecnologia.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MRI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Magnetic Resonance Imaging</w:t>
            </w:r>
            <w:r>
              <w:rPr/>
              <w:t>; ressonância magnética.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PCA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Principal Component Analysis</w:t>
            </w:r>
            <w:r>
              <w:rPr/>
              <w:t>; análise de componentes principais.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PDF</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Portable Document Format</w:t>
            </w:r>
            <w:r>
              <w:rPr/>
              <w:t>; formato portátil de documento.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PIP</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Proximal Interphalangeal</w:t>
            </w:r>
            <w:r>
              <w:rPr/>
              <w:t>; articulação interfalângica proximal.</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Palm Length</w:t>
            </w:r>
            <w:r>
              <w:rPr/>
              <w:t>; comprimento da palma.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PRISMA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Preferred Reporting Items for Systematic Reviews and Meta-Analyses</w:t>
            </w:r>
            <w:r>
              <w:rPr/>
              <w:t>; diretrizes para reporte de revisões sistemáticas e meta-análises.</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RTD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Research Through Design</w:t>
            </w:r>
            <w:r>
              <w:rPr/>
              <w:t>; investigação através do design.</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Standard Deviation</w:t>
            </w:r>
            <w:r>
              <w:rPr/>
              <w:t>; desvio-padrão.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SLA</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estereolitografia.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SLS</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Selective Laser Sintering</w:t>
            </w:r>
            <w:r>
              <w:rPr/>
              <w:t>; sinterização seletiva a laser.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Statistical Shape Modelling</w:t>
            </w:r>
            <w:r>
              <w:rPr/>
              <w:t>; modelação estatística da forma.</w:t>
            </w:r>
          </w:p>
        </w:tc>
      </w:tr>
      <w:tr>
        <w:trPr/>
        <w:tc>
          <w:tcPr>
            <w:tcW w:w="1259" w:type="dxa"/>
            <w:tcBorders>
              <w:left w:val="single" w:sz="4" w:space="0" w:color="808080"/>
              <w:bottom w:val="single" w:sz="4" w:space="0" w:color="808080"/>
              <w:right w:val="single" w:sz="4" w:space="0" w:color="808080"/>
            </w:tcBorders>
          </w:tcPr>
          <w:p>
            <w:pPr>
              <w:pStyle w:val="BodyText"/>
              <w:bidi w:val="0"/>
              <w:spacing w:before="0" w:after="140"/>
              <w:jc w:val="left"/>
              <w:rPr>
                <w:lang w:val="pt-PT"/>
              </w:rPr>
            </w:pPr>
            <w:r>
              <w:rPr>
                <w:lang w:val="pt-PT"/>
              </w:rPr>
              <w:t>SQLite</w:t>
            </w:r>
          </w:p>
        </w:tc>
        <w:tc>
          <w:tcPr>
            <w:tcW w:w="7767" w:type="dxa"/>
            <w:tcBorders>
              <w:left w:val="single" w:sz="4" w:space="0" w:color="808080"/>
              <w:bottom w:val="single" w:sz="4" w:space="0" w:color="808080"/>
              <w:right w:val="single" w:sz="4" w:space="0" w:color="808080"/>
            </w:tcBorders>
          </w:tcPr>
          <w:p>
            <w:pPr>
              <w:pStyle w:val="Normal"/>
              <w:rPr/>
            </w:pPr>
            <w:r>
              <w:rPr/>
              <w:t>Motor leve de base de dados relacional baseado em SQL, autónomo e incorporável na aplicação.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STL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Stereolithography</w:t>
            </w:r>
            <w:r>
              <w:rPr/>
              <w:t>; formato de ficheiro de malha tridimensional usado em impressão 3D.</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TC</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Technical Committee</w:t>
            </w:r>
            <w:r>
              <w:rPr/>
              <w:t>; comité técnico.</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TRL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Technology Readiness Level</w:t>
            </w:r>
            <w:r>
              <w:rPr/>
              <w:t>; nível de prontidão tecnológica.</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UCD</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User-Centred Design</w:t>
            </w:r>
            <w:r>
              <w:rPr/>
              <w:t>; design centrado no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Interface</w:t>
            </w:r>
            <w:r>
              <w:rPr/>
              <w:t>; interface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UL</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Upper Limb</w:t>
            </w:r>
            <w:r>
              <w:rPr/>
              <w:t>; membro superior.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UX</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User Experience</w:t>
            </w:r>
            <w:r>
              <w:rPr/>
              <w:t>; experiência do utilizador.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WASM</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WebAssembly</w:t>
            </w:r>
            <w:r>
              <w:rPr/>
              <w:t>; tecnologia para execução de código compilado no navegador.</w:t>
            </w:r>
          </w:p>
        </w:tc>
      </w:tr>
      <w:tr>
        <w:trPr/>
        <w:tc>
          <w:tcPr>
            <w:tcW w:w="1259" w:type="dxa"/>
            <w:tcBorders>
              <w:top w:val="single" w:sz="4" w:space="0" w:color="808080"/>
              <w:left w:val="single" w:sz="4" w:space="0" w:color="808080"/>
              <w:bottom w:val="single" w:sz="4" w:space="0" w:color="808080"/>
              <w:right w:val="single" w:sz="4" w:space="0" w:color="808080"/>
            </w:tcBorders>
          </w:tcPr>
          <w:p>
            <w:pPr>
              <w:pStyle w:val="Normal"/>
              <w:rPr/>
            </w:pPr>
            <w:r>
              <w:rPr/>
              <w:t>XAI</w:t>
            </w:r>
          </w:p>
        </w:tc>
        <w:tc>
          <w:tcPr>
            <w:tcW w:w="7767" w:type="dxa"/>
            <w:tcBorders>
              <w:top w:val="single" w:sz="4" w:space="0" w:color="808080"/>
              <w:left w:val="single" w:sz="4" w:space="0" w:color="808080"/>
              <w:bottom w:val="single" w:sz="4" w:space="0" w:color="808080"/>
              <w:right w:val="single" w:sz="4" w:space="0" w:color="808080"/>
            </w:tcBorders>
          </w:tcPr>
          <w:p>
            <w:pPr>
              <w:pStyle w:val="Normal"/>
              <w:rPr/>
            </w:pPr>
            <w:r>
              <w:rPr>
                <w:i/>
              </w:rPr>
              <w:t>Explainable Artificial Intelligence</w:t>
            </w:r>
            <w:r>
              <w:rPr/>
              <w:t>; inteligência artificial explicável.</w:t>
            </w:r>
          </w:p>
        </w:tc>
      </w:tr>
    </w:tbl>
    <w:p>
      <w:pPr>
        <w:pStyle w:val="Heading2"/>
        <w:bidi w:val="0"/>
        <w:jc w:val="left"/>
        <w:rPr>
          <w:lang w:val="pt-PT"/>
        </w:rPr>
      </w:pPr>
      <w:r>
        <w:rPr>
          <w:lang w:val="pt-PT"/>
        </w:rPr>
      </w:r>
    </w:p>
    <w:p>
      <w:pPr>
        <w:pStyle w:val="Heading2"/>
        <w:rPr/>
      </w:pPr>
      <w:r>
        <w:rPr/>
        <w:t>Lista de tabelas</w:t>
      </w:r>
    </w:p>
    <w:tbl>
      <w:tblPr>
        <w:tblStyle w:val="TableGrid"/>
        <w:tblW w:w="5000" w:type="pct"/>
        <w:jc w:val="left"/>
        <w:tblInd w:w="103" w:type="dxa"/>
        <w:tblLayout w:type="fixed"/>
        <w:tblCellMar>
          <w:top w:w="0" w:type="dxa"/>
          <w:left w:w="108" w:type="dxa"/>
          <w:bottom w:w="0" w:type="dxa"/>
          <w:right w:w="108" w:type="dxa"/>
        </w:tblCellMar>
      </w:tblPr>
      <w:tblGrid>
        <w:gridCol w:w="1503"/>
        <w:gridCol w:w="6725"/>
        <w:gridCol w:w="798"/>
      </w:tblGrid>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Identificação</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Página</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2.1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Papéis dos profissionais de saúde no desenvolvimento de dispositivos médicos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15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2.2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Elementos centrais na configuração da participação em sistemas configuráveis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36</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Principais parâmetros antropométricos da mão e do membro superior relevantes para modelação paramétrica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54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Conjuntos mínimos de parâmetros por nível de amputação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54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Métodos de recolha de dados antropométricos e suas características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56</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4.4</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Fontes integradas na base local de dados antropométricos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58</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4.5</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Estrutura hierárquica dos parâmetros no modelo paramétrico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62</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4.6</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Mapeamento entre parâmetros antropométricos e elementos do modelo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64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4.7</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Estrutura técnica em camadas de um modelo paramétrico em OpenSCAD para próteses personalizadas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66</w:t>
            </w:r>
          </w:p>
        </w:tc>
      </w:tr>
      <w:tr>
        <w:trPr/>
        <w:tc>
          <w:tcPr>
            <w:tcW w:w="0" w:type="auto"/>
          </w:tcPr>
          <w:p>
            <w:pPr/>
            <w:r>
              <w:t>Tabela 6.1</w:t>
            </w:r>
          </w:p>
        </w:tc>
        <w:tc>
          <w:tcPr>
            <w:tcW w:w="0" w:type="auto"/>
          </w:tcPr>
          <w:p>
            <w:pPr/>
            <w:r>
              <w:t>Especificação técnica dos modelos de IA e do contrato de sugestão paramétrica</w:t>
            </w:r>
          </w:p>
        </w:tc>
        <w:tc>
          <w:tcPr>
            <w:tcW w:w="0" w:type="auto"/>
          </w:tcPr>
          <w:p>
            <w:pPr/>
            <w:r>
              <w:t>87</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Síntese dos resultados da validação por impressão 3D</w:t>
            </w:r>
          </w:p>
        </w:tc>
        <w:tc>
          <w:tcPr>
            <w:tcW w:w="0" w:type="auto"/>
          </w:tcPr>
          <w:p>
            <w:pPr/>
            <w:r>
              <w:t>100</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Entradas/prompt utilizadas para criação dos perfis de validação antropométrica por IA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101</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Síntese da validação antropométrica assistida por IA</w:t>
            </w:r>
          </w:p>
        </w:tc>
        <w:tc>
          <w:tcPr>
            <w:tcW w:w="0" w:type="auto"/>
          </w:tcPr>
          <w:p>
            <w:pPr/>
            <w:r>
              <w:t>104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8.4</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Modelos e mecanismos de escala avaliados</w:t>
            </w:r>
          </w:p>
        </w:tc>
        <w:tc>
          <w:tcPr>
            <w:tcW w:w="0" w:type="auto"/>
          </w:tcPr>
          <w:p>
            <w:pPr/>
            <w:r>
              <w:t>105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Tabela 8.5</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Rácio adimensional da maior dimensão da palma exportada face ao baseline</w:t>
            </w:r>
          </w:p>
        </w:tc>
        <w:tc>
          <w:tcPr>
            <w:tcW w:w="0" w:type="auto"/>
          </w:tcPr>
          <w:p>
            <w:pPr/>
            <w:r>
              <w:t>105</w:t>
            </w:r>
          </w:p>
        </w:tc>
      </w:tr>
    </w:tbl>
    <w:p>
      <w:pPr>
        <w:pStyle w:val="Normal"/>
        <w:rPr/>
      </w:pPr>
      <w:r>
        <w:rPr/>
      </w:r>
    </w:p>
    <w:p>
      <w:pPr>
        <w:pStyle w:val="Heading2"/>
        <w:rPr/>
      </w:pPr>
      <w:r>
        <w:rPr/>
        <w:t>Lista de figuras</w:t>
      </w:r>
    </w:p>
    <w:tbl>
      <w:tblPr>
        <w:tblStyle w:val="TableGrid"/>
        <w:tblW w:w="5000" w:type="pct"/>
        <w:jc w:val="left"/>
        <w:tblInd w:w="103" w:type="dxa"/>
        <w:tblLayout w:type="fixed"/>
        <w:tblCellMar>
          <w:top w:w="0" w:type="dxa"/>
          <w:left w:w="108" w:type="dxa"/>
          <w:bottom w:w="0" w:type="dxa"/>
          <w:right w:w="108" w:type="dxa"/>
        </w:tblCellMar>
      </w:tblPr>
      <w:tblGrid>
        <w:gridCol w:w="1503"/>
        <w:gridCol w:w="6725"/>
        <w:gridCol w:w="798"/>
      </w:tblGrid>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Identificação</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Página</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1.1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Exemplos de próteses e dispositivos associados à fabricação aditiva em contexto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6</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Exemplos de próteses de membro superior impressas em 3D, ilustrando diversidade tipológica e construtiva.</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11</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Utilização, rejeição primária e rejeição secundária de próteses do membro superior adquiridas.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13</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Fluxo digital entre aquisição, CAD/CAM e fabricação aditiva em próteses e ortóteses.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18</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2.4</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 de configurador digital para personalização de uma prótese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21</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2.5</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Marcos anatómicos e medidas de referência da mão para fins de personalização.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26</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2.6</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Enquadramento de um fluxo de CAD assistido por IA para desenvolvimento de produto.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30</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2.7</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Modelo de processo para configurar participação em ecossistemas de inovação e cocriação.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35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2.8</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40</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3.1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Processo interdisciplinar de desenvolvimento de uma prótese de membro superior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45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3.2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Exemplo de recolha dimensional para ajuste de prótese impressa em 3D.</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49</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4.1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Parâmetros antropométricos utilizados na modelação paramétrica de dedos protésicos.</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53</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4.2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Comparação entre o escalonamento uniforme e a modelação paramétrica de dedo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56</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4.3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Relação entre modelo paramétrico digital, prototipagem e verificação de um dedo protésico.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66</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5.1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Fluxo geral de produção personalizada de próteses a partir de plataforma web – Hand Fab</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72</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5.2</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Fluxo geral de produção personalizada de próteses a partir de digitalização, CAD adaptativo e fabrico aditivo.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74</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5.3</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Ferramenta paramétrica para configuração de ajudas técnicas com variação de dimensões, materiais e peso.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78</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6.1</w:t>
            </w:r>
          </w:p>
        </w:tc>
        <w:tc>
          <w:tcPr>
            <w:tcW w:w="672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compreensão dos sistemas de IA e princípios de IA responsável.</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90</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7.1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Teste de uma prótese impressa em 3D com utilizador em contexto aplicado.</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95</w:t>
            </w:r>
          </w:p>
        </w:tc>
      </w:tr>
      <w:tr>
        <w:trPr/>
        <w:tc>
          <w:tcPr>
            <w:tcW w:w="1503" w:type="dxa"/>
            <w:tcBorders>
              <w:top w:val="single" w:sz="4" w:space="0" w:color="808080"/>
              <w:left w:val="single" w:sz="4" w:space="0" w:color="808080"/>
              <w:bottom w:val="single" w:sz="4" w:space="0" w:color="808080"/>
              <w:right w:val="single" w:sz="4" w:space="0" w:color="808080"/>
            </w:tcBorders>
          </w:tcPr>
          <w:p>
            <w:pPr>
              <w:pStyle w:val="Normal"/>
              <w:rPr/>
            </w:pPr>
            <w:r>
              <w:rPr/>
              <w:t>Figura 8.1</w:t>
            </w:r>
          </w:p>
        </w:tc>
        <w:tc>
          <w:tcPr>
            <w:tcW w:w="6725" w:type="dxa"/>
            <w:tcBorders>
              <w:top w:val="single" w:sz="4" w:space="0" w:color="808080"/>
              <w:left w:val="single" w:sz="4" w:space="0" w:color="808080"/>
              <w:bottom w:val="single" w:sz="4" w:space="0" w:color="808080"/>
              <w:right w:val="single" w:sz="4" w:space="0" w:color="808080"/>
            </w:tcBorders>
          </w:tcPr>
          <w:p>
            <w:pPr>
              <w:pStyle w:val="Normal"/>
              <w:rPr/>
            </w:pPr>
            <w:r>
              <w:rPr/>
              <w:t>Tarefas funcionais usadas em avaliação de prótese personalizada de membro superior.</w:t>
            </w:r>
          </w:p>
        </w:tc>
        <w:tc>
          <w:tcPr>
            <w:tcW w:w="798" w:type="dxa"/>
            <w:tcBorders>
              <w:top w:val="single" w:sz="4" w:space="0" w:color="808080"/>
              <w:left w:val="single" w:sz="4" w:space="0" w:color="808080"/>
              <w:bottom w:val="single" w:sz="4" w:space="0" w:color="808080"/>
              <w:right w:val="single" w:sz="4" w:space="0" w:color="808080"/>
            </w:tcBorders>
          </w:tcPr>
          <w:p>
            <w:pPr>
              <w:pStyle w:val="Normal"/>
              <w:rPr/>
            </w:pPr>
            <w:r>
              <w:rPr/>
              <w:t xml:space="preserve">100</w:t>
            </w:r>
          </w:p>
        </w:tc>
      </w:tr>
    </w:tbl>
    <w:p>
      <w:pPr>
        <w:pStyle w:val="Normal"/>
        <w:rPr/>
      </w:pPr>
      <w:r>
        <w:rPr/>
      </w:r>
    </w:p>
    <w:p>
      <w:pPr>
        <w:pStyle w:val="Heading2"/>
        <w:bidi w:val="0"/>
        <w:jc w:val="left"/>
        <w:rPr>
          <w:lang w:val="pt-PT"/>
        </w:rPr>
      </w:pPr>
      <w:r>
        <w:rPr>
          <w:lang w:val="pt-PT"/>
        </w:rPr>
        <w:t>Capítulo 1 — Introdução</w:t>
      </w:r>
    </w:p>
    <w:p>
      <w:pPr>
        <w:pStyle w:val="Heading3"/>
        <w:bidi w:val="0"/>
        <w:jc w:val="left"/>
        <w:rPr>
          <w:lang w:val="pt-PT"/>
        </w:rPr>
      </w:pPr>
      <w:r>
        <w:rPr>
          <w:lang w:val="pt-PT"/>
        </w:rPr>
      </w:r>
    </w:p>
    <w:p>
      <w:pPr>
        <w:pStyle w:val="Heading3"/>
        <w:bidi w:val="0"/>
        <w:jc w:val="left"/>
        <w:rPr>
          <w:lang w:val="pt-PT"/>
        </w:rPr>
      </w:pPr>
      <w:r>
        <w:rPr>
          <w:lang w:val="pt-PT"/>
        </w:rPr>
        <w:t>1.1 Enquadramento geral, contexto e motivação</w:t>
      </w:r>
    </w:p>
    <w:p>
      <w:pPr>
        <w:pStyle w:val="Normal"/>
        <w:bidi w:val="0"/>
        <w:jc w:val="left"/>
        <w:rPr>
          <w:lang w:val="pt-PT"/>
        </w:rPr>
      </w:pPr>
      <w:r>
        <w:rPr>
          <w:lang w:val="pt-PT"/>
        </w:rPr>
      </w:r>
    </w:p>
    <w:p>
      <w:pPr>
        <w:pStyle w:val="Normal"/>
        <w:bidi w:val="0"/>
        <w:jc w:val="left"/>
        <w:rPr>
          <w:lang w:val="pt-PT"/>
        </w:rPr>
      </w:pPr>
      <w:r>
        <w:rPr>
          <w:lang w:val="pt-PT"/>
        </w:rPr>
        <w:t>A perda de membros superiores provoca impactos funcionais (limitação nas tarefas quotidianas), sociais (alterações na interação e na inclusão) e simbólicos (mudanças na identidade e na percepção), o que requer soluções técnicas e de projeto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lang w:val="pt-PT"/>
        </w:rPr>
      </w:pPr>
      <w:r>
        <w:rPr>
          <w:lang w:val="pt-PT"/>
        </w:rPr>
        <w:t xml:space="preserve">Nos últimos anos, a impressão 3D e as plataformas </w:t>
      </w:r>
      <w:r>
        <w:rPr>
          <w:i/>
          <w:lang w:val="pt-PT"/>
        </w:rPr>
        <w:t>open source</w:t>
      </w:r>
      <w:r>
        <w:rPr>
          <w:lang w:val="pt-PT"/>
        </w:rPr>
        <w:t xml:space="preserve"> ampliaram o acesso a dispositivos protésicos, especialmente em contextos economicamente desfavorecidos. </w:t>
      </w:r>
      <w:r>
        <w:rPr/>
        <w:t>No entanto, muitos desses modelos dependem de geometrias fixas, isto é, formas pré-definidas sem adaptação automática, ou de ajustes manuais pouco padronizados. Esta condição resulta em alterações sem protocolo uniforme e dificulta a expansão, a geração de variantes consistentes e a integração robusta de dados antropométricos, ou seja, de medidas corporais específicas do utilizador.</w:t>
      </w:r>
    </w:p>
    <w:p>
      <w:pPr>
        <w:pStyle w:val="Normal"/>
        <w:bidi w:val="0"/>
        <w:jc w:val="left"/>
        <w:rPr>
          <w:lang w:val="pt-PT"/>
        </w:rPr>
      </w:pPr>
      <w:r>
        <w:rPr>
          <w:lang w:val="pt-PT"/>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lang w:val="pt-PT"/>
        </w:rPr>
      </w:pPr>
      <w:r>
        <w:rPr/>
        <w:drawing>
          <ns2:inline distT="0" distB="0" distL="0" distR="0">
            <ns2:extent cx="5715000" cy="3924300"/>
            <ns2:effectExtent l="0" t="0" r="0" b="0"/>
            <ns2:docPr id="1" name="Image 1" descr="Image 1"/>
            <ns2:cNvGraphicFramePr>
              <ns3:graphicFrameLocks noChangeAspect="1"/>
            </ns2:cNvGraphicFramePr>
            <ns3:graphic>
              <ns3:graphicData uri="http://schemas.openxmlformats.org/drawingml/2006/picture">
                <ns4:pic>
                  <ns4:nvPicPr>
                    <ns4:cNvPr id="1" name="Image 1" descr="Image 1"/>
                    <ns4:cNvPicPr>
                      <ns3:picLocks noChangeAspect="1" noChangeArrowheads="1"/>
                    </ns4:cNvPicPr>
                  </ns4:nvPicPr>
                  <ns4:blipFill>
                    <ns3:blip ns5:embed="rId2"/>
                    <ns3:stretch>
                      <ns3:fillRect/>
                    </ns3:stretch>
                  </ns4:blipFill>
                  <ns4:spPr bwMode="auto">
                    <ns3:xfrm>
                      <ns3:off x="0" y="0"/>
                      <ns3:ext cx="5715000" cy="3924300"/>
                    </ns3:xfrm>
                    <ns3:prstGeom prst="rect">
                      <ns3:avLst/>
                    </ns3:prstGeom>
                    <ns3:noFill/>
                  </ns4:spPr>
                </ns4:pic>
              </ns3:graphicData>
            </ns3:graphic>
          </ns2:inline>
        </w:drawing>
      </w:r>
    </w:p>
    <w:p>
      <w:pPr>
        <w:pStyle w:val="Normal"/>
        <w:bidi w:val="0"/>
        <w:jc w:val="left"/>
        <w:rPr>
          <w:lang w:val="pt-PT"/>
        </w:rPr>
      </w:pPr>
      <w:r>
        <w:rPr>
          <w:lang w:val="pt-PT"/>
        </w:rPr>
        <w:t>Figura 1.1 — Exemplos de próteses e dispositivos associados à fabricação aditiva em contexto protésico.</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lang w:val="pt-PT"/>
        </w:rPr>
      </w:pPr>
      <w:r>
        <w:rPr>
          <w:lang w:val="pt-PT"/>
        </w:rPr>
        <w:t>1.2 Problema de investigação</w:t>
      </w:r>
    </w:p>
    <w:p>
      <w:pPr>
        <w:pStyle w:val="Normal"/>
        <w:bidi w:val="0"/>
        <w:jc w:val="left"/>
        <w:rPr>
          <w:lang w:val="pt-PT"/>
        </w:rPr>
      </w:pPr>
      <w:r>
        <w:rPr>
          <w:lang w:val="pt-PT"/>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lang w:val="pt-PT"/>
        </w:rPr>
      </w:pPr>
      <w:r>
        <w:rPr>
          <w:lang w:val="pt-PT"/>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lang w:val="pt-PT"/>
        </w:rPr>
      </w:pPr>
      <w:r>
        <w:rPr>
          <w:lang w:val="pt-PT"/>
        </w:rPr>
      </w:r>
    </w:p>
    <w:p>
      <w:pPr>
        <w:pStyle w:val="Heading3"/>
        <w:bidi w:val="0"/>
        <w:jc w:val="left"/>
        <w:rPr>
          <w:lang w:val="pt-PT"/>
        </w:rPr>
      </w:pPr>
      <w:r>
        <w:rPr>
          <w:lang w:val="pt-PT"/>
        </w:rPr>
        <w:t>1.3 Objetivos da investigação</w:t>
      </w:r>
    </w:p>
    <w:p>
      <w:pPr>
        <w:pStyle w:val="Heading3"/>
        <w:bidi w:val="0"/>
        <w:jc w:val="left"/>
        <w:rPr>
          <w:lang w:val="pt-PT"/>
        </w:rPr>
      </w:pPr>
      <w:r>
        <w:rPr>
          <w:lang w:val="pt-PT"/>
        </w:rPr>
      </w:r>
    </w:p>
    <w:p>
      <w:pPr>
        <w:pStyle w:val="Heading3"/>
        <w:bidi w:val="0"/>
        <w:jc w:val="left"/>
        <w:rPr>
          <w:lang w:val="pt-PT"/>
        </w:rPr>
      </w:pPr>
      <w:r>
        <w:rPr>
          <w:lang w:val="pt-PT"/>
        </w:rPr>
        <w:t>1.3.1 Objetivo geral</w:t>
      </w:r>
    </w:p>
    <w:p>
      <w:pPr>
        <w:pStyle w:val="Normal"/>
        <w:bidi w:val="0"/>
        <w:jc w:val="left"/>
        <w:rPr>
          <w:lang w:val="pt-PT"/>
        </w:rPr>
      </w:pPr>
      <w:r>
        <w:rPr>
          <w:lang w:val="pt-PT"/>
        </w:rPr>
      </w:r>
    </w:p>
    <w:p>
      <w:pPr>
        <w:pStyle w:val="Normal"/>
        <w:bidi w:val="0"/>
        <w:jc w:val="left"/>
        <w:rPr>
          <w:lang w:val="pt-PT"/>
        </w:rPr>
      </w:pPr>
      <w:r>
        <w:rPr>
          <w:lang w:val="pt-PT"/>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lang w:val="pt-PT"/>
        </w:rPr>
      </w:pPr>
      <w:r>
        <w:rPr>
          <w:lang w:val="pt-PT"/>
        </w:rPr>
      </w:r>
    </w:p>
    <w:p>
      <w:pPr>
        <w:pStyle w:val="Heading3"/>
        <w:bidi w:val="0"/>
        <w:jc w:val="left"/>
        <w:rPr>
          <w:lang w:val="pt-PT"/>
        </w:rPr>
      </w:pPr>
      <w:r>
        <w:rPr>
          <w:lang w:val="pt-PT"/>
        </w:rPr>
        <w:t>1.3.2 Objetivos específicos</w:t>
      </w:r>
    </w:p>
    <w:p>
      <w:pPr>
        <w:pStyle w:val="Normal"/>
        <w:bidi w:val="0"/>
        <w:jc w:val="left"/>
        <w:rPr>
          <w:lang w:val="pt-PT"/>
        </w:rPr>
      </w:pPr>
      <w:r>
        <w:rPr>
          <w:lang w:val="pt-PT"/>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A validação da abordagem combina testes de perfil, exportação de geometrias, análise de malhas e prototipagem por impressão 3D, avaliando a coerência dimensional, a montagem preliminar, a viabilidade de fabrico e os limites materiais, sem reivindicar validação clínica do dispositivo.</w:t>
      </w:r>
    </w:p>
    <w:p>
      <w:pPr>
        <w:pStyle w:val="Normal"/>
        <w:bidi w:val="0"/>
        <w:jc w:val="left"/>
        <w:rPr>
          <w:lang w:val="pt-PT"/>
        </w:rPr>
      </w:pPr>
      <w:r>
        <w:rPr>
          <w:lang w:val="pt-PT"/>
        </w:rPr>
        <w:t xml:space="preserve">A investigação busca responder: como o design de produto, métodos paramétricos e inteligência artificial podem melhorar a personalização, o conforto e a adequação funcional de próteses, mantendo a acessibilidade e o controle projetual? </w:t>
      </w:r>
      <w:r>
        <w:rPr/>
        <w:t>Que metodologias e ferramentas permitem avaliar a eficácia, a usabilidade, a durabilidade e a replicação controlada de próteses impressas em 3D? Como pode o Design Industrial conciliar requisitos anatómicos, funcionais, ergonómicos, estéticos e simbólicos, promovendo a aceitação, a dignidade e a autonomia?</w:t>
      </w:r>
    </w:p>
    <w:p>
      <w:pPr>
        <w:pStyle w:val="Heading3"/>
        <w:bidi w:val="0"/>
        <w:jc w:val="left"/>
        <w:rPr>
          <w:lang w:val="pt-PT"/>
        </w:rPr>
      </w:pPr>
      <w:r>
        <w:rPr>
          <w:lang w:val="pt-PT"/>
        </w:rPr>
      </w:r>
    </w:p>
    <w:p>
      <w:pPr>
        <w:pStyle w:val="Heading3"/>
        <w:bidi w:val="0"/>
        <w:jc w:val="left"/>
        <w:rPr>
          <w:lang w:val="pt-PT"/>
        </w:rPr>
      </w:pPr>
      <w:r>
        <w:rPr>
          <w:lang w:val="pt-PT"/>
        </w:rPr>
        <w:t>1.4 Abordagem metodológica geral</w:t>
      </w:r>
    </w:p>
    <w:p>
      <w:pPr>
        <w:pStyle w:val="Normal"/>
        <w:bidi w:val="0"/>
        <w:jc w:val="left"/>
        <w:rPr>
          <w:lang w:val="pt-PT"/>
        </w:rPr>
      </w:pPr>
      <w:r>
        <w:rPr>
          <w:lang w:val="pt-PT"/>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lang w:val="pt-PT"/>
        </w:rPr>
      </w:pPr>
      <w:r>
        <w:rPr>
          <w:lang w:val="pt-PT"/>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preliminar, sem utilizar dados pessoais de utilizadores.</w:t>
      </w:r>
    </w:p>
    <w:p>
      <w:pPr>
        <w:pStyle w:val="Heading3"/>
        <w:bidi w:val="0"/>
        <w:jc w:val="left"/>
        <w:rPr>
          <w:lang w:val="pt-PT"/>
        </w:rPr>
      </w:pPr>
      <w:r>
        <w:rPr>
          <w:lang w:val="pt-PT"/>
        </w:rPr>
      </w:r>
    </w:p>
    <w:p>
      <w:pPr>
        <w:pStyle w:val="Heading3"/>
        <w:bidi w:val="0"/>
        <w:jc w:val="left"/>
        <w:rPr>
          <w:lang w:val="pt-PT"/>
        </w:rPr>
      </w:pPr>
      <w:r>
        <w:rPr>
          <w:lang w:val="pt-PT"/>
        </w:rPr>
        <w:t>1.5 Estrutura da dissertação</w:t>
      </w:r>
    </w:p>
    <w:p>
      <w:pPr>
        <w:pStyle w:val="Normal"/>
        <w:bidi w:val="0"/>
        <w:jc w:val="left"/>
        <w:rPr>
          <w:lang w:val="pt-PT"/>
        </w:rPr>
      </w:pPr>
      <w:r>
        <w:rPr>
          <w:lang w:val="pt-PT"/>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lang w:val="pt-PT"/>
        </w:rPr>
      </w:pPr>
      <w:r>
        <w:rPr>
          <w:lang w:val="pt-PT"/>
        </w:rPr>
      </w:r>
    </w:p>
    <w:p>
      <w:pPr>
        <w:pStyle w:val="Heading2"/>
        <w:bidi w:val="0"/>
        <w:jc w:val="left"/>
        <w:rPr>
          <w:lang w:val="pt-PT"/>
        </w:rPr>
      </w:pPr>
      <w:r>
        <w:rPr>
          <w:lang w:val="pt-PT"/>
        </w:rPr>
        <w:t>Capítulo 2 — Enquadramento Teórico e Estado da Arte</w:t>
      </w:r>
    </w:p>
    <w:p>
      <w:pPr>
        <w:pStyle w:val="Heading3"/>
        <w:bidi w:val="0"/>
        <w:jc w:val="left"/>
        <w:rPr>
          <w:lang w:val="pt-PT"/>
        </w:rPr>
      </w:pPr>
      <w:r>
        <w:rPr>
          <w:lang w:val="pt-PT"/>
        </w:rPr>
      </w:r>
    </w:p>
    <w:p>
      <w:pPr>
        <w:pStyle w:val="Heading3"/>
        <w:bidi w:val="0"/>
        <w:jc w:val="left"/>
        <w:rPr>
          <w:lang w:val="pt-PT"/>
        </w:rPr>
      </w:pPr>
      <w:r>
        <w:rPr>
          <w:lang w:val="pt-PT"/>
        </w:rPr>
        <w:t>2.1 Prótese de membro superior e dispositivos médicos</w:t>
      </w:r>
    </w:p>
    <w:p>
      <w:pPr>
        <w:pStyle w:val="Normal"/>
        <w:bidi w:val="0"/>
        <w:jc w:val="left"/>
        <w:rPr>
          <w:lang w:val="pt-PT"/>
        </w:rPr>
      </w:pPr>
      <w:r>
        <w:rPr>
          <w:lang w:val="pt-PT"/>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lang w:val="pt-PT"/>
        </w:rPr>
      </w:pPr>
      <w:r>
        <w:rPr>
          <w:lang w:val="pt-PT"/>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BodyText"/>
        <w:rPr>
          <w:lang w:val="pt-PT"/>
        </w:rPr>
      </w:pPr>
      <w:r>
        <w:rPr/>
        <w:t>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lang w:val="pt-PT"/>
        </w:rPr>
      </w:pPr>
      <w:r>
        <w:rPr>
          <w:lang w:val="pt-PT"/>
        </w:rPr>
        <w:t>Tipologias de próteses de membro superior</w:t>
      </w:r>
    </w:p>
    <w:p>
      <w:pPr>
        <w:pStyle w:val="BodyText"/>
        <w:rPr/>
      </w:pPr>
      <w:r>
        <w:rPr>
          <w:lang w:val="pt-PT"/>
        </w:rPr>
        <w:t xml:space="preserve">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 </w:t>
      </w:r>
      <w:r>
        <w:rPr>
          <w:b w:val="false"/>
          <w:i w:val="false"/>
          <w:sz w:val="22"/>
        </w:rPr>
        <w:t xml:space="preserve"> </w:t>
      </w:r>
      <w:r>
        <w:rPr/>
        <w:t xml:space="preserve"> (Brack &amp; Amalu, 2021).</w:t>
      </w:r>
    </w:p>
    <w:p>
      <w:pPr>
        <w:pStyle w:val="BodyText"/>
        <w:rPr/>
      </w:pPr>
      <w:r>
        <w:rPr>
          <w:lang w:val="pt-PT"/>
        </w:rPr>
        <w:t>.</w:t>
      </w:r>
      <w:r>
        <w:rPr/>
        <w:commentReference w:id="0"/>
      </w:r>
    </w:p>
    <w:p>
      <w:pPr>
        <w:pStyle w:val="BodyText"/>
        <w:rPr/>
      </w:pPr>
      <w:r>
        <w:rPr/>
      </w:r>
    </w:p>
    <w:p>
      <w:pPr>
        <w:pStyle w:val="Normal"/>
        <w:bidi w:val="0"/>
        <w:jc w:val="left"/>
        <w:rPr>
          <w:lang w:val="pt-PT"/>
        </w:rPr>
      </w:pPr>
      <w:r>
        <w:rPr>
          <w:lang w:val="pt-PT"/>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lang w:val="pt-PT"/>
        </w:rPr>
      </w:pPr>
      <w:r>
        <w:rPr>
          <w:lang w:val="pt-PT"/>
        </w:rPr>
      </w:r>
    </w:p>
    <w:p>
      <w:pPr>
        <w:pStyle w:val="Heading3"/>
        <w:bidi w:val="0"/>
        <w:jc w:val="left"/>
        <w:rPr>
          <w:lang w:val="pt-PT"/>
        </w:rPr>
      </w:pPr>
      <w:r>
        <w:rPr>
          <w:lang w:val="pt-PT"/>
        </w:rPr>
        <w:t>Próteses mecânicas acionadas pelo corpo (</w:t>
      </w:r>
      <w:r>
        <w:rPr>
          <w:i/>
          <w:lang w:val="pt-PT"/>
        </w:rPr>
        <w:t>body-powered</w:t>
      </w:r>
      <w:r>
        <w:rPr>
          <w:lang w:val="pt-PT"/>
        </w:rPr>
        <w:t>)</w:t>
      </w:r>
    </w:p>
    <w:p>
      <w:pPr>
        <w:pStyle w:val="Normal"/>
        <w:bidi w:val="0"/>
        <w:jc w:val="left"/>
        <w:rPr>
          <w:lang w:val="pt-PT"/>
        </w:rPr>
      </w:pPr>
      <w:r>
        <w:rPr>
          <w:lang w:val="pt-PT"/>
        </w:rPr>
      </w:r>
    </w:p>
    <w:p>
      <w:pPr>
        <w:pStyle w:val="Normal"/>
        <w:bidi w:val="0"/>
        <w:jc w:val="left"/>
        <w:rPr>
          <w:lang w:val="pt-PT"/>
        </w:rPr>
      </w:pPr>
      <w:r>
        <w:rPr>
          <w:lang w:val="pt-PT"/>
        </w:rPr>
        <w:t xml:space="preserve">As próteses mecânicas utilizam um sistema de arnês e cabos que converte movimentos do ombro, do tronco ou da cintura escapular em ação no dispositivo terminal, tipicamente um gancho ou uma mão mecânica. </w:t>
      </w:r>
      <w:r>
        <w:rPr/>
        <w:t>São soluções tradicionalmente valorizadas pela robustez, pelo comportamento mecânico previsível, pelo menor custo e pela relativa facilidade de manutenção.</w:t>
      </w:r>
    </w:p>
    <w:p>
      <w:pPr>
        <w:pStyle w:val="Normal"/>
        <w:bidi w:val="0"/>
        <w:jc w:val="left"/>
        <w:rPr>
          <w:lang w:val="pt-PT"/>
        </w:rPr>
      </w:pPr>
      <w:r>
        <w:rPr>
          <w:lang w:val="pt-PT"/>
        </w:rPr>
        <w:t>Um atributo particularmente relevante é o feedback proprioceptivo</w:t>
      </w:r>
      <w:r>
        <w:rPr>
          <w:rStyle w:val="FootnoteReference"/>
          <w:lang w:val="pt-PT"/>
        </w:rPr>
        <w:footnoteReference w:id="2"/>
      </w:r>
      <w:r>
        <w:rPr>
          <w:lang w:val="pt-PT"/>
        </w:rPr>
        <w:t xml:space="preserve">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lang w:val="pt-PT"/>
        </w:rPr>
      </w:pPr>
      <w:r>
        <w:rPr>
          <w:lang w:val="pt-PT"/>
        </w:rPr>
      </w:r>
    </w:p>
    <w:p>
      <w:pPr>
        <w:pStyle w:val="Heading3"/>
        <w:bidi w:val="0"/>
        <w:jc w:val="left"/>
        <w:rPr>
          <w:lang w:val="pt-PT"/>
        </w:rPr>
      </w:pPr>
      <w:r>
        <w:rPr>
          <w:lang w:val="pt-PT"/>
        </w:rPr>
        <w:t>Próteses mioelétricas</w:t>
      </w:r>
    </w:p>
    <w:p>
      <w:pPr>
        <w:pStyle w:val="Normal"/>
        <w:bidi w:val="0"/>
        <w:jc w:val="left"/>
        <w:rPr>
          <w:lang w:val="pt-PT"/>
        </w:rPr>
      </w:pPr>
      <w:r>
        <w:rPr>
          <w:lang w:val="pt-PT"/>
        </w:rPr>
      </w:r>
    </w:p>
    <w:p>
      <w:pPr>
        <w:pStyle w:val="Normal"/>
        <w:bidi w:val="0"/>
        <w:jc w:val="left"/>
        <w:rPr>
          <w:lang w:val="pt-PT"/>
        </w:rPr>
      </w:pPr>
      <w:r>
        <w:rPr>
          <w:lang w:val="pt-PT"/>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lang w:val="pt-PT"/>
        </w:rPr>
      </w:pPr>
      <w:r>
        <w:rPr>
          <w:lang w:val="pt-PT"/>
        </w:rPr>
      </w:r>
    </w:p>
    <w:p>
      <w:pPr>
        <w:pStyle w:val="Heading3"/>
        <w:bidi w:val="0"/>
        <w:jc w:val="left"/>
        <w:rPr>
          <w:lang w:val="pt-PT"/>
        </w:rPr>
      </w:pPr>
      <w:r>
        <w:rPr>
          <w:lang w:val="pt-PT"/>
        </w:rPr>
        <w:t>Sistemas híbridos</w:t>
      </w:r>
    </w:p>
    <w:p>
      <w:pPr>
        <w:pStyle w:val="Normal"/>
        <w:bidi w:val="0"/>
        <w:jc w:val="left"/>
        <w:rPr>
          <w:lang w:val="pt-PT"/>
        </w:rPr>
      </w:pPr>
      <w:r>
        <w:rPr>
          <w:lang w:val="pt-PT"/>
        </w:rPr>
      </w:r>
    </w:p>
    <w:p>
      <w:pPr>
        <w:pStyle w:val="Normal"/>
        <w:bidi w:val="0"/>
        <w:jc w:val="left"/>
        <w:rPr>
          <w:lang w:val="pt-PT"/>
        </w:rPr>
      </w:pPr>
      <w:r>
        <w:rPr>
          <w:lang w:val="pt-PT"/>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lang w:val="pt-PT"/>
        </w:rPr>
      </w:pPr>
      <w:r>
        <w:rPr>
          <w:lang w:val="pt-PT"/>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5467350"/>
            <ns2:effectExtent l="0" t="0" r="0" b="0"/>
            <ns2:docPr id="2" name="Image 2" descr="Image 2"/>
            <ns2:cNvGraphicFramePr>
              <ns3:graphicFrameLocks noChangeAspect="1"/>
            </ns2:cNvGraphicFramePr>
            <ns3:graphic>
              <ns3:graphicData uri="http://schemas.openxmlformats.org/drawingml/2006/picture">
                <ns4:pic>
                  <ns4:nvPicPr>
                    <ns4:cNvPr id="2" name="Image 2" descr="Image 2"/>
                    <ns4:cNvPicPr>
                      <ns3:picLocks noChangeAspect="1" noChangeArrowheads="1"/>
                    </ns4:cNvPicPr>
                  </ns4:nvPicPr>
                  <ns4:blipFill>
                    <ns3:blip ns5:embed="rId3"/>
                    <ns3:stretch>
                      <ns3:fillRect/>
                    </ns3:stretch>
                  </ns4:blipFill>
                  <ns4:spPr bwMode="auto">
                    <ns3:xfrm>
                      <ns3:off x="0" y="0"/>
                      <ns3:ext cx="5715000" cy="5467350"/>
                    </ns3:xfrm>
                    <ns3:prstGeom prst="rect">
                      <ns3:avLst/>
                    </ns3:prstGeom>
                    <ns3:noFill/>
                  </ns4:spPr>
                </ns4:pic>
              </ns3:graphicData>
            </ns3:graphic>
          </ns2:inline>
        </w:drawing>
      </w:r>
    </w:p>
    <w:p>
      <w:pPr>
        <w:pStyle w:val="Normal"/>
        <w:bidi w:val="0"/>
        <w:jc w:val="left"/>
        <w:rPr>
          <w:lang w:val="pt-PT"/>
        </w:rPr>
      </w:pPr>
      <w:r>
        <w:rPr>
          <w:lang w:val="pt-PT"/>
        </w:rPr>
        <w:t>Figura 2.1 — Exemplos de próteses de membro superior impressas em 3D, ilustrando diversidade tipológica e construtiva.</w:t>
      </w:r>
    </w:p>
    <w:p>
      <w:pPr>
        <w:pStyle w:val="Normal"/>
        <w:bidi w:val="0"/>
        <w:jc w:val="left"/>
        <w:rPr>
          <w:lang w:val="pt-PT"/>
        </w:rPr>
      </w:pPr>
      <w:r>
        <w:rPr>
          <w:lang w:val="pt-PT"/>
        </w:rPr>
        <w:t>Fonte original: ten Kate, J., Smit, G., &amp; Breedveld, P. (2017). 3D-printed upper limb prostheses: A review. Disability and Rehabilitation: Assistive Technology, 12(3), 300-314. https://doi.org/10.1080/17483107.2016.1253117</w:t>
      </w:r>
    </w:p>
    <w:p>
      <w:pPr>
        <w:pStyle w:val="Heading3"/>
        <w:bidi w:val="0"/>
        <w:jc w:val="left"/>
        <w:rPr>
          <w:lang w:val="pt-PT"/>
        </w:rPr>
      </w:pPr>
      <w:r>
        <w:rPr>
          <w:lang w:val="pt-PT"/>
        </w:rPr>
      </w:r>
    </w:p>
    <w:p>
      <w:pPr>
        <w:pStyle w:val="Heading3"/>
        <w:bidi w:val="0"/>
        <w:jc w:val="left"/>
        <w:rPr>
          <w:lang w:val="pt-PT"/>
        </w:rPr>
      </w:pPr>
      <w:r>
        <w:rPr>
          <w:lang w:val="pt-PT"/>
        </w:rPr>
        <w:t>Considerações clínicas e funcionais</w:t>
      </w:r>
    </w:p>
    <w:p>
      <w:pPr>
        <w:pStyle w:val="Normal"/>
        <w:bidi w:val="0"/>
        <w:jc w:val="left"/>
        <w:rPr>
          <w:lang w:val="pt-PT"/>
        </w:rPr>
      </w:pPr>
      <w:r>
        <w:rPr>
          <w:lang w:val="pt-PT"/>
        </w:rPr>
      </w:r>
    </w:p>
    <w:p>
      <w:pPr>
        <w:pStyle w:val="Normal"/>
        <w:bidi w:val="0"/>
        <w:jc w:val="left"/>
        <w:rPr>
          <w:lang w:val="pt-PT"/>
        </w:rPr>
      </w:pPr>
      <w:r>
        <w:rPr>
          <w:lang w:val="pt-PT"/>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lang w:val="pt-PT"/>
        </w:rPr>
      </w:pPr>
      <w:r>
        <w:rPr>
          <w:lang w:val="pt-PT"/>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Normal"/>
        <w:bidi w:val="0"/>
        <w:jc w:val="left"/>
        <w:rPr>
          <w:lang w:val="pt-PT"/>
        </w:rPr>
      </w:pPr>
      <w:r>
        <w:rPr>
          <w:lang w:val="pt-PT"/>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lang w:val="pt-PT"/>
        </w:rPr>
      </w:pPr>
      <w:r>
        <w:rPr>
          <w:lang w:val="pt-PT"/>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lang w:val="pt-PT"/>
        </w:rPr>
      </w:pPr>
      <w:r>
        <w:rPr>
          <w:lang w:val="pt-PT"/>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lang w:val="pt-PT"/>
        </w:rPr>
      </w:pPr>
      <w:r>
        <w:rPr>
          <w:lang w:val="pt-PT"/>
        </w:rPr>
      </w:r>
    </w:p>
    <w:p>
      <w:pPr>
        <w:pStyle w:val="Heading3"/>
        <w:bidi w:val="0"/>
        <w:jc w:val="left"/>
        <w:rPr>
          <w:lang w:val="pt-PT"/>
        </w:rPr>
      </w:pPr>
      <w:r>
        <w:rPr>
          <w:lang w:val="pt-PT"/>
        </w:rPr>
        <w:t>Medição de resultados e abandono protésico</w:t>
      </w:r>
    </w:p>
    <w:p>
      <w:pPr>
        <w:pStyle w:val="Normal"/>
        <w:bidi w:val="0"/>
        <w:jc w:val="left"/>
        <w:rPr>
          <w:lang w:val="pt-PT"/>
        </w:rPr>
      </w:pPr>
      <w:r>
        <w:rPr>
          <w:lang w:val="pt-PT"/>
        </w:rPr>
      </w:r>
    </w:p>
    <w:p>
      <w:pPr>
        <w:pStyle w:val="Normal"/>
        <w:bidi w:val="0"/>
        <w:jc w:val="left"/>
        <w:rPr>
          <w:lang w:val="pt-PT"/>
        </w:rPr>
      </w:pPr>
      <w:r>
        <w:rPr>
          <w:lang w:val="pt-PT"/>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lang w:val="pt-PT"/>
        </w:rPr>
      </w:pPr>
      <w:r>
        <w:rPr>
          <w:lang w:val="pt-PT"/>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lang w:val="pt-PT"/>
        </w:rPr>
      </w:pPr>
      <w:r>
        <w:rPr>
          <w:lang w:val="pt-PT"/>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lang w:val="pt-PT"/>
        </w:rPr>
      </w:pPr>
      <w:r>
        <w:rPr/>
        <w:drawing>
          <ns2:inline distT="0" distB="0" distL="0" distR="0">
            <ns2:extent cx="5715000" cy="4086225"/>
            <ns2:effectExtent l="0" t="0" r="0" b="0"/>
            <ns2:docPr id="3" name="Image 3" descr="Image 3"/>
            <ns2:cNvGraphicFramePr>
              <ns3:graphicFrameLocks noChangeAspect="1"/>
            </ns2:cNvGraphicFramePr>
            <ns3:graphic>
              <ns3:graphicData uri="http://schemas.openxmlformats.org/drawingml/2006/picture">
                <ns4:pic>
                  <ns4:nvPicPr>
                    <ns4:cNvPr id="3" name="Image 3" descr="Image 3"/>
                    <ns4:cNvPicPr>
                      <ns3:picLocks noChangeAspect="1" noChangeArrowheads="1"/>
                    </ns4:cNvPicPr>
                  </ns4:nvPicPr>
                  <ns4:blipFill>
                    <ns3:blip ns5:embed="rId4"/>
                    <ns3:stretch>
                      <ns3:fillRect/>
                    </ns3:stretch>
                  </ns4:blipFill>
                  <ns4:spPr bwMode="auto">
                    <ns3:xfrm>
                      <ns3:off x="0" y="0"/>
                      <ns3:ext cx="5715000" cy="4086225"/>
                    </ns3:xfrm>
                    <ns3:prstGeom prst="rect">
                      <ns3:avLst/>
                    </ns3:prstGeom>
                    <ns3:noFill/>
                  </ns4:spPr>
                </ns4:pic>
              </ns3:graphicData>
            </ns3:graphic>
          </ns2:inline>
        </w:drawing>
      </w:r>
    </w:p>
    <w:p>
      <w:pPr>
        <w:pStyle w:val="Normal"/>
        <w:bidi w:val="0"/>
        <w:jc w:val="left"/>
        <w:rPr>
          <w:lang w:val="pt-PT"/>
        </w:rPr>
      </w:pPr>
      <w:r>
        <w:rPr>
          <w:lang w:val="pt-PT"/>
        </w:rPr>
        <w:t>Figura 2.2 — Utilização, rejeição primária e rejeição secundária de próteses do membro superior adquiridas.</w:t>
      </w:r>
    </w:p>
    <w:p>
      <w:pPr>
        <w:pStyle w:val="Normal"/>
        <w:bidi w:val="0"/>
        <w:jc w:val="left"/>
        <w:rPr/>
      </w:pPr>
      <w:r>
        <w:rPr>
          <w:lang w:val="pt-PT"/>
        </w:rPr>
        <w:t xml:space="preserve">Fonte original: Biddiss, E., Beaton, D., &amp; Chau, T. (2007). Consumer design priorities for upper limb prosthetics. Disability and Rehabilitation: Assistive Technology, 2(6), 346-357. </w:t>
      </w:r>
      <w:hyperlink ns5:id="rId5">
        <w:r>
          <w:rPr>
            <w:rStyle w:val="Hyperlink"/>
            <w:lang w:val="pt-PT"/>
          </w:rPr>
          <w:t>https://doi.org/10.1080/17483100701714733</w:t>
        </w:r>
      </w:hyperlink>
    </w:p>
    <w:p>
      <w:pPr>
        <w:pStyle w:val="Normal"/>
        <w:bidi w:val="0"/>
        <w:jc w:val="left"/>
        <w:rPr>
          <w:lang w:val="pt-PT"/>
        </w:rPr>
      </w:pPr>
      <w:r>
        <w:rPr>
          <w:lang w:val="pt-PT"/>
        </w:rPr>
      </w:r>
    </w:p>
    <w:p>
      <w:pPr>
        <w:pStyle w:val="Heading3"/>
        <w:bidi w:val="0"/>
        <w:jc w:val="left"/>
        <w:rPr>
          <w:lang w:val="pt-PT"/>
        </w:rPr>
      </w:pPr>
      <w:r>
        <w:rPr>
          <w:lang w:val="pt-PT"/>
        </w:rPr>
        <w:t>Enquadramento regulatório enquanto dispositivo médico</w:t>
      </w:r>
    </w:p>
    <w:p>
      <w:pPr>
        <w:pStyle w:val="Normal"/>
        <w:bidi w:val="0"/>
        <w:jc w:val="left"/>
        <w:rPr>
          <w:lang w:val="pt-PT"/>
        </w:rPr>
      </w:pPr>
      <w:r>
        <w:rPr>
          <w:lang w:val="pt-PT"/>
        </w:rPr>
      </w:r>
    </w:p>
    <w:p>
      <w:pPr>
        <w:pStyle w:val="Normal"/>
        <w:bidi w:val="0"/>
        <w:jc w:val="left"/>
        <w:rPr>
          <w:lang w:val="pt-PT"/>
        </w:rPr>
      </w:pPr>
      <w:r>
        <w:rPr>
          <w:lang w:val="pt-PT"/>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lang w:val="pt-PT"/>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lang w:val="pt-PT"/>
        </w:rPr>
      </w:pPr>
      <w:r>
        <w:rPr>
          <w:lang w:val="pt-PT"/>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lang w:val="pt-PT"/>
        </w:rPr>
      </w:pPr>
      <w:r>
        <w:rPr>
          <w:lang w:val="pt-PT"/>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Normal"/>
        <w:bidi w:val="0"/>
        <w:jc w:val="left"/>
        <w:rPr>
          <w:lang w:val="pt-PT"/>
        </w:rPr>
      </w:pPr>
      <w:r>
        <w:rPr>
          <w:lang w:val="pt-PT"/>
        </w:rPr>
      </w:r>
    </w:p>
    <w:p>
      <w:pPr>
        <w:pStyle w:val="Heading3"/>
        <w:bidi w:val="0"/>
        <w:jc w:val="left"/>
        <w:rPr>
          <w:lang w:val="pt-PT"/>
        </w:rPr>
      </w:pPr>
      <w:r>
        <w:rPr>
          <w:lang w:val="pt-PT"/>
        </w:rPr>
        <w:t>2.2 Design Industrial, Design Inclusivo e Design Centrado no Utilizador</w:t>
      </w:r>
    </w:p>
    <w:p>
      <w:pPr>
        <w:pStyle w:val="Normal"/>
        <w:bidi w:val="0"/>
        <w:jc w:val="left"/>
        <w:rPr>
          <w:lang w:val="pt-PT"/>
        </w:rPr>
      </w:pPr>
      <w:r>
        <w:rPr>
          <w:lang w:val="pt-PT"/>
        </w:rPr>
      </w:r>
    </w:p>
    <w:p>
      <w:pPr>
        <w:pStyle w:val="Normal"/>
        <w:bidi w:val="0"/>
        <w:jc w:val="left"/>
        <w:rPr>
          <w:lang w:val="pt-PT"/>
        </w:rPr>
      </w:pPr>
      <w:r>
        <w:rPr>
          <w:lang w:val="pt-PT"/>
        </w:rPr>
        <w:t>O design industrial, no contexto da saúde e das tecnologias de apoio, é reconhecido progressivamente como uma disciplina mediadora entre as necessidades humanas, os contextos de utilização e os sistemas técnicos regulados.</w:t>
      </w:r>
    </w:p>
    <w:p>
      <w:pPr>
        <w:pStyle w:val="Normal"/>
        <w:bidi w:val="0"/>
        <w:jc w:val="left"/>
        <w:rPr>
          <w:lang w:val="pt-PT"/>
        </w:rPr>
      </w:pPr>
      <w:r>
        <w:rP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Normal"/>
        <w:bidi w:val="0"/>
        <w:jc w:val="left"/>
        <w:rPr>
          <w:lang w:val="pt-PT"/>
        </w:rPr>
      </w:pPr>
      <w:r>
        <w:rPr>
          <w:lang w:val="pt-PT"/>
        </w:rPr>
        <w:t xml:space="preserve"> </w:t>
      </w:r>
      <w:r>
        <w:rPr>
          <w:lang w:val="pt-PT"/>
        </w:rPr>
        <w:t>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lang w:val="pt-PT"/>
        </w:rPr>
      </w:pPr>
      <w:r>
        <w:rPr>
          <w:lang w:val="pt-PT"/>
        </w:rPr>
        <w:t>Paralelamente, o design inclusivo é apresentado como um imperativo contemporâneo que visa minimizar a exclusão evitável decorrente de decisões projetuais que não consideram a diversidade populacional nem a evolução das capacidades físicas, sensoriais e cognitivas ao longo do tempo.</w:t>
      </w:r>
    </w:p>
    <w:p>
      <w:pPr>
        <w:pStyle w:val="Normal"/>
        <w:bidi w:val="0"/>
        <w:jc w:val="left"/>
        <w:rPr>
          <w:lang w:val="pt-PT"/>
        </w:rPr>
      </w:pPr>
      <w:r>
        <w:rPr>
          <w:lang w:val="pt-PT"/>
        </w:rPr>
        <w:t>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lang w:val="pt-PT"/>
        </w:rPr>
      </w:pPr>
      <w:r>
        <w:rPr>
          <w:lang w:val="pt-PT"/>
        </w:rPr>
      </w:r>
    </w:p>
    <w:p>
      <w:pPr>
        <w:pStyle w:val="Heading3"/>
        <w:bidi w:val="0"/>
        <w:jc w:val="left"/>
        <w:rPr>
          <w:lang w:val="pt-PT"/>
        </w:rPr>
      </w:pPr>
      <w:r>
        <w:rPr>
          <w:lang w:val="pt-PT"/>
        </w:rPr>
        <w:t>Design industrial em dispositivos médicos</w:t>
      </w:r>
    </w:p>
    <w:p>
      <w:pPr>
        <w:pStyle w:val="Normal"/>
        <w:bidi w:val="0"/>
        <w:jc w:val="left"/>
        <w:rPr>
          <w:lang w:val="pt-PT"/>
        </w:rPr>
      </w:pPr>
      <w:r>
        <w:rPr>
          <w:lang w:val="pt-PT"/>
        </w:rPr>
      </w:r>
    </w:p>
    <w:p>
      <w:pPr>
        <w:pStyle w:val="Normal"/>
        <w:bidi w:val="0"/>
        <w:jc w:val="left"/>
        <w:rPr>
          <w:lang w:val="pt-PT"/>
        </w:rPr>
      </w:pPr>
      <w:r>
        <w:rPr>
          <w:lang w:val="pt-PT"/>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lang w:val="pt-PT"/>
        </w:rPr>
      </w:pPr>
      <w:r>
        <w:rPr>
          <w:lang w:val="pt-PT"/>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lang w:val="pt-PT"/>
        </w:rPr>
      </w:pPr>
      <w:r>
        <w:rPr>
          <w:lang w:val="pt-PT"/>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lang w:val="pt-PT"/>
        </w:rPr>
      </w:pPr>
      <w:r>
        <w:rPr>
          <w:lang w:val="pt-PT"/>
        </w:rPr>
      </w:r>
    </w:p>
    <w:p>
      <w:pPr>
        <w:pStyle w:val="Normal"/>
        <w:bidi w:val="0"/>
        <w:jc w:val="left"/>
        <w:rPr>
          <w:lang w:val="pt-PT"/>
        </w:rPr>
      </w:pPr>
      <w:r>
        <w:rPr>
          <w:lang w:val="pt-PT"/>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Resultados clínicos, ensaios e usabilidade</w:t>
            </w:r>
          </w:p>
        </w:tc>
      </w:tr>
    </w:tbl>
    <w:p>
      <w:pPr>
        <w:pStyle w:val="Normal"/>
        <w:bidi w:val="0"/>
        <w:jc w:val="left"/>
        <w:rPr/>
      </w:pPr>
      <w:r>
        <w:rPr>
          <w:lang w:val="pt-PT"/>
        </w:rPr>
        <w:t xml:space="preserve">Fonte adaptada. Referência original: Kaygan, H., &amp; Kaygan, P. (2025). Clients and carers: Healthcare professionals’ roles in medical device development processes in SMEs. The Design Journal, 28(2), 213-231. </w:t>
      </w:r>
      <w:hyperlink ns5:id="rId6">
        <w:r>
          <w:rPr>
            <w:rStyle w:val="Hyperlink"/>
            <w:lang w:val="pt-PT"/>
          </w:rPr>
          <w:t>https://doi.org/10.1080/14606925.2024.2420152</w:t>
        </w:r>
      </w:hyperlink>
    </w:p>
    <w:p>
      <w:pPr>
        <w:pStyle w:val="Normal"/>
        <w:bidi w:val="0"/>
        <w:jc w:val="left"/>
        <w:rPr>
          <w:lang w:val="pt-PT"/>
        </w:rPr>
      </w:pPr>
      <w:r>
        <w:rPr>
          <w:lang w:val="pt-PT"/>
        </w:rPr>
      </w:r>
    </w:p>
    <w:p>
      <w:pPr>
        <w:pStyle w:val="Heading3"/>
        <w:bidi w:val="0"/>
        <w:jc w:val="left"/>
        <w:rPr>
          <w:lang w:val="pt-PT"/>
        </w:rPr>
      </w:pPr>
      <w:r>
        <w:rPr>
          <w:lang w:val="pt-PT"/>
        </w:rPr>
        <w:t>Design Inclusivo e Design Universal</w:t>
      </w:r>
    </w:p>
    <w:p>
      <w:pPr>
        <w:pStyle w:val="Heading3"/>
        <w:bidi w:val="0"/>
        <w:jc w:val="left"/>
        <w:rPr>
          <w:lang w:val="pt-PT"/>
        </w:rPr>
      </w:pPr>
      <w:r>
        <w:rPr>
          <w:lang w:val="pt-PT"/>
        </w:rPr>
      </w:r>
    </w:p>
    <w:p>
      <w:pPr>
        <w:pStyle w:val="Normal"/>
        <w:bidi w:val="0"/>
        <w:jc w:val="left"/>
        <w:rPr>
          <w:lang w:val="pt-PT"/>
        </w:rPr>
      </w:pPr>
      <w:r>
        <w:rPr>
          <w:lang w:val="pt-PT"/>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lang w:val="pt-PT"/>
        </w:rPr>
      </w:pPr>
      <w:r>
        <w:rPr>
          <w:lang w:val="pt-PT"/>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lang w:val="pt-PT"/>
        </w:rPr>
      </w:pPr>
      <w:r>
        <w:rPr>
          <w:lang w:val="pt-PT"/>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lang w:val="pt-PT"/>
        </w:rPr>
      </w:pPr>
      <w:r>
        <w:rPr>
          <w:lang w:val="pt-PT"/>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lang w:val="pt-PT"/>
        </w:rPr>
      </w:pPr>
      <w:r>
        <w:rPr>
          <w:lang w:val="pt-PT"/>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lang w:val="pt-PT"/>
        </w:rPr>
      </w:pPr>
      <w:r>
        <w:rPr>
          <w:lang w:val="pt-PT"/>
        </w:rPr>
      </w:r>
    </w:p>
    <w:p>
      <w:pPr>
        <w:pStyle w:val="Heading3"/>
        <w:bidi w:val="0"/>
        <w:jc w:val="left"/>
        <w:rPr>
          <w:lang w:val="pt-PT"/>
        </w:rPr>
      </w:pPr>
      <w:r>
        <w:rPr>
          <w:lang w:val="pt-PT"/>
        </w:rPr>
        <w:t>Design Centrado no Utilizador e Design Centrado no Humano</w:t>
      </w:r>
    </w:p>
    <w:p>
      <w:pPr>
        <w:pStyle w:val="Normal"/>
        <w:bidi w:val="0"/>
        <w:jc w:val="left"/>
        <w:rPr>
          <w:lang w:val="pt-PT"/>
        </w:rPr>
      </w:pPr>
      <w:r>
        <w:rPr>
          <w:lang w:val="pt-PT"/>
        </w:rPr>
      </w:r>
    </w:p>
    <w:p>
      <w:pPr>
        <w:pStyle w:val="Normal"/>
        <w:bidi w:val="0"/>
        <w:jc w:val="left"/>
        <w:rPr>
          <w:lang w:val="pt-PT"/>
        </w:rPr>
      </w:pPr>
      <w:r>
        <w:rPr>
          <w:lang w:val="pt-PT"/>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lang w:val="pt-PT"/>
        </w:rPr>
      </w:pPr>
      <w:r>
        <w:rPr>
          <w:lang w:val="pt-PT"/>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d</w:t>
      </w:r>
      <w:r>
        <w:rPr/>
        <w:t>efine requisitos específicos para a aplicação da engenharia de usabilidade a dispositivos médicos, reforçando a integração formal de avaliações formativas e sumativas no processo regulado de desenvolvimento.</w:t>
      </w:r>
      <w:r>
        <w:rPr>
          <w:lang w:val="pt-PT"/>
        </w:rPr>
        <w:t xml:space="preserve"> (Fisher &amp; Johansen, 2020 (#ref-fisher-2020); Millet et al., 2018 (#ref-millet-2018)).</w:t>
      </w:r>
      <w:r>
        <w:rPr/>
        <w:commentReference w:id="1"/>
      </w:r>
    </w:p>
    <w:p>
      <w:pPr>
        <w:pStyle w:val="Normal"/>
        <w:bidi w:val="0"/>
        <w:jc w:val="left"/>
        <w:rPr>
          <w:lang w:val="pt-PT"/>
        </w:rPr>
      </w:pPr>
      <w:r>
        <w:rPr>
          <w:lang w:val="pt-PT"/>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lang w:val="pt-PT"/>
        </w:rPr>
      </w:pPr>
      <w:r>
        <w:rPr>
          <w:lang w:val="pt-PT"/>
        </w:rPr>
      </w:r>
    </w:p>
    <w:p>
      <w:pPr>
        <w:pStyle w:val="Heading3"/>
        <w:bidi w:val="0"/>
        <w:jc w:val="left"/>
        <w:rPr>
          <w:lang w:val="pt-PT"/>
        </w:rPr>
      </w:pPr>
      <w:r>
        <w:rPr>
          <w:lang w:val="pt-PT"/>
        </w:rPr>
        <w:t>Design Participativo e Co-design</w:t>
      </w:r>
    </w:p>
    <w:p>
      <w:pPr>
        <w:pStyle w:val="Heading3"/>
        <w:bidi w:val="0"/>
        <w:jc w:val="left"/>
        <w:rPr>
          <w:lang w:val="pt-PT"/>
        </w:rPr>
      </w:pPr>
      <w:r>
        <w:rPr>
          <w:lang w:val="pt-PT"/>
        </w:rPr>
      </w:r>
    </w:p>
    <w:p>
      <w:pPr>
        <w:pStyle w:val="Normal"/>
        <w:bidi w:val="0"/>
        <w:jc w:val="left"/>
        <w:rPr>
          <w:lang w:val="pt-PT"/>
        </w:rPr>
      </w:pPr>
      <w:r>
        <w:rPr>
          <w:lang w:val="pt-PT"/>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lang w:val="pt-PT"/>
        </w:rPr>
      </w:pPr>
      <w:r>
        <w:rPr>
          <w:lang w:val="pt-PT"/>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Normal"/>
        <w:bidi w:val="0"/>
        <w:jc w:val="left"/>
        <w:rPr>
          <w:lang w:val="pt-PT"/>
        </w:rPr>
      </w:pPr>
      <w:r>
        <w:rPr>
          <w:lang w:val="pt-PT"/>
        </w:rPr>
      </w:r>
    </w:p>
    <w:p>
      <w:pPr>
        <w:pStyle w:val="Heading3"/>
        <w:bidi w:val="0"/>
        <w:jc w:val="left"/>
        <w:rPr>
          <w:lang w:val="pt-PT"/>
        </w:rPr>
      </w:pPr>
      <w:r>
        <w:rPr>
          <w:lang w:val="pt-PT"/>
        </w:rPr>
        <w:t>Metodologias, instrumentos e avaliação</w:t>
      </w:r>
    </w:p>
    <w:p>
      <w:pPr>
        <w:pStyle w:val="Normal"/>
        <w:bidi w:val="0"/>
        <w:jc w:val="left"/>
        <w:rPr>
          <w:lang w:val="pt-PT"/>
        </w:rPr>
      </w:pPr>
      <w:r>
        <w:rPr>
          <w:lang w:val="pt-PT"/>
        </w:rPr>
      </w:r>
    </w:p>
    <w:p>
      <w:pPr>
        <w:pStyle w:val="Normal"/>
        <w:bidi w:val="0"/>
        <w:jc w:val="left"/>
        <w:rPr>
          <w:lang w:val="pt-PT"/>
        </w:rPr>
      </w:pPr>
      <w:r>
        <w:rPr>
          <w:lang w:val="pt-PT"/>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lang w:val="pt-PT"/>
        </w:rPr>
      </w:pPr>
      <w:r>
        <w:rPr>
          <w:lang w:val="pt-PT"/>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lang w:val="pt-PT"/>
        </w:rPr>
      </w:pPr>
      <w:r>
        <w:rPr>
          <w:lang w:val="pt-PT"/>
        </w:rPr>
        <w:t>Em contextos de tecnologias de apoio, modelos como o Matching Person and Technology (MPT)</w:t>
      </w:r>
      <w:r>
        <w:rPr>
          <w:rStyle w:val="FootnoteReference"/>
          <w:lang w:val="pt-PT"/>
        </w:rPr>
        <w:footnoteReference w:id="3"/>
      </w:r>
      <w:r>
        <w:rPr>
          <w:lang w:val="pt-PT"/>
        </w:rPr>
        <w:t xml:space="preserve">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lang w:val="pt-PT"/>
        </w:rPr>
      </w:pPr>
      <w:r>
        <w:rPr>
          <w:lang w:val="pt-PT"/>
        </w:rPr>
        <w:t>A avaliação da evidência tem sido igualmente reforçada através do uso de protocolos sistemáticos, como o PRISMA</w:t>
      </w:r>
      <w:r>
        <w:rPr>
          <w:rStyle w:val="FootnoteReference"/>
          <w:lang w:val="pt-PT"/>
        </w:rPr>
        <w:footnoteReference w:id="4"/>
      </w:r>
      <w:r>
        <w:rPr>
          <w:lang w:val="pt-PT"/>
        </w:rPr>
        <w:t>, que orienta a identificação, seleção e apresentação transparente dos estudos analisados, bem como de instrumentos de avaliação crítica. Esta evolução reflete uma preocupação crescente em fundamentar decisões de design numa base empírica robusta. (Chapman et al., 2025 (#ref-chapman-2025)).</w:t>
      </w:r>
    </w:p>
    <w:p>
      <w:pPr>
        <w:pStyle w:val="Heading3"/>
        <w:bidi w:val="0"/>
        <w:jc w:val="left"/>
        <w:rPr>
          <w:lang w:val="pt-PT"/>
        </w:rPr>
      </w:pPr>
      <w:r>
        <w:rPr>
          <w:lang w:val="pt-PT"/>
        </w:rPr>
      </w:r>
    </w:p>
    <w:p>
      <w:pPr>
        <w:pStyle w:val="Heading3"/>
        <w:bidi w:val="0"/>
        <w:jc w:val="left"/>
        <w:rPr>
          <w:lang w:val="pt-PT"/>
        </w:rPr>
      </w:pPr>
      <w:r>
        <w:rPr>
          <w:lang w:val="pt-PT"/>
        </w:rPr>
        <w:t>Desafios e lacunas</w:t>
      </w:r>
    </w:p>
    <w:p>
      <w:pPr>
        <w:pStyle w:val="Normal"/>
        <w:bidi w:val="0"/>
        <w:jc w:val="left"/>
        <w:rPr>
          <w:lang w:val="pt-PT"/>
        </w:rPr>
      </w:pPr>
      <w:r>
        <w:rPr>
          <w:lang w:val="pt-PT"/>
        </w:rPr>
      </w:r>
    </w:p>
    <w:p>
      <w:pPr>
        <w:pStyle w:val="Normal"/>
        <w:bidi w:val="0"/>
        <w:jc w:val="left"/>
        <w:rPr>
          <w:lang w:val="pt-PT"/>
        </w:rPr>
      </w:pPr>
      <w:r>
        <w:rPr>
          <w:lang w:val="pt-PT"/>
        </w:rPr>
        <w:t xml:space="preserve">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 (Privitera, 2017; </w:t>
      </w:r>
      <w:r>
        <w:rPr>
          <w:b w:val="false"/>
          <w:i w:val="false"/>
          <w:sz w:val="22"/>
        </w:rPr>
        <w:t xml:space="preserve"> Oldfrey</w:t>
      </w:r>
      <w:r>
        <w:rPr>
          <w:b w:val="false"/>
          <w:i w:val="false"/>
          <w:sz w:val="22"/>
          <w:lang w:val="pt-PT"/>
        </w:rPr>
        <w:t xml:space="preserve"> et al 2024; </w:t>
      </w:r>
      <w:r>
        <w:rPr>
          <w:b w:val="false"/>
          <w:i w:val="false"/>
          <w:sz w:val="22"/>
        </w:rPr>
        <w:t xml:space="preserve">  Mc Guinness et al</w:t>
      </w:r>
      <w:r>
        <w:rPr>
          <w:b w:val="false"/>
          <w:i w:val="false"/>
          <w:sz w:val="22"/>
          <w:lang w:val="pt-PT"/>
        </w:rPr>
        <w:t>, 2025</w:t>
      </w:r>
      <w:r>
        <w:rPr>
          <w:lang w:val="pt-PT"/>
        </w:rPr>
        <w:t>).</w:t>
      </w:r>
      <w:r>
        <w:rPr/>
        <w:commentReference w:id="2"/>
      </w:r>
    </w:p>
    <w:p>
      <w:pPr>
        <w:pStyle w:val="Normal"/>
        <w:bidi w:val="0"/>
        <w:jc w:val="left"/>
        <w:rPr>
          <w:lang w:val="pt-PT"/>
        </w:rPr>
      </w:pPr>
      <w:r>
        <w:rPr>
          <w:lang w:val="pt-PT"/>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Normal"/>
        <w:bidi w:val="0"/>
        <w:jc w:val="left"/>
        <w:rPr>
          <w:lang w:val="pt-PT"/>
        </w:rPr>
      </w:pPr>
      <w:r>
        <w:rPr>
          <w:lang w:val="pt-PT"/>
        </w:rPr>
      </w:r>
    </w:p>
    <w:p>
      <w:pPr>
        <w:pStyle w:val="Heading3"/>
        <w:bidi w:val="0"/>
        <w:jc w:val="left"/>
        <w:rPr>
          <w:lang w:val="pt-PT"/>
        </w:rPr>
      </w:pPr>
      <w:r>
        <w:rPr>
          <w:lang w:val="pt-PT"/>
        </w:rPr>
        <w:t>2.3 Fabricação Aditiva e parametrização no design de produto</w:t>
      </w:r>
    </w:p>
    <w:p>
      <w:pPr>
        <w:pStyle w:val="Heading3"/>
        <w:bidi w:val="0"/>
        <w:jc w:val="left"/>
        <w:rPr>
          <w:lang w:val="pt-PT"/>
        </w:rPr>
      </w:pPr>
      <w:r>
        <w:rPr>
          <w:lang w:val="pt-PT"/>
        </w:rPr>
      </w:r>
    </w:p>
    <w:p>
      <w:pPr>
        <w:pStyle w:val="Normal"/>
        <w:bidi w:val="0"/>
        <w:jc w:val="left"/>
        <w:rPr>
          <w:lang w:val="pt-PT"/>
        </w:rPr>
      </w:pPr>
      <w:r>
        <w:rPr>
          <w:lang w:val="pt-PT"/>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lang w:val="pt-PT"/>
        </w:rPr>
      </w:pPr>
      <w:r>
        <w:rPr>
          <w:lang w:val="pt-PT"/>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3924300"/>
            <ns2:effectExtent l="0" t="0" r="0" b="0"/>
            <ns2:docPr id="4" name="Image 4" descr="Image 4"/>
            <ns2:cNvGraphicFramePr>
              <ns3:graphicFrameLocks noChangeAspect="1"/>
            </ns2:cNvGraphicFramePr>
            <ns3:graphic>
              <ns3:graphicData uri="http://schemas.openxmlformats.org/drawingml/2006/picture">
                <ns4:pic>
                  <ns4:nvPicPr>
                    <ns4:cNvPr id="4" name="Image 4" descr="Image 4"/>
                    <ns4:cNvPicPr>
                      <ns3:picLocks noChangeAspect="1" noChangeArrowheads="1"/>
                    </ns4:cNvPicPr>
                  </ns4:nvPicPr>
                  <ns4:blipFill>
                    <ns3:blip ns5:embed="rId7"/>
                    <ns3:stretch>
                      <ns3:fillRect/>
                    </ns3:stretch>
                  </ns4:blipFill>
                  <ns4:spPr bwMode="auto">
                    <ns3:xfrm>
                      <ns3:off x="0" y="0"/>
                      <ns3:ext cx="5715000" cy="3924300"/>
                    </ns3:xfrm>
                    <ns3:prstGeom prst="rect">
                      <ns3:avLst/>
                    </ns3:prstGeom>
                    <ns3:noFill/>
                  </ns4:spPr>
                </ns4:pic>
              </ns3:graphicData>
            </ns3:graphic>
          </ns2:inline>
        </w:drawing>
      </w:r>
    </w:p>
    <w:p>
      <w:pPr>
        <w:pStyle w:val="Normal"/>
        <w:bidi w:val="0"/>
        <w:jc w:val="left"/>
        <w:rPr>
          <w:lang w:val="pt-PT"/>
        </w:rPr>
      </w:pPr>
      <w:r>
        <w:rPr>
          <w:lang w:val="pt-PT"/>
        </w:rPr>
        <w:t>Figura 2.3 — Fluxo digital entre aquisição, CAD/CAM e fabricação aditiva em próteses e ortóteses.</w:t>
      </w:r>
    </w:p>
    <w:p>
      <w:pPr>
        <w:pStyle w:val="Normal"/>
        <w:bidi w:val="0"/>
        <w:jc w:val="left"/>
        <w:rPr>
          <w:lang w:val="pt-PT"/>
        </w:rPr>
      </w:pPr>
      <w:r>
        <w:rPr>
          <w:lang w:val="pt-PT"/>
        </w:rPr>
        <w:t xml:space="preserve">Fonte original: Chainando, N., Faephu, C., Suwaphong, N., Bureerat, S., Limphirat, W., Thammajaruk, P., &amp; Syafrudin, M. (2025). Applying 3D scanning and printing techniques to produce upper limb prostheses: Bibliometric analysis and scoping review. Prosthesis, 7(2), 26. </w:t>
      </w:r>
      <w:hyperlink ns5:id="rId8">
        <w:r>
          <w:rPr>
            <w:rStyle w:val="Hyperlink"/>
            <w:lang w:val="pt-PT"/>
          </w:rPr>
          <w:t>https://www.mdpi.com/2673-1592/7/2/26/pdf?version=1740996517</w:t>
        </w:r>
      </w:hyperlink>
    </w:p>
    <w:p>
      <w:pPr>
        <w:pStyle w:val="Normal"/>
        <w:bidi w:val="0"/>
        <w:jc w:val="left"/>
        <w:rPr>
          <w:lang w:val="pt-PT"/>
        </w:rPr>
      </w:pPr>
      <w:r>
        <w:rPr>
          <w:lang w:val="pt-PT"/>
        </w:rPr>
      </w:r>
    </w:p>
    <w:p>
      <w:pPr>
        <w:pStyle w:val="Normal"/>
        <w:bidi w:val="0"/>
        <w:jc w:val="left"/>
        <w:rPr>
          <w:lang w:val="pt-PT"/>
        </w:rPr>
      </w:pPr>
      <w:r>
        <w:rPr>
          <w:lang w:val="pt-PT"/>
        </w:rPr>
        <w:t>Neste enquadramento, a personalização deixa de ser entendida como exceção e passa a constituir uma estratégia estruturada, operacionalizada por meio de “seed designs”</w:t>
      </w:r>
      <w:r>
        <w:rPr>
          <w:rStyle w:val="FootnoteReference"/>
          <w:lang w:val="pt-PT"/>
        </w:rPr>
        <w:footnoteReference w:id="5"/>
      </w:r>
      <w:r>
        <w:rPr>
          <w:lang w:val="pt-PT"/>
        </w:rPr>
        <w:t xml:space="preserve">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Normal"/>
        <w:bidi w:val="0"/>
        <w:jc w:val="left"/>
        <w:rPr>
          <w:lang w:val="pt-PT"/>
        </w:rPr>
      </w:pPr>
      <w:r>
        <w:rPr>
          <w:lang w:val="pt-PT"/>
        </w:rPr>
      </w:r>
    </w:p>
    <w:p>
      <w:pPr>
        <w:pStyle w:val="Heading3"/>
        <w:bidi w:val="0"/>
        <w:jc w:val="left"/>
        <w:rPr>
          <w:lang w:val="pt-PT"/>
        </w:rPr>
      </w:pPr>
      <w:r>
        <w:rPr>
          <w:lang w:val="pt-PT"/>
        </w:rPr>
        <w:t>Modelação Paramétrica e Espaços de Variação</w:t>
      </w:r>
    </w:p>
    <w:p>
      <w:pPr>
        <w:pStyle w:val="Normal"/>
        <w:bidi w:val="0"/>
        <w:jc w:val="left"/>
        <w:rPr>
          <w:lang w:val="pt-PT"/>
        </w:rPr>
      </w:pPr>
      <w:r>
        <w:rPr>
          <w:lang w:val="pt-PT"/>
        </w:rPr>
      </w:r>
    </w:p>
    <w:p>
      <w:pPr>
        <w:pStyle w:val="Normal"/>
        <w:bidi w:val="0"/>
        <w:jc w:val="left"/>
        <w:rPr>
          <w:lang w:val="pt-PT"/>
        </w:rPr>
      </w:pPr>
      <w:r>
        <w:rPr>
          <w:lang w:val="pt-PT"/>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lang w:val="pt-PT"/>
        </w:rPr>
      </w:pPr>
      <w:r>
        <w:rPr>
          <w:lang w:val="pt-PT"/>
        </w:rPr>
        <w:t>No contexto da adaptação ao utilizador, a literatura destaca que a parametrização torna-se particularmente eficaz quando associada a dados mensuráveis, como a antropometria ou as digitalizações tridimensionais.</w:t>
      </w:r>
    </w:p>
    <w:p>
      <w:pPr>
        <w:pStyle w:val="Normal"/>
        <w:bidi w:val="0"/>
        <w:jc w:val="left"/>
        <w:rPr>
          <w:lang w:val="pt-PT"/>
        </w:rPr>
      </w:pPr>
      <w:r>
        <w:rPr>
          <w:lang w:val="pt-PT"/>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 (#ref-lim-2018)).</w:t>
      </w:r>
    </w:p>
    <w:p>
      <w:pPr>
        <w:pStyle w:val="Normal"/>
        <w:bidi w:val="0"/>
        <w:jc w:val="left"/>
        <w:rPr>
          <w:lang w:val="pt-PT"/>
        </w:rPr>
      </w:pPr>
      <w:r>
        <w:rPr>
          <w:lang w:val="pt-PT"/>
        </w:rPr>
      </w:r>
    </w:p>
    <w:p>
      <w:pPr>
        <w:pStyle w:val="Heading3"/>
        <w:bidi w:val="0"/>
        <w:jc w:val="left"/>
        <w:rPr>
          <w:lang w:val="pt-PT"/>
        </w:rPr>
      </w:pPr>
      <w:r>
        <w:rPr>
          <w:lang w:val="pt-PT"/>
        </w:rPr>
        <w:t>Integração com Fabricação Aditiva e Design for Additive Manufacturing</w:t>
      </w:r>
    </w:p>
    <w:p>
      <w:pPr>
        <w:pStyle w:val="Normal"/>
        <w:bidi w:val="0"/>
        <w:jc w:val="left"/>
        <w:rPr>
          <w:lang w:val="pt-PT"/>
        </w:rPr>
      </w:pPr>
      <w:r>
        <w:rPr>
          <w:lang w:val="pt-PT"/>
        </w:rPr>
      </w:r>
    </w:p>
    <w:p>
      <w:pPr>
        <w:pStyle w:val="Normal"/>
        <w:bidi w:val="0"/>
        <w:jc w:val="left"/>
        <w:rPr>
          <w:lang w:val="pt-PT"/>
        </w:rPr>
      </w:pPr>
      <w:r>
        <w:rPr>
          <w:lang w:val="pt-PT"/>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lang w:val="pt-PT"/>
        </w:rPr>
      </w:pPr>
      <w:r>
        <w:rPr>
          <w:lang w:val="pt-PT"/>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lang w:val="pt-PT"/>
        </w:rPr>
      </w:pPr>
      <w:r>
        <w:rPr>
          <w:lang w:val="pt-PT"/>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lang w:val="pt-PT"/>
        </w:rPr>
      </w:pPr>
      <w:r>
        <w:rPr>
          <w:lang w:val="pt-PT"/>
        </w:rPr>
        <w:t>As tecnologias de fabricação aditiva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Normal"/>
        <w:bidi w:val="0"/>
        <w:jc w:val="left"/>
        <w:rPr>
          <w:lang w:val="pt-PT"/>
        </w:rPr>
      </w:pPr>
      <w:r>
        <w:rPr>
          <w:lang w:val="pt-PT"/>
        </w:rPr>
      </w:r>
    </w:p>
    <w:p>
      <w:pPr>
        <w:pStyle w:val="Heading3"/>
        <w:bidi w:val="0"/>
        <w:jc w:val="left"/>
        <w:rPr>
          <w:lang w:val="pt-PT"/>
        </w:rPr>
      </w:pPr>
      <w:r>
        <w:rPr>
          <w:lang w:val="pt-PT"/>
        </w:rPr>
        <w:t>Configuradores e Cocriação Digital</w:t>
      </w:r>
    </w:p>
    <w:p>
      <w:pPr>
        <w:pStyle w:val="Normal"/>
        <w:bidi w:val="0"/>
        <w:jc w:val="left"/>
        <w:rPr>
          <w:lang w:val="pt-PT"/>
        </w:rPr>
      </w:pPr>
      <w:r>
        <w:rPr>
          <w:lang w:val="pt-PT"/>
        </w:rPr>
      </w:r>
    </w:p>
    <w:p>
      <w:pPr>
        <w:pStyle w:val="Normal"/>
        <w:bidi w:val="0"/>
        <w:jc w:val="left"/>
        <w:rPr>
          <w:lang w:val="pt-PT"/>
        </w:rPr>
      </w:pPr>
      <w:r>
        <w:rPr>
          <w:lang w:val="pt-PT"/>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lang w:val="pt-PT"/>
        </w:rPr>
      </w:pPr>
      <w:r>
        <w:rPr>
          <w:lang w:val="pt-PT"/>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3019425"/>
            <ns2:effectExtent l="0" t="0" r="0" b="0"/>
            <ns2:docPr id="5" name="Image 5" descr="Image 5"/>
            <ns2:cNvGraphicFramePr>
              <ns3:graphicFrameLocks noChangeAspect="1"/>
            </ns2:cNvGraphicFramePr>
            <ns3:graphic>
              <ns3:graphicData uri="http://schemas.openxmlformats.org/drawingml/2006/picture">
                <ns4:pic>
                  <ns4:nvPicPr>
                    <ns4:cNvPr id="5" name="Image 5" descr="Image 5"/>
                    <ns4:cNvPicPr>
                      <ns3:picLocks noChangeAspect="1" noChangeArrowheads="1"/>
                    </ns4:cNvPicPr>
                  </ns4:nvPicPr>
                  <ns4:blipFill>
                    <ns3:blip ns5:embed="rId9"/>
                    <ns3:stretch>
                      <ns3:fillRect/>
                    </ns3:stretch>
                  </ns4:blipFill>
                  <ns4:spPr bwMode="auto">
                    <ns3:xfrm>
                      <ns3:off x="0" y="0"/>
                      <ns3:ext cx="5715000" cy="3019425"/>
                    </ns3:xfrm>
                    <ns3:prstGeom prst="rect">
                      <ns3:avLst/>
                    </ns3:prstGeom>
                    <ns3:noFill/>
                  </ns4:spPr>
                </ns4:pic>
              </ns3:graphicData>
            </ns3:graphic>
          </ns2:inline>
        </w:drawing>
      </w:r>
    </w:p>
    <w:p>
      <w:pPr>
        <w:pStyle w:val="Normal"/>
        <w:bidi w:val="0"/>
        <w:jc w:val="left"/>
        <w:rPr>
          <w:lang w:val="pt-PT"/>
        </w:rPr>
      </w:pPr>
      <w:r>
        <w:rPr>
          <w:lang w:val="pt-PT"/>
        </w:rPr>
        <w:t>Figura 2.4 — Exemplo de configurador digital para personalização de uma prótese impressa em 3D.</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 xml:space="preserve">Este modelo “file-to-factory” viabiliza fluxos digitais em que o ficheiro parametrizado é convertido diretamente em instruções de fabrico, seja localmente (impressão 3D descentralizada) ou através de uma encomenda online[^11]. A literatura associa esta lógica à democratização do design e à expansão de estratégias de personalização em massa (mass customization) e personalização individualizada em escala (mass personalization), reduzindo custos marginais ao dispensar moldes e dispositivos específicos de fabrico.[^12] (Lei et al., 2016 (#ref-lei-2016); Stralen, 2018 (#ref-stralen-2018)).</w:t>
      </w:r>
      <w:r>
        <w:rPr>
          <w:i/>
          <w:iCs/>
          <w:lang w:val="pt-PT"/>
        </w:rPr>
        <w:t/>
      </w:r>
      <w:r>
        <w:rPr>
          <w:lang w:val="pt-PT"/>
        </w:rPr>
        <w:t/>
      </w:r>
      <w:r>
        <w:rPr>
          <w:rStyle w:val="FootnoteReference"/>
          <w:lang w:val="pt-PT"/>
        </w:rPr>
        <w:footnoteReference w:id="6"/>
      </w:r>
      <w:r>
        <w:rPr>
          <w:lang w:val="pt-PT"/>
        </w:rPr>
        <w:t xml:space="preserve"/>
      </w:r>
      <w:r>
        <w:rPr/>
        <w:t/>
      </w:r>
      <w:r>
        <w:rPr>
          <w:rStyle w:val="Emphasis"/>
        </w:rPr>
        <w:t/>
      </w:r>
      <w:r>
        <w:rPr/>
        <w:t/>
      </w:r>
      <w:r>
        <w:rPr>
          <w:rStyle w:val="Emphasis"/>
        </w:rPr>
        <w:t/>
      </w:r>
      <w:r>
        <w:rPr/>
        <w:t/>
      </w:r>
      <w:r>
        <w:rPr>
          <w:lang w:val="pt-PT"/>
        </w:rPr>
        <w:t xml:space="preserve"/>
      </w:r>
    </w:p>
    <w:p>
      <w:pPr>
        <w:pStyle w:val="Normal"/>
        <w:bidi w:val="0"/>
        <w:jc w:val="left"/>
        <w:rPr>
          <w:lang w:val="pt-PT"/>
        </w:rPr>
      </w:pPr>
      <w:r>
        <w:rPr>
          <w:lang w:val="pt-PT"/>
        </w:rPr>
      </w:r>
    </w:p>
    <w:p>
      <w:pPr>
        <w:pStyle w:val="Normal"/>
        <w:bidi w:val="0"/>
        <w:jc w:val="left"/>
        <w:rPr>
          <w:lang w:val="pt-PT"/>
        </w:rPr>
      </w:pPr>
      <w:r>
        <w:rPr>
          <w:lang w:val="pt-PT"/>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lang w:val="pt-PT"/>
        </w:rPr>
      </w:pPr>
      <w:r>
        <w:rPr>
          <w:lang w:val="pt-PT"/>
        </w:rPr>
      </w:r>
    </w:p>
    <w:p>
      <w:pPr>
        <w:pStyle w:val="Heading3"/>
        <w:bidi w:val="0"/>
        <w:jc w:val="left"/>
        <w:rPr>
          <w:lang w:val="pt-PT"/>
        </w:rPr>
      </w:pPr>
      <w:r>
        <w:rPr>
          <w:lang w:val="pt-PT"/>
        </w:rPr>
        <w:t>Otimização, Geração e Avaliação de Desempenho</w:t>
      </w:r>
    </w:p>
    <w:p>
      <w:pPr>
        <w:pStyle w:val="Normal"/>
        <w:bidi w:val="0"/>
        <w:jc w:val="left"/>
        <w:rPr>
          <w:lang w:val="pt-PT"/>
        </w:rPr>
      </w:pPr>
      <w:r>
        <w:rPr>
          <w:lang w:val="pt-PT"/>
        </w:rPr>
      </w:r>
    </w:p>
    <w:p>
      <w:pPr>
        <w:pStyle w:val="Normal"/>
        <w:bidi w:val="0"/>
        <w:jc w:val="left"/>
        <w:rPr>
          <w:lang w:val="pt-PT"/>
        </w:rPr>
      </w:pPr>
      <w:r>
        <w:rPr>
          <w:lang w:val="pt-PT"/>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w:t>
      </w:r>
      <w:r>
        <w:rPr>
          <w:rStyle w:val="FootnoteReference"/>
          <w:lang w:val="pt-PT"/>
        </w:rPr>
        <w:footnoteReference w:id="7"/>
      </w:r>
      <w:r>
        <w:rPr>
          <w:lang w:val="pt-PT"/>
        </w:rPr>
        <w:t xml:space="preserve"> para selecionar soluções alinhadas com objetivos específicos (Lei et al., 2016 (#ref-lei-2016); Yao et al., 2016 (#ref-yao-2016)).</w:t>
      </w:r>
    </w:p>
    <w:p>
      <w:pPr>
        <w:pStyle w:val="Normal"/>
        <w:bidi w:val="0"/>
        <w:jc w:val="left"/>
        <w:rPr>
          <w:lang w:val="pt-PT"/>
        </w:rPr>
      </w:pPr>
      <w:r>
        <w:rPr>
          <w:lang w:val="pt-PT"/>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(#ref-lei-2016); Lim et al., 2018 (#ref-lim-2018)).</w:t>
      </w:r>
    </w:p>
    <w:p>
      <w:pPr>
        <w:pStyle w:val="Normal"/>
        <w:bidi w:val="0"/>
        <w:jc w:val="left"/>
        <w:rPr>
          <w:lang w:val="pt-PT"/>
        </w:rPr>
      </w:pPr>
      <w:r>
        <w:rPr>
          <w:lang w:val="pt-PT"/>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lang w:val="pt-PT"/>
        </w:rPr>
      </w:pPr>
      <w:r>
        <w:rPr>
          <w:lang w:val="pt-PT"/>
        </w:rPr>
      </w:r>
    </w:p>
    <w:p>
      <w:pPr>
        <w:pStyle w:val="Heading3"/>
        <w:bidi w:val="0"/>
        <w:jc w:val="left"/>
        <w:rPr>
          <w:lang w:val="pt-PT"/>
        </w:rPr>
      </w:pPr>
      <w:r>
        <w:rPr>
          <w:lang w:val="pt-PT"/>
        </w:rPr>
        <w:t>Implicações para o Design Industrial</w:t>
      </w:r>
    </w:p>
    <w:p>
      <w:pPr>
        <w:pStyle w:val="Normal"/>
        <w:bidi w:val="0"/>
        <w:jc w:val="left"/>
        <w:rPr>
          <w:lang w:val="pt-PT"/>
        </w:rPr>
      </w:pPr>
      <w:r>
        <w:rPr>
          <w:lang w:val="pt-PT"/>
        </w:rPr>
      </w:r>
    </w:p>
    <w:p>
      <w:pPr>
        <w:pStyle w:val="Normal"/>
        <w:bidi w:val="0"/>
        <w:jc w:val="left"/>
        <w:rPr>
          <w:lang w:val="pt-PT"/>
        </w:rPr>
      </w:pPr>
      <w:r>
        <w:rPr>
          <w:lang w:val="pt-PT"/>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lang w:val="pt-PT"/>
        </w:rPr>
      </w:pPr>
      <w:r>
        <w:rPr>
          <w:lang w:val="pt-PT"/>
        </w:rPr>
        <w:t>Assim, a qualidade da definição paramétrica desempenha um papel estratégico para a viabilidade de sistemas adaptáveis (Ozdemir et al., 2022 (#ref-ozdemir-2022)).</w:t>
      </w:r>
    </w:p>
    <w:p>
      <w:pPr>
        <w:pStyle w:val="Normal"/>
        <w:bidi w:val="0"/>
        <w:jc w:val="left"/>
        <w:rPr>
          <w:lang w:val="pt-PT"/>
        </w:rPr>
      </w:pPr>
      <w:r>
        <w:rPr>
          <w:lang w:val="pt-PT"/>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lang w:val="pt-PT"/>
        </w:rPr>
      </w:pPr>
      <w:r>
        <w:rPr>
          <w:lang w:val="pt-PT"/>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lang w:val="pt-PT"/>
        </w:rPr>
      </w:pPr>
      <w:r>
        <w:rPr>
          <w:lang w:val="pt-PT"/>
        </w:rPr>
        <w:t>2.4 Próteses open source de membro superior passíveis de impressão 3D</w:t>
      </w:r>
    </w:p>
    <w:p>
      <w:pPr>
        <w:pStyle w:val="Normal"/>
        <w:bidi w:val="0"/>
        <w:jc w:val="left"/>
        <w:rPr>
          <w:lang w:val="pt-PT"/>
        </w:rPr>
      </w:pPr>
      <w:r>
        <w:rPr>
          <w:lang w:val="pt-PT"/>
        </w:rPr>
        <w:t>As próteses open source de membro superior passíveis de impressão 3D constituem um caso particularmente relevante para esta investigação, porque tornam visível a articulação entre fabricação aditiva,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sua importância não reside apenas no baixo custo de fabrico, mas também na demonstração de que uma comunidade distribuída pode produzir, adaptar e disseminar soluções protésicas funcionais fora dos canais tradicionais da indústria médica (Manero et al., 2019 (#ref-manero-2019); Wendo et al., 2022 (#ref-wendo-2022)).</w:t>
      </w:r>
    </w:p>
    <w:p>
      <w:pPr>
        <w:pStyle w:val="Normal"/>
        <w:bidi w:val="0"/>
        <w:jc w:val="left"/>
        <w:rPr>
          <w:lang w:val="pt-PT"/>
        </w:rPr>
      </w:pPr>
      <w:r>
        <w:rPr>
          <w:lang w:val="pt-PT"/>
        </w:rPr>
        <w:t>O projeto e-NABLE é o exemplo mais influente deste movimento. A comunidade consolidou-se em torno da criação e partilha de dispositivos de assistência para diferenças de membro superior, em especial mãos mecânicas acionadas pelo corpo e braços impressos em 3D para crianças. O seu catálogo reúne modelos de mão, braço, dedos, polegares e dispositivos terminais, organizados de acordo com a anatomia disponível e o tipo de acionamento. Nos modelos de mão acionados pelo punho, a flexão dos dedos depende normalmente da flexão ativa do punho e de uma palma parcialmente preservada; quando essa condição anatómica não existe, a solução tende a deslocar-se para braços ou mecanismos acionados pelo cotovelo (Wendo et al., 2022 (#ref-wendo-2022)).</w:t>
      </w:r>
    </w:p>
    <w:p>
      <w:pPr>
        <w:pStyle w:val="Normal"/>
        <w:bidi w:val="0"/>
        <w:jc w:val="left"/>
        <w:rPr>
          <w:lang w:val="pt-PT"/>
        </w:rPr>
      </w:pPr>
      <w:r>
        <w:rPr>
          <w:lang w:val="pt-PT"/>
        </w:rPr>
        <w:t>Este enquadramento é importante porque vários modelos usados ou analisados nesta investigação pertencem diretamente a esta linhagem. O Cyborg Beast, o Raptor Reloaded, a Flexy Hand, o Flexy Beast, o Paraglider Hand/Flexible Flyer, a Phoenix Hand e a Unlimbited Phoenix Hand não devem ser entendidos como objetos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acionada pelo punho e ajustável por procedimentos remotos de medição e escala (Zuniga et al., 2015 (#ref-zuniga-2015)). Já modelos posteriores, como a Phoenix/Unlimbited Phoenix e derivados como o Paraglider, procuram simplificar a montagem, melhorar a manutenção e estabilizar geometrias recorrentes. Para o presente projeto, isto tem uma consequência direta: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Normal"/>
        <w:bidi w:val="0"/>
        <w:jc w:val="left"/>
        <w:rPr>
          <w:lang w:val="pt-PT"/>
        </w:rPr>
      </w:pPr>
      <w:r>
        <w:rPr>
          <w:lang w:val="pt-PT"/>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seleção modular, a adaptação de encaixes e a circulação de feedback entre parceiros locais e equipa central funcionam como infraestrutura de aprendizagem contínua (Dechev et al., 2023 (#ref-dechev-2023)).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Normal"/>
        <w:bidi w:val="0"/>
        <w:jc w:val="left"/>
        <w:rPr>
          <w:lang w:val="pt-PT"/>
        </w:rPr>
      </w:pPr>
      <w:r>
        <w:rPr>
          <w:lang w:val="pt-PT"/>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(#ref-diment-2018)). Uma revisão mais recente sobre resultados clínicos de próteses impressas em 3D reforça a mesma cautela: há sinais de melhoria em destreza, satisfação e adequação, mas a qualidade da evidência permanece limitada e pouco comparável entre estudos (Atallah et al., 2025 (#ref-atallah-2025)).</w:t>
      </w:r>
    </w:p>
    <w:p>
      <w:pPr>
        <w:pStyle w:val="Normal"/>
        <w:bidi w:val="0"/>
        <w:jc w:val="left"/>
        <w:rPr>
          <w:lang w:val="pt-PT"/>
        </w:rPr>
      </w:pPr>
      <w:r>
        <w:rPr>
          <w:lang w:val="pt-PT"/>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acionada pode ser útil para tarefas simples, mas permanece distante da diversidade de movimentos e preensões de uma mão humana (Cabibihan et al., 2021 (#ref-cabibihan-2021)).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Normal"/>
        <w:bidi w:val="0"/>
        <w:jc w:val="left"/>
        <w:rPr>
          <w:lang w:val="pt-PT"/>
        </w:rPr>
      </w:pPr>
      <w:r>
        <w:rPr>
          <w:lang w:val="pt-PT"/>
        </w:rPr>
        <w:t>Para esta investigação, o interesse das próteses open source impressas em 3D está precisamente nessa tensão. Por um lado, modelos como o Flexy Beast, o Paraglider Hand e a Unlimbited Phoenix Hand oferecem bases acessíveis, reproduzíveis e compatíveis com fabrico distribuído. Por outro lado, a sua personalização continua frequentemente dependente de escalonamento, adaptação manual e conhecimento tácito da comunidade. A proposta de um sistema paramétrico assistido por inteligência artificial situa-se nesse intervalo: procura transformar modelos abertos em objetos configuráveis com regras explícitas, limites dimensionais visíveis, apoio à escolha do modelo adequado e ligação mais clara entre dados antropométricos, geometria gerada e critérios de fabrico. Deste modo, o ecossistema e-NABLE e o Victoria Hand Project não são apenas antecedentes históricos, mas referências críticas para compreender o que a plataforma deve preservar, corrigir e tornar mais verificável.</w:t>
      </w:r>
    </w:p>
    <w:p>
      <w:pPr>
        <w:pStyle w:val="Heading3"/>
        <w:bidi w:val="0"/>
        <w:jc w:val="left"/>
        <w:rPr>
          <w:lang w:val="pt-PT"/>
        </w:rPr>
      </w:pPr>
      <w:r>
        <w:rPr>
          <w:lang w:val="pt-PT"/>
        </w:rPr>
      </w:r>
    </w:p>
    <w:p>
      <w:pPr>
        <w:pStyle w:val="Heading3"/>
        <w:bidi w:val="0"/>
        <w:jc w:val="left"/>
        <w:rPr>
          <w:lang w:val="pt-PT"/>
        </w:rPr>
      </w:pPr>
      <w:r>
        <w:rPr>
          <w:lang w:val="pt-PT"/>
        </w:rPr>
        <w:t>2.5 Antropometria aplicada ao design protésico</w:t>
      </w:r>
    </w:p>
    <w:p>
      <w:pPr>
        <w:pStyle w:val="Normal"/>
        <w:bidi w:val="0"/>
        <w:jc w:val="left"/>
        <w:rPr>
          <w:lang w:val="pt-PT"/>
        </w:rPr>
      </w:pPr>
      <w:r>
        <w:rPr>
          <w:lang w:val="pt-PT"/>
        </w:rPr>
      </w:r>
    </w:p>
    <w:p>
      <w:pPr>
        <w:pStyle w:val="Normal"/>
        <w:bidi w:val="0"/>
        <w:jc w:val="left"/>
        <w:rPr>
          <w:lang w:val="pt-PT"/>
        </w:rPr>
      </w:pPr>
      <w:r>
        <w:rPr>
          <w:lang w:val="pt-PT"/>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bidi w:val="0"/>
        <w:jc w:val="left"/>
        <w:rPr>
          <w:lang w:val="pt-PT"/>
        </w:rPr>
      </w:pPr>
      <w:r>
        <w:rPr>
          <w:lang w:val="pt-PT"/>
        </w:rPr>
      </w:r>
    </w:p>
    <w:p>
      <w:pPr>
        <w:pStyle w:val="Heading3"/>
        <w:bidi w:val="0"/>
        <w:jc w:val="left"/>
        <w:rPr>
          <w:lang w:val="pt-PT"/>
        </w:rPr>
      </w:pPr>
      <w:r>
        <w:rPr>
          <w:lang w:val="pt-PT"/>
        </w:rPr>
        <w:t>Da dimensão linear à “forma” como dado de projeto</w:t>
      </w:r>
    </w:p>
    <w:p>
      <w:pPr>
        <w:pStyle w:val="Normal"/>
        <w:bidi w:val="0"/>
        <w:jc w:val="left"/>
        <w:rPr>
          <w:lang w:val="pt-PT"/>
        </w:rPr>
      </w:pPr>
      <w:r>
        <w:rPr>
          <w:lang w:val="pt-PT"/>
        </w:rPr>
      </w:r>
    </w:p>
    <w:p>
      <w:pPr>
        <w:pStyle w:val="Normal"/>
        <w:bidi w:val="0"/>
        <w:jc w:val="left"/>
        <w:rPr>
          <w:lang w:val="pt-PT"/>
        </w:rPr>
      </w:pPr>
      <w:r>
        <w:rPr>
          <w:lang w:val="pt-PT"/>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lang w:val="pt-PT"/>
        </w:rPr>
      </w:pPr>
      <w:r>
        <w:rPr>
          <w:lang w:val="pt-PT"/>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lang w:val="pt-PT"/>
        </w:rPr>
      </w:pPr>
      <w:r>
        <w:rPr>
          <w:lang w:val="pt-PT"/>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lang w:val="pt-PT"/>
        </w:rPr>
      </w:pPr>
      <w:r>
        <w:rPr/>
        <w:drawing>
          <ns2:inline distT="0" distB="0" distL="0" distR="0">
            <ns2:extent cx="5715000" cy="4219575"/>
            <ns2:effectExtent l="0" t="0" r="0" b="0"/>
            <ns2:docPr id="6" name="Image 6" descr="Image 6"/>
            <ns2:cNvGraphicFramePr>
              <ns3:graphicFrameLocks noChangeAspect="1"/>
            </ns2:cNvGraphicFramePr>
            <ns3:graphic>
              <ns3:graphicData uri="http://schemas.openxmlformats.org/drawingml/2006/picture">
                <ns4:pic>
                  <ns4:nvPicPr>
                    <ns4:cNvPr id="6" name="Image 6" descr="Image 6"/>
                    <ns4:cNvPicPr>
                      <ns3:picLocks noChangeAspect="1" noChangeArrowheads="1"/>
                    </ns4:cNvPicPr>
                  </ns4:nvPicPr>
                  <ns4:blipFill>
                    <ns3:blip ns5:embed="rId10"/>
                    <ns3:stretch>
                      <ns3:fillRect/>
                    </ns3:stretch>
                  </ns4:blipFill>
                  <ns4:spPr bwMode="auto">
                    <ns3:xfrm>
                      <ns3:off x="0" y="0"/>
                      <ns3:ext cx="5715000" cy="4219575"/>
                    </ns3:xfrm>
                    <ns3:prstGeom prst="rect">
                      <ns3:avLst/>
                    </ns3:prstGeom>
                    <ns3:noFill/>
                  </ns4:spPr>
                </ns4:pic>
              </ns3:graphicData>
            </ns3:graphic>
          </ns2:inline>
        </w:drawing>
      </w:r>
    </w:p>
    <w:p>
      <w:pPr>
        <w:pStyle w:val="Normal"/>
        <w:bidi w:val="0"/>
        <w:jc w:val="left"/>
        <w:rPr>
          <w:lang w:val="pt-PT"/>
        </w:rPr>
      </w:pPr>
      <w:r>
        <w:rPr>
          <w:lang w:val="pt-PT"/>
        </w:rPr>
        <w:t>Figura 2.5 — Marcos anatómicos e medidas de referência da mão para fins de personalização.</w:t>
      </w:r>
    </w:p>
    <w:p>
      <w:pPr>
        <w:pStyle w:val="Normal"/>
        <w:bidi w:val="0"/>
        <w:jc w:val="left"/>
        <w:rPr>
          <w:lang w:val="pt-PT"/>
        </w:rPr>
      </w:pPr>
      <w:r>
        <w:rPr>
          <w:lang w:val="pt-PT"/>
        </w:rPr>
        <w:t>Fonte original: Yu, A., Yick, K. L., Ng, S. P., &amp; Yip, J. (2013). 2D and 3D anatomical analyses of hand dimensions for custom-made gloves. Applied Ergonomics, 44, 381-392.</w:t>
      </w:r>
    </w:p>
    <w:p>
      <w:pPr>
        <w:pStyle w:val="Heading3"/>
        <w:bidi w:val="0"/>
        <w:jc w:val="left"/>
        <w:rPr>
          <w:lang w:val="pt-PT"/>
        </w:rPr>
      </w:pPr>
      <w:r>
        <w:rPr>
          <w:lang w:val="pt-PT"/>
        </w:rPr>
      </w:r>
    </w:p>
    <w:p>
      <w:pPr>
        <w:pStyle w:val="Heading3"/>
        <w:bidi w:val="0"/>
        <w:jc w:val="left"/>
        <w:rPr>
          <w:lang w:val="pt-PT"/>
        </w:rPr>
      </w:pPr>
      <w:r>
        <w:rPr>
          <w:lang w:val="pt-PT"/>
        </w:rPr>
        <w:t>Métodos de recolha antropométrica em próteses e tecnologias de apoio</w:t>
      </w:r>
    </w:p>
    <w:p>
      <w:pPr>
        <w:pStyle w:val="Normal"/>
        <w:bidi w:val="0"/>
        <w:jc w:val="left"/>
        <w:rPr>
          <w:lang w:val="pt-PT"/>
        </w:rPr>
      </w:pPr>
      <w:r>
        <w:rPr>
          <w:lang w:val="pt-PT"/>
        </w:rPr>
      </w:r>
    </w:p>
    <w:p>
      <w:pPr>
        <w:pStyle w:val="Normal"/>
        <w:bidi w:val="0"/>
        <w:jc w:val="left"/>
        <w:rPr>
          <w:lang w:val="pt-PT"/>
        </w:rPr>
      </w:pPr>
      <w:r>
        <w:rPr>
          <w:lang w:val="pt-PT"/>
        </w:rPr>
        <w:t>A literatura organiza os métodos de recolha em famílias, cada uma com potencialidades e limitações específicas para o design protésico:</w:t>
      </w:r>
    </w:p>
    <w:p>
      <w:pPr>
        <w:pStyle w:val="BodyText"/>
        <w:rPr>
          <w:lang w:val="pt-PT"/>
        </w:rPr>
      </w:pPr>
      <w:r>
        <w:rPr>
          <w:lang w:val="pt-PT"/>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 (#ref-ibrahim-2024)).</w:t>
      </w:r>
    </w:p>
    <w:p>
      <w:pPr>
        <w:pStyle w:val="BodyText"/>
        <w:rPr/>
      </w:pPr>
      <w:r>
        <w:rPr>
          <w:lang w:val="pt-PT"/>
        </w:rPr>
        <w:t xml:space="preserve">2. </w:t>
      </w:r>
      <w:r>
        <w:rPr/>
        <w:t>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w:t>
      </w:r>
      <w:r>
        <w:rPr>
          <w:lang w:val="pt-PT"/>
        </w:rPr>
        <w:t xml:space="preserve"> (Squibb et al., 2024 (#ref-squibb-2024)).</w:t>
      </w:r>
    </w:p>
    <w:p>
      <w:pPr>
        <w:pStyle w:val="BodyText"/>
        <w:rPr/>
      </w:pPr>
      <w:r>
        <w:rPr>
          <w:lang w:val="pt-PT"/>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(Silva et al., 2024 (#ref-silva-2024)).</w:t>
      </w:r>
    </w:p>
    <w:p>
      <w:pPr>
        <w:pStyle w:val="BodyText"/>
        <w:rPr/>
      </w:pPr>
      <w:r>
        <w:rPr>
          <w:lang w:val="pt-PT"/>
        </w:rPr>
        <w:t xml:space="preserve">4. </w:t>
      </w:r>
      <w:r>
        <w:rPr/>
        <w:t>As imagens médicas, como tomografia computorizada (CT) ou</w:t>
      </w:r>
      <w:r>
        <w:rPr>
          <w:b w:val="false"/>
          <w:bCs w:val="false"/>
          <w:u w:val="none"/>
        </w:rPr>
        <w:t xml:space="preserve"> </w:t>
      </w:r>
      <w:r>
        <w:rPr>
          <w:rStyle w:val="Strong"/>
          <w:b w:val="false"/>
          <w:bCs w:val="false"/>
          <w:u w:val="none"/>
        </w:rPr>
        <w:t>ressonância magnética</w:t>
      </w:r>
      <w:r>
        <w:rPr>
          <w:b w:val="false"/>
          <w:bCs w:val="false"/>
          <w:u w:val="none"/>
        </w:rPr>
        <w:t xml:space="preserve"> </w:t>
      </w:r>
      <w:r>
        <w:rPr/>
        <w:t xml:space="preserve">(MRI: </w:t>
      </w:r>
      <w:r>
        <w:rPr>
          <w:rStyle w:val="Emphasi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8"/>
      </w:r>
      <w:r>
        <w:rPr/>
        <w:t>. Contudo, estas técnicas implicam maior custo e menor acessibilidade e, no caso do CT, exigem ainda considerar a exposição à radiação e a dependência de contexto hospitalar.</w:t>
      </w:r>
    </w:p>
    <w:p>
      <w:pPr>
        <w:pStyle w:val="BodyText"/>
        <w:rPr/>
      </w:pPr>
      <w:r>
        <w:rPr>
          <w:lang w:val="pt-PT"/>
        </w:rPr>
        <w:t xml:space="preserve">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w:t>
      </w:r>
      <w:r>
        <w:rPr/>
        <w:t>zonas de aquecimento localizado (</w:t>
      </w:r>
      <w:r>
        <w:rPr>
          <w:i/>
          <w:iCs/>
        </w:rPr>
        <w:t>Thermal hot spots</w:t>
      </w:r>
      <w:r>
        <w:rPr/>
        <w:t>)</w:t>
      </w:r>
      <w:r>
        <w:rPr>
          <w:lang w:val="pt-PT"/>
        </w:rPr>
        <w:t xml:space="preserve"> e flutuações de volume do membro residual.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bidi w:val="0"/>
        <w:jc w:val="left"/>
        <w:rPr>
          <w:lang w:val="pt-PT"/>
        </w:rPr>
      </w:pPr>
      <w:r>
        <w:rPr>
          <w:lang w:val="pt-PT"/>
        </w:rPr>
      </w:r>
    </w:p>
    <w:p>
      <w:pPr>
        <w:pStyle w:val="Heading3"/>
        <w:bidi w:val="0"/>
        <w:jc w:val="left"/>
        <w:rPr>
          <w:lang w:val="pt-PT"/>
        </w:rPr>
      </w:pPr>
      <w:r>
        <w:rPr>
          <w:lang w:val="pt-PT"/>
        </w:rPr>
        <w:t>Interpretação e aplicação de dados antropométricos no projeto</w:t>
      </w:r>
    </w:p>
    <w:p>
      <w:pPr>
        <w:pStyle w:val="Normal"/>
        <w:bidi w:val="0"/>
        <w:jc w:val="left"/>
        <w:rPr>
          <w:lang w:val="pt-PT"/>
        </w:rPr>
      </w:pPr>
      <w:r>
        <w:rPr>
          <w:lang w:val="pt-PT"/>
        </w:rPr>
      </w:r>
    </w:p>
    <w:p>
      <w:pPr>
        <w:pStyle w:val="Normal"/>
        <w:bidi w:val="0"/>
        <w:jc w:val="left"/>
        <w:rPr>
          <w:lang w:val="pt-PT"/>
        </w:rPr>
      </w:pPr>
      <w:r>
        <w:rPr>
          <w:lang w:val="pt-PT"/>
        </w:rPr>
        <w:t>A passagem de dados antropométricos para critérios de projeto ocorre por diferentes vias analíticas:</w:t>
      </w:r>
    </w:p>
    <w:p>
      <w:pPr>
        <w:pStyle w:val="Normal"/>
        <w:bidi w:val="0"/>
        <w:jc w:val="left"/>
        <w:rPr>
          <w:lang w:val="pt-PT"/>
        </w:rPr>
      </w:pPr>
      <w:r>
        <w:rPr>
          <w:lang w:val="pt-PT"/>
        </w:rPr>
        <w:t xml:space="preserve">– </w:t>
      </w:r>
      <w:r>
        <w:rPr>
          <w:lang w:val="pt-PT"/>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Normal"/>
        <w:bidi w:val="0"/>
        <w:jc w:val="left"/>
        <w:rPr>
          <w:lang w:val="pt-PT"/>
        </w:rPr>
      </w:pPr>
      <w:r>
        <w:rPr>
          <w:lang w:val="pt-PT"/>
        </w:rPr>
        <w:t xml:space="preserve"> – </w:t>
      </w:r>
      <w:r>
        <w:rPr>
          <w:lang w:val="pt-PT"/>
        </w:rPr>
        <w:t xml:space="preserve">Métodos multivariados e aprendizagem estatística: usados quando se trabalha com dados de alta dimensionalidade (malhas, secções, nuvens de pontos), permitindo extrair padrões de retificação ou modos de variação. </w:t>
      </w:r>
    </w:p>
    <w:p>
      <w:pPr>
        <w:pStyle w:val="Normal"/>
        <w:bidi w:val="0"/>
        <w:jc w:val="left"/>
        <w:rPr>
          <w:lang w:val="pt-PT"/>
        </w:rPr>
      </w:pPr>
      <w:r>
        <w:rPr>
          <w:lang w:val="pt-PT"/>
        </w:rPr>
        <w:t xml:space="preserve">– </w:t>
      </w:r>
      <w:r>
        <w:rPr>
          <w:lang w:val="pt-PT"/>
        </w:rPr>
        <w:t>Modelos preditivos e modelação estatística de forma (SSM): aplicados para reconstruir a geometria a partir de medições reduzidas e inferir relações entre a superfície e a anatomia interna, com a</w:t>
      </w:r>
      <w:r>
        <w:rPr>
          <w:rStyle w:val="Strong"/>
          <w:b w:val="false"/>
          <w:bCs w:val="false"/>
        </w:rPr>
        <w:t>nálise de componentes principais (</w:t>
      </w:r>
      <w:r>
        <w:rPr>
          <w:lang w:val="pt-PT"/>
        </w:rPr>
        <w:t>PCA)</w:t>
      </w:r>
      <w:r>
        <w:rPr>
          <w:rStyle w:val="FootnoteReference"/>
          <w:lang w:val="pt-PT"/>
        </w:rPr>
        <w:footnoteReference w:id="9"/>
      </w:r>
      <w:r>
        <w:rPr>
          <w:lang w:val="pt-PT"/>
        </w:rPr>
        <w:t xml:space="preserve"> e regressões como ferramentas frequentes, embora limitados por tamanhos amostrais reduzidos em vários estudos (Sunderland et al., 2024 (#ref-sunderland-2024)).</w:t>
      </w:r>
    </w:p>
    <w:p>
      <w:pPr>
        <w:pStyle w:val="Normal"/>
        <w:bidi w:val="0"/>
        <w:jc w:val="left"/>
        <w:rPr>
          <w:lang w:val="pt-PT"/>
        </w:rPr>
      </w:pPr>
      <w:r>
        <w:rPr>
          <w:lang w:val="pt-PT"/>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(#ref-kannenberg-2024); Young et al., 2023 (#ref-young-2023)).</w:t>
      </w:r>
    </w:p>
    <w:p>
      <w:pPr>
        <w:pStyle w:val="Heading3"/>
        <w:bidi w:val="0"/>
        <w:jc w:val="left"/>
        <w:rPr>
          <w:lang w:val="pt-PT"/>
        </w:rPr>
      </w:pPr>
      <w:r>
        <w:rPr>
          <w:lang w:val="pt-PT"/>
        </w:rPr>
      </w:r>
    </w:p>
    <w:p>
      <w:pPr>
        <w:pStyle w:val="Heading3"/>
        <w:bidi w:val="0"/>
        <w:jc w:val="left"/>
        <w:rPr>
          <w:lang w:val="pt-PT"/>
        </w:rPr>
      </w:pPr>
      <w:r>
        <w:rPr>
          <w:lang w:val="pt-PT"/>
        </w:rPr>
        <w:t>Evidência por tipo de dispositivo</w:t>
      </w:r>
    </w:p>
    <w:p>
      <w:pPr>
        <w:pStyle w:val="Normal"/>
        <w:bidi w:val="0"/>
        <w:jc w:val="left"/>
        <w:rPr>
          <w:lang w:val="pt-PT"/>
        </w:rPr>
      </w:pPr>
      <w:r>
        <w:rPr>
          <w:lang w:val="pt-PT"/>
        </w:rPr>
      </w:r>
    </w:p>
    <w:p>
      <w:pPr>
        <w:pStyle w:val="Normal"/>
        <w:bidi w:val="0"/>
        <w:jc w:val="left"/>
        <w:rPr>
          <w:lang w:val="pt-PT"/>
        </w:rPr>
      </w:pPr>
      <w:r>
        <w:rPr>
          <w:lang w:val="pt-PT"/>
        </w:rPr>
        <w:t>Embora os princípios sejam transversais, a literatura evidencia diferenças por tipo de dispositivo:</w:t>
      </w:r>
    </w:p>
    <w:p>
      <w:pPr>
        <w:pStyle w:val="Normal"/>
        <w:bidi w:val="0"/>
        <w:jc w:val="left"/>
        <w:rPr>
          <w:lang w:val="pt-PT"/>
        </w:rPr>
      </w:pPr>
      <w:r>
        <w:rPr>
          <w:lang w:val="pt-PT"/>
        </w:rPr>
        <w:t xml:space="preserve">– </w:t>
      </w:r>
      <w:r>
        <w:rPr/>
        <w:t xml:space="preserve">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w:t>
      </w:r>
      <w:r>
        <w:rPr>
          <w:lang w:val="pt-PT"/>
        </w:rPr>
        <w:t xml:space="preserve">(Kannenberg et al., 2024 (#ref-kannenberg-2024); Silva et al., 2024 (#ref-silva-2024)). </w:t>
      </w:r>
    </w:p>
    <w:p>
      <w:pPr>
        <w:pStyle w:val="Normal"/>
        <w:bidi w:val="0"/>
        <w:jc w:val="left"/>
        <w:rPr>
          <w:lang w:val="pt-PT"/>
        </w:rPr>
      </w:pPr>
      <w:r>
        <w:rPr>
          <w:lang w:val="pt-PT"/>
        </w:rPr>
        <w:t xml:space="preserve">– </w:t>
      </w:r>
      <w:r>
        <w:rPr/>
        <w:t xml:space="preserve">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w:t>
      </w:r>
      <w:r>
        <w:rPr>
          <w:lang w:val="pt-PT"/>
        </w:rPr>
        <w:t xml:space="preserve">(Chainando et al., 2025 (#ref-chainando-2025); Çıklaçandır et al., 2022 (#ref-cklacandr-2022)). </w:t>
      </w:r>
    </w:p>
    <w:p>
      <w:pPr>
        <w:pStyle w:val="Normal"/>
        <w:bidi w:val="0"/>
        <w:jc w:val="left"/>
        <w:rPr>
          <w:lang w:val="pt-PT"/>
        </w:rPr>
      </w:pPr>
      <w:r>
        <w:rPr>
          <w:lang w:val="pt-PT"/>
        </w:rPr>
        <w:t xml:space="preserve">– </w:t>
      </w:r>
      <w:r>
        <w:rPr>
          <w:lang w:val="pt-PT"/>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lang w:val="pt-PT"/>
        </w:rPr>
      </w:pPr>
      <w:r>
        <w:rPr>
          <w:lang w:val="pt-PT"/>
        </w:rPr>
      </w:r>
    </w:p>
    <w:p>
      <w:pPr>
        <w:pStyle w:val="Heading3"/>
        <w:bidi w:val="0"/>
        <w:jc w:val="left"/>
        <w:rPr>
          <w:lang w:val="pt-PT"/>
        </w:rPr>
      </w:pPr>
      <w:r>
        <w:rPr>
          <w:lang w:val="pt-PT"/>
        </w:rPr>
        <w:t>Limitações, lacunas e recomendações</w:t>
      </w:r>
    </w:p>
    <w:p>
      <w:pPr>
        <w:pStyle w:val="Normal"/>
        <w:bidi w:val="0"/>
        <w:jc w:val="left"/>
        <w:rPr>
          <w:lang w:val="pt-PT"/>
        </w:rPr>
      </w:pPr>
      <w:r>
        <w:rPr>
          <w:lang w:val="pt-PT"/>
        </w:rPr>
      </w:r>
    </w:p>
    <w:p>
      <w:pPr>
        <w:pStyle w:val="Normal"/>
        <w:bidi w:val="0"/>
        <w:jc w:val="left"/>
        <w:rPr>
          <w:lang w:val="pt-PT"/>
        </w:rPr>
      </w:pPr>
      <w:r>
        <w:rPr>
          <w:lang w:val="pt-PT"/>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lang w:val="pt-PT"/>
        </w:rPr>
      </w:pPr>
      <w:r>
        <w:rPr>
          <w:lang w:val="pt-PT"/>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lang w:val="pt-PT"/>
        </w:rPr>
      </w:pPr>
      <w:r>
        <w:rPr>
          <w:lang w:val="pt-PT"/>
        </w:rP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lang w:val="pt-PT"/>
        </w:rPr>
      </w:pPr>
      <w:r>
        <w:rPr>
          <w:lang w:val="pt-PT"/>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lang w:val="pt-PT"/>
        </w:rPr>
      </w:pPr>
      <w:r>
        <w:rPr>
          <w:lang w:val="pt-PT"/>
        </w:rPr>
      </w:r>
    </w:p>
    <w:p>
      <w:pPr>
        <w:pStyle w:val="Heading3"/>
        <w:bidi w:val="0"/>
        <w:jc w:val="left"/>
        <w:rPr>
          <w:lang w:val="pt-PT"/>
        </w:rPr>
      </w:pPr>
      <w:r>
        <w:rPr>
          <w:lang w:val="pt-PT"/>
        </w:rPr>
        <w:t>Estruturação de dados</w:t>
      </w:r>
    </w:p>
    <w:p>
      <w:pPr>
        <w:pStyle w:val="Normal"/>
        <w:bidi w:val="0"/>
        <w:jc w:val="left"/>
        <w:rPr>
          <w:lang w:val="pt-PT"/>
        </w:rPr>
      </w:pPr>
      <w:r>
        <w:rPr>
          <w:lang w:val="pt-PT"/>
        </w:rPr>
      </w:r>
    </w:p>
    <w:p>
      <w:pPr>
        <w:pStyle w:val="Normal"/>
        <w:bidi w:val="0"/>
        <w:jc w:val="left"/>
        <w:rPr>
          <w:lang w:val="pt-PT"/>
        </w:rPr>
      </w:pPr>
      <w:r>
        <w:rPr>
          <w:lang w:val="pt-PT"/>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lang w:val="pt-PT"/>
        </w:rPr>
      </w:pPr>
      <w:r>
        <w:rPr>
          <w:lang w:val="pt-PT"/>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2.6 Inteligência Artificial no processo de design</w:t>
      </w:r>
    </w:p>
    <w:p>
      <w:pPr>
        <w:pStyle w:val="Normal"/>
        <w:bidi w:val="0"/>
        <w:jc w:val="left"/>
        <w:rPr>
          <w:lang w:val="pt-PT"/>
        </w:rPr>
      </w:pPr>
      <w:r>
        <w:rPr>
          <w:lang w:val="pt-PT"/>
        </w:rPr>
      </w:r>
    </w:p>
    <w:p>
      <w:pPr>
        <w:pStyle w:val="Normal"/>
        <w:bidi w:val="0"/>
        <w:jc w:val="left"/>
        <w:rPr>
          <w:lang w:val="pt-PT"/>
        </w:rPr>
      </w:pPr>
      <w:r>
        <w:rPr>
          <w:lang w:val="pt-PT"/>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lang w:val="pt-PT"/>
        </w:rPr>
      </w:pPr>
      <w:r>
        <w:rPr>
          <w:lang w:val="pt-PT"/>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lang w:val="pt-PT"/>
        </w:rPr>
      </w:pPr>
      <w:r>
        <w:rPr/>
        <w:drawing>
          <ns2:inline distT="0" distB="0" distL="0" distR="0">
            <ns2:extent cx="5715000" cy="2638425"/>
            <ns2:effectExtent l="0" t="0" r="0" b="0"/>
            <ns2:docPr id="7" name="Image 7" descr="Image 7"/>
            <ns2:cNvGraphicFramePr>
              <ns3:graphicFrameLocks noChangeAspect="1"/>
            </ns2:cNvGraphicFramePr>
            <ns3:graphic>
              <ns3:graphicData uri="http://schemas.openxmlformats.org/drawingml/2006/picture">
                <ns4:pic>
                  <ns4:nvPicPr>
                    <ns4:cNvPr id="7" name="Image 7" descr="Image 7"/>
                    <ns4:cNvPicPr>
                      <ns3:picLocks noChangeAspect="1" noChangeArrowheads="1"/>
                    </ns4:cNvPicPr>
                  </ns4:nvPicPr>
                  <ns4:blipFill>
                    <ns3:blip ns5:embed="rId11"/>
                    <ns3:stretch>
                      <ns3:fillRect/>
                    </ns3:stretch>
                  </ns4:blipFill>
                  <ns4:spPr bwMode="auto">
                    <ns3:xfrm>
                      <ns3:off x="0" y="0"/>
                      <ns3:ext cx="5715000" cy="2638425"/>
                    </ns3:xfrm>
                    <ns3:prstGeom prst="rect">
                      <ns3:avLst/>
                    </ns3:prstGeom>
                    <ns3:noFill/>
                  </ns4:spPr>
                </ns4:pic>
              </ns3:graphicData>
            </ns3:graphic>
          </ns2:inline>
        </w:drawing>
      </w:r>
    </w:p>
    <w:p>
      <w:pPr>
        <w:pStyle w:val="Normal"/>
        <w:bidi w:val="0"/>
        <w:jc w:val="left"/>
        <w:rPr>
          <w:lang w:val="pt-PT"/>
        </w:rPr>
      </w:pPr>
      <w:r>
        <w:rPr>
          <w:lang w:val="pt-PT"/>
        </w:rPr>
        <w:t>Figura 2.6 — Enquadramento de um fluxo de CAD assistido por IA para desenvolvimento de produto.</w:t>
      </w:r>
    </w:p>
    <w:p>
      <w:pPr>
        <w:pStyle w:val="Normal"/>
        <w:bidi w:val="0"/>
        <w:jc w:val="left"/>
        <w:rPr>
          <w:lang w:val="pt-PT"/>
        </w:rPr>
      </w:pPr>
      <w:r>
        <w:rPr>
          <w:lang w:val="pt-PT"/>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r>
    </w:p>
    <w:p>
      <w:pPr>
        <w:pStyle w:val="Heading3"/>
        <w:bidi w:val="0"/>
        <w:jc w:val="left"/>
        <w:rPr>
          <w:lang w:val="pt-PT"/>
        </w:rPr>
      </w:pPr>
      <w:r>
        <w:rPr>
          <w:lang w:val="pt-PT"/>
        </w:rPr>
        <w:t>O que é a Inteligência Artificial</w:t>
      </w:r>
    </w:p>
    <w:p>
      <w:pPr>
        <w:pStyle w:val="Normal"/>
        <w:bidi w:val="0"/>
        <w:jc w:val="left"/>
        <w:rPr>
          <w:lang w:val="pt-PT"/>
        </w:rPr>
      </w:pPr>
      <w:r>
        <w:rPr>
          <w:lang w:val="pt-PT"/>
        </w:rPr>
      </w:r>
    </w:p>
    <w:p>
      <w:pPr>
        <w:pStyle w:val="Normal"/>
        <w:bidi w:val="0"/>
        <w:jc w:val="left"/>
        <w:rPr>
          <w:lang w:val="pt-PT"/>
        </w:rPr>
      </w:pPr>
      <w:r>
        <w:rPr>
          <w:lang w:val="pt-PT"/>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plausível.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lang w:val="pt-PT"/>
        </w:rPr>
      </w:pPr>
      <w:r>
        <w:rPr>
          <w:lang w:val="pt-PT"/>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lang w:val="pt-PT"/>
        </w:rPr>
        <w:footnoteReference w:id="10"/>
      </w:r>
      <w:r>
        <w:rPr>
          <w:lang w:val="pt-PT"/>
        </w:rPr>
        <w:t xml:space="preserve">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bidi w:val="0"/>
        <w:jc w:val="left"/>
        <w:rPr>
          <w:lang w:val="pt-PT"/>
        </w:rPr>
      </w:pPr>
      <w:r>
        <w:rPr>
          <w:lang w:val="pt-PT"/>
        </w:rPr>
      </w:r>
    </w:p>
    <w:p>
      <w:pPr>
        <w:pStyle w:val="Heading3"/>
        <w:bidi w:val="0"/>
        <w:jc w:val="left"/>
        <w:rPr>
          <w:lang w:val="pt-PT"/>
        </w:rPr>
      </w:pPr>
      <w:r>
        <w:rPr>
          <w:lang w:val="pt-PT"/>
        </w:rPr>
        <w:t>Como funciona: dados, treino, inferência e geração</w:t>
      </w:r>
    </w:p>
    <w:p>
      <w:pPr>
        <w:pStyle w:val="Normal"/>
        <w:bidi w:val="0"/>
        <w:jc w:val="left"/>
        <w:rPr>
          <w:lang w:val="pt-PT"/>
        </w:rPr>
      </w:pPr>
      <w:r>
        <w:rPr>
          <w:lang w:val="pt-PT"/>
        </w:rPr>
      </w:r>
    </w:p>
    <w:p>
      <w:pPr>
        <w:pStyle w:val="Normal"/>
        <w:bidi w:val="0"/>
        <w:jc w:val="left"/>
        <w:rPr>
          <w:lang w:val="pt-PT"/>
        </w:rPr>
      </w:pPr>
      <w:r>
        <w:rPr>
          <w:lang w:val="pt-PT"/>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lang w:val="pt-PT"/>
        </w:rPr>
      </w:pPr>
      <w:r>
        <w:rPr>
          <w:lang w:val="pt-PT"/>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w:t>
      </w:r>
    </w:p>
    <w:p>
      <w:pPr>
        <w:pStyle w:val="Normal"/>
        <w:bidi w:val="0"/>
        <w:jc w:val="left"/>
        <w:rPr>
          <w:lang w:val="pt-PT"/>
        </w:rPr>
      </w:pPr>
      <w:r>
        <w:rPr/>
        <w:t>A força reside na capacidade de lidar com informação complexa, heterogénea e volumosa. A fragilidade reside no facto de o sistema depender dos dados com que foi treinado, podendo reproduzir enviesamentos, simplificações e erros já presentes nesses dados.</w:t>
      </w:r>
      <w:r>
        <w:rPr>
          <w:lang w:val="pt-PT"/>
        </w:rPr>
        <w:t xml:space="preserve"> (Panchal et al., 2019 (#ref-panchal-2019); Yüksel et al., 2023 (#ref-yuksel-2023)).</w:t>
      </w:r>
    </w:p>
    <w:p>
      <w:pPr>
        <w:pStyle w:val="Normal"/>
        <w:bidi w:val="0"/>
        <w:jc w:val="left"/>
        <w:rPr>
          <w:lang w:val="pt-PT"/>
        </w:rPr>
      </w:pPr>
      <w:r>
        <w:rPr>
          <w:lang w:val="pt-PT"/>
        </w:rPr>
        <w:t>Nos modelos generativos, este processo torna-se particularmente visível. O sistema aprende distribuições de forma, linguagem, composição ou estilo e, a partir daí, produz novas saídas em resposta a condições ou prompts</w:t>
      </w:r>
      <w:r>
        <w:rPr>
          <w:rStyle w:val="FootnoteReference"/>
          <w:lang w:val="pt-PT"/>
        </w:rPr>
        <w:footnoteReference w:id="11"/>
      </w:r>
      <w:r>
        <w:rPr>
          <w:lang w:val="pt-PT"/>
        </w:rP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bidi w:val="0"/>
        <w:jc w:val="left"/>
        <w:rPr>
          <w:lang w:val="pt-PT"/>
        </w:rPr>
      </w:pPr>
      <w:r>
        <w:rPr>
          <w:lang w:val="pt-PT"/>
        </w:rPr>
      </w:r>
    </w:p>
    <w:p>
      <w:pPr>
        <w:pStyle w:val="Heading3"/>
        <w:bidi w:val="0"/>
        <w:jc w:val="left"/>
        <w:rPr>
          <w:lang w:val="pt-PT"/>
        </w:rPr>
      </w:pPr>
      <w:r>
        <w:rPr>
          <w:lang w:val="pt-PT"/>
        </w:rPr>
        <w:t>Formas de IA mais relevantes para o design</w:t>
      </w:r>
    </w:p>
    <w:p>
      <w:pPr>
        <w:pStyle w:val="Normal"/>
        <w:bidi w:val="0"/>
        <w:jc w:val="left"/>
        <w:rPr>
          <w:lang w:val="pt-PT"/>
        </w:rPr>
      </w:pPr>
      <w:r>
        <w:rPr>
          <w:lang w:val="pt-PT"/>
        </w:rPr>
      </w:r>
    </w:p>
    <w:p>
      <w:pPr>
        <w:pStyle w:val="Normal"/>
        <w:bidi w:val="0"/>
        <w:jc w:val="left"/>
        <w:rPr>
          <w:lang w:val="pt-PT"/>
        </w:rPr>
      </w:pPr>
      <w:r>
        <w:rPr>
          <w:lang w:val="pt-PT"/>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lang w:val="pt-PT"/>
        </w:rPr>
      </w:pPr>
      <w:r>
        <w:rPr>
          <w:lang w:val="pt-PT"/>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lang w:val="pt-PT"/>
        </w:rPr>
      </w:pPr>
      <w:r>
        <w:rPr>
          <w:lang w:val="pt-PT"/>
        </w:rPr>
      </w:r>
    </w:p>
    <w:p>
      <w:pPr>
        <w:pStyle w:val="Heading3"/>
        <w:bidi w:val="0"/>
        <w:jc w:val="left"/>
        <w:rPr>
          <w:lang w:val="pt-PT"/>
        </w:rPr>
      </w:pPr>
      <w:r>
        <w:rPr>
          <w:lang w:val="pt-PT"/>
        </w:rPr>
        <w:t>IA ao longo do processo de design</w:t>
      </w:r>
    </w:p>
    <w:p>
      <w:pPr>
        <w:pStyle w:val="Normal"/>
        <w:bidi w:val="0"/>
        <w:jc w:val="left"/>
        <w:rPr>
          <w:lang w:val="pt-PT"/>
        </w:rPr>
      </w:pPr>
      <w:r>
        <w:rPr>
          <w:lang w:val="pt-PT"/>
        </w:rPr>
      </w:r>
    </w:p>
    <w:p>
      <w:pPr>
        <w:pStyle w:val="Normal"/>
        <w:bidi w:val="0"/>
        <w:jc w:val="left"/>
        <w:rPr>
          <w:lang w:val="pt-PT"/>
        </w:rPr>
      </w:pPr>
      <w:r>
        <w:rPr>
          <w:lang w:val="pt-PT"/>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lang w:val="pt-PT"/>
        </w:rPr>
      </w:pPr>
      <w:r>
        <w:rPr>
          <w:lang w:val="pt-PT"/>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(#ref-ao-2025); Choudhury et al., 2025 (#ref-choudhury-2025); Virós-i-Martin &amp; Selva, 2021 (#ref-viros-i-martin-2021)).</w:t>
      </w:r>
    </w:p>
    <w:p>
      <w:pPr>
        <w:pStyle w:val="Heading3"/>
        <w:bidi w:val="0"/>
        <w:jc w:val="left"/>
        <w:rPr>
          <w:lang w:val="pt-PT"/>
        </w:rPr>
      </w:pPr>
      <w:r>
        <w:rPr>
          <w:lang w:val="pt-PT"/>
        </w:rPr>
      </w:r>
    </w:p>
    <w:p>
      <w:pPr>
        <w:pStyle w:val="Heading3"/>
        <w:bidi w:val="0"/>
        <w:jc w:val="left"/>
        <w:rPr>
          <w:lang w:val="pt-PT"/>
        </w:rPr>
      </w:pPr>
      <w:r>
        <w:rPr>
          <w:lang w:val="pt-PT"/>
        </w:rPr>
        <w:t>Papel do designer, riscos e necessidade de supervisão humana</w:t>
      </w:r>
    </w:p>
    <w:p>
      <w:pPr>
        <w:pStyle w:val="Normal"/>
        <w:bidi w:val="0"/>
        <w:jc w:val="left"/>
        <w:rPr>
          <w:lang w:val="pt-PT"/>
        </w:rPr>
      </w:pPr>
      <w:r>
        <w:rPr>
          <w:lang w:val="pt-PT"/>
        </w:rPr>
      </w:r>
    </w:p>
    <w:p>
      <w:pPr>
        <w:pStyle w:val="Normal"/>
        <w:bidi w:val="0"/>
        <w:jc w:val="left"/>
        <w:rPr>
          <w:lang w:val="pt-PT"/>
        </w:rPr>
      </w:pPr>
      <w:r>
        <w:rPr>
          <w:lang w:val="pt-PT"/>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(Figoli et al., 2022 (#ref-figoli-2022); Kadenhe et al., 2025 (#ref-kadenhe-2025); Virós-i-Martin &amp; Selva, 2021 (#ref-viros-i-martin-2021)).</w:t>
      </w:r>
    </w:p>
    <w:p>
      <w:pPr>
        <w:pStyle w:val="Normal"/>
        <w:bidi w:val="0"/>
        <w:jc w:val="left"/>
        <w:rPr>
          <w:lang w:val="pt-PT"/>
        </w:rPr>
      </w:pPr>
      <w:r>
        <w:rPr>
          <w:lang w:val="pt-PT"/>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lang w:val="pt-PT"/>
        </w:rPr>
      </w:pPr>
      <w:r>
        <w:rPr>
          <w:lang w:val="pt-PT"/>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lang w:val="pt-PT"/>
        </w:rPr>
      </w:pPr>
      <w:r>
        <w:rPr>
          <w:lang w:val="pt-PT"/>
        </w:rPr>
      </w:r>
    </w:p>
    <w:p>
      <w:pPr>
        <w:pStyle w:val="Heading3"/>
        <w:bidi w:val="0"/>
        <w:jc w:val="left"/>
        <w:rPr>
          <w:lang w:val="pt-PT"/>
        </w:rPr>
      </w:pPr>
      <w:r>
        <w:rPr>
          <w:lang w:val="pt-PT"/>
        </w:rPr>
        <w:t>2.7 Plataformas digitais e sistemas configuráveis</w:t>
      </w:r>
    </w:p>
    <w:p>
      <w:pPr>
        <w:pStyle w:val="Normal"/>
        <w:bidi w:val="0"/>
        <w:jc w:val="left"/>
        <w:rPr>
          <w:lang w:val="pt-PT"/>
        </w:rPr>
      </w:pPr>
      <w:r>
        <w:rPr>
          <w:lang w:val="pt-PT"/>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lang w:val="pt-PT"/>
        </w:rPr>
      </w:pPr>
      <w:r>
        <w:rPr>
          <w:lang w:val="pt-PT"/>
        </w:rPr>
        <w:t xml:space="preserve">Em domínios como a reabilitação e as tecnologias de assistência, a personalização é frequentemente descrita como uma necessidade funcional, e não apenas como uma diferenciação de mercado. Isso significa que a adequação do produto ao utilizador </w:t>
      </w:r>
      <w:r>
        <w:rPr/>
        <w:t>pode ser determinante para a segurança, a usabilidade e a adoção sustentada, deslocando o foco do design de uma solução “média” para sistemas capazes de acomodar diferenças individuais de forma controlada.</w:t>
      </w:r>
      <w:r>
        <w:rPr>
          <w:lang w:val="pt-PT"/>
        </w:rPr>
        <w:t>(Fischer et al., 2017 (#ref-fischer-2017); Kerr et al., 2024 (#ref-kerr-2024); Zhu &amp; Zhong, 2022 (#ref-zhu-2022)).</w:t>
      </w:r>
    </w:p>
    <w:p>
      <w:pPr>
        <w:pStyle w:val="Heading3"/>
        <w:bidi w:val="0"/>
        <w:jc w:val="left"/>
        <w:rPr>
          <w:lang w:val="pt-PT"/>
        </w:rPr>
      </w:pPr>
      <w:r>
        <w:rPr>
          <w:lang w:val="pt-PT"/>
        </w:rPr>
      </w:r>
    </w:p>
    <w:p>
      <w:pPr>
        <w:pStyle w:val="Heading3"/>
        <w:bidi w:val="0"/>
        <w:jc w:val="left"/>
        <w:rPr>
          <w:lang w:val="pt-PT"/>
        </w:rPr>
      </w:pPr>
      <w:r>
        <w:rPr>
          <w:lang w:val="pt-PT"/>
        </w:rPr>
        <w:t>Fundamentos conceptuais: toolkits, meta-design e end-user development.</w:t>
      </w:r>
    </w:p>
    <w:p>
      <w:pPr>
        <w:pStyle w:val="BodyText"/>
        <w:bidi w:val="0"/>
        <w:jc w:val="left"/>
        <w:rPr>
          <w:highlight w:val="none"/>
          <w:shd w:fill="FFFF00" w:val="clear"/>
          <w:lang w:val="pt-PT"/>
        </w:rPr>
      </w:pPr>
      <w:r>
        <w:rPr>
          <w:shd w:fill="auto" w:val="clear"/>
          <w:lang w:val="pt-PT"/>
        </w:rPr>
        <w:t xml:space="preserve">Um enquadramento conceptual relevante para compreender os sistemas configuráveis é o dos </w:t>
      </w:r>
      <w:r>
        <w:rPr>
          <w:rStyle w:val="Emphasis"/>
          <w:shd w:fill="auto" w:val="clear"/>
          <w:lang w:val="pt-PT"/>
        </w:rPr>
        <w:t>toolkits for user innovation</w:t>
      </w:r>
      <w:r>
        <w:rPr>
          <w:shd w:fill="auto" w:val="clear"/>
          <w:lang w:val="pt-PT"/>
        </w:rPr>
        <w:t>. Este conceito refere-se a conjuntos estruturados de ferramentas, regras e mecanismos de feedback que permitem aos utilizadores participar diretamente na definição ou adaptação de produtos, sem assumirem a totalidade do processo técnico de desenvolvimento. Nestes sistemas, parte do trabalho de tradução das necessidades individuais é deslocada para o utilizador, enquanto fabricantes, designers ou especialistas mantêm responsabilidade sobre tarefas críticas de resolução técnica, produção, validação e controlo de qualidade.</w:t>
      </w:r>
    </w:p>
    <w:p>
      <w:pPr>
        <w:pStyle w:val="BodyText"/>
        <w:bidi w:val="0"/>
        <w:jc w:val="left"/>
        <w:rPr>
          <w:highlight w:val="none"/>
          <w:shd w:fill="FFFF00" w:val="clear"/>
          <w:lang w:val="pt-PT"/>
        </w:rPr>
      </w:pPr>
      <w:r>
        <w:rPr>
          <w:shd w:fill="auto" w:val="clear"/>
          <w:lang w:val="pt-PT"/>
        </w:rPr>
        <w:t xml:space="preserve">Esta abordagem permite distinguir configuradores, centrados sobretudo na seleção entre opções previamente definidas, de </w:t>
      </w:r>
      <w:r>
        <w:rPr>
          <w:rStyle w:val="Emphasis"/>
          <w:shd w:fill="auto" w:val="clear"/>
          <w:lang w:val="pt-PT"/>
        </w:rPr>
        <w:t>toolkits</w:t>
      </w:r>
      <w:r>
        <w:rPr>
          <w:shd w:fill="auto" w:val="clear"/>
          <w:lang w:val="pt-PT"/>
        </w:rPr>
        <w:t>, que oferecem ao utilizador a possibilidade de criar ou ajustar soluções dentro de um espaço de projeto delimitado por regras, parâmetros e feedback operacional (Franke &amp; Hippel, 2002 (#ref-franke-2002); Hippel &amp; Katz, 2002 (#ref-hippel-2002)).</w:t>
      </w:r>
    </w:p>
    <w:p>
      <w:pPr>
        <w:pStyle w:val="BodyText"/>
        <w:rPr>
          <w:highlight w:val="none"/>
          <w:shd w:fill="auto" w:val="clear"/>
          <w:lang w:val="pt-PT"/>
        </w:rPr>
      </w:pPr>
      <w:r>
        <w:rPr>
          <w:shd w:fill="auto" w:val="clear"/>
          <w:lang w:val="pt-PT"/>
        </w:rPr>
        <w:t>O meta-design aprofunda esta lógica ao deslocar o foco do projeto de uma solução fechada para a criação das condições que permitem a sua evolução posterior. Neste enquadramento, o papel do designer não se limita à definição inicial do artefacto ou da interface, mas inclui a construção de ambientes, ferramentas e estruturas sociais que possibilitam a participação ativa dos utilizadores ao longo do tempo. O meta-design pode, assim, ser entendido como uma abordagem em que se projeta o próprio sistema de adaptação: em vez de antecipar todas as necessidades futuras, cria-se uma infraestrutura que permite aos utilizadores, técnicos ou comunidades ajustar, expandir e reconfigurar a solução em contexto de uso.</w:t>
      </w:r>
    </w:p>
    <w:p>
      <w:pPr>
        <w:pStyle w:val="BodyText"/>
        <w:rPr>
          <w:lang w:val="pt-PT"/>
        </w:rPr>
      </w:pPr>
      <w:r>
        <w:rPr>
          <w:shd w:fill="auto" w:val="clear"/>
          <w:lang w:val="pt-PT"/>
        </w:rPr>
        <w:t xml:space="preserve">O modelo </w:t>
      </w:r>
      <w:r>
        <w:rPr>
          <w:rStyle w:val="Emphasis"/>
          <w:shd w:fill="auto" w:val="clear"/>
          <w:lang w:val="pt-PT"/>
        </w:rPr>
        <w:t>Seeding, Evolutionary Growth, and Reseeding</w:t>
      </w:r>
      <w:r>
        <w:rPr>
          <w:shd w:fill="auto" w:val="clear"/>
          <w:lang w:val="pt-PT"/>
        </w:rPr>
        <w:t xml:space="preserve"> formaliza este processo em três momentos articulados. A fase de </w:t>
      </w:r>
      <w:r>
        <w:rPr>
          <w:rStyle w:val="Emphasis"/>
          <w:shd w:fill="auto" w:val="clear"/>
          <w:lang w:val="pt-PT"/>
        </w:rPr>
        <w:t>seeding</w:t>
      </w:r>
      <w:r>
        <w:rPr>
          <w:shd w:fill="auto" w:val="clear"/>
          <w:lang w:val="pt-PT"/>
        </w:rPr>
        <w:t xml:space="preserve"> corresponde à criação de uma estrutura inicial suficientemente robusta para orientar a utilização, mas suficientemente aberta para permitir desenvolvimento posterior. A fase de </w:t>
      </w:r>
      <w:r>
        <w:rPr>
          <w:rStyle w:val="Emphasis"/>
          <w:shd w:fill="auto" w:val="clear"/>
          <w:lang w:val="pt-PT"/>
        </w:rPr>
        <w:t>evolutionary growth</w:t>
      </w:r>
      <w:r>
        <w:rPr>
          <w:shd w:fill="auto" w:val="clear"/>
          <w:lang w:val="pt-PT"/>
        </w:rPr>
        <w:t xml:space="preserve"> corresponde ao crescimento do sistema através das adaptações, usos e contribuições dos utilizadores. Por fim, a fase de </w:t>
      </w:r>
      <w:r>
        <w:rPr>
          <w:rStyle w:val="Emphasis"/>
          <w:shd w:fill="auto" w:val="clear"/>
          <w:lang w:val="pt-PT"/>
        </w:rPr>
        <w:t>reseeding</w:t>
      </w:r>
      <w:r>
        <w:rPr>
          <w:shd w:fill="auto" w:val="clear"/>
          <w:lang w:val="pt-PT"/>
        </w:rPr>
        <w:t xml:space="preserve"> implica a reorganização periódica dessas contribuições, consolidando aprendizagens, corrigindo inconsistências e reestruturando o sistema para novos ciclos de utilização e desenvolvimento</w:t>
      </w:r>
      <w:r>
        <w:rPr>
          <w:lang w:val="pt-PT"/>
        </w:rPr>
        <w:t xml:space="preserve"> (Costabile et al., 2007 (#ref-costabile-2007); Fischer et al., 2004 (#ref-fischer-2004)).</w:t>
      </w:r>
    </w:p>
    <w:p>
      <w:pPr>
        <w:pStyle w:val="Normal"/>
        <w:bidi w:val="0"/>
        <w:jc w:val="left"/>
        <w:rPr>
          <w:lang w:val="pt-PT"/>
        </w:rPr>
      </w:pPr>
      <w:r>
        <w:rPr>
          <w:lang w:val="pt-PT"/>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lang w:val="pt-PT"/>
        </w:rPr>
      </w:pPr>
      <w:r>
        <w:rPr/>
        <w:drawing>
          <ns2:inline distT="0" distB="0" distL="0" distR="0">
            <ns2:extent cx="5715000" cy="2990850"/>
            <ns2:effectExtent l="0" t="0" r="0" b="0"/>
            <ns2:docPr id="8" name="Image 8" descr="Image 8"/>
            <ns2:cNvGraphicFramePr>
              <ns3:graphicFrameLocks noChangeAspect="1"/>
            </ns2:cNvGraphicFramePr>
            <ns3:graphic>
              <ns3:graphicData uri="http://schemas.openxmlformats.org/drawingml/2006/picture">
                <ns4:pic>
                  <ns4:nvPicPr>
                    <ns4:cNvPr id="8" name="Image 8" descr="Image 8"/>
                    <ns4:cNvPicPr>
                      <ns3:picLocks noChangeAspect="1" noChangeArrowheads="1"/>
                    </ns4:cNvPicPr>
                  </ns4:nvPicPr>
                  <ns4:blipFill>
                    <ns3:blip ns5:embed="rId12"/>
                    <ns3:stretch>
                      <ns3:fillRect/>
                    </ns3:stretch>
                  </ns4:blipFill>
                  <ns4:spPr bwMode="auto">
                    <ns3:xfrm>
                      <ns3:off x="0" y="0"/>
                      <ns3:ext cx="5715000" cy="2990850"/>
                    </ns3:xfrm>
                    <ns3:prstGeom prst="rect">
                      <ns3:avLst/>
                    </ns3:prstGeom>
                    <ns3:noFill/>
                  </ns4:spPr>
                </ns4:pic>
              </ns3:graphicData>
            </ns3:graphic>
          </ns2:inline>
        </w:drawing>
      </w:r>
    </w:p>
    <w:p>
      <w:pPr>
        <w:pStyle w:val="Normal"/>
        <w:bidi w:val="0"/>
        <w:jc w:val="left"/>
        <w:rPr>
          <w:lang w:val="pt-PT"/>
        </w:rPr>
      </w:pPr>
      <w:r>
        <w:rPr>
          <w:lang w:val="pt-PT"/>
        </w:rPr>
        <w:t>Figura 2.7 — Modelo de processo para configurar participação em ecossistemas de inovação e cocriação.</w:t>
      </w:r>
    </w:p>
    <w:p>
      <w:pPr>
        <w:pStyle w:val="Normal"/>
        <w:bidi w:val="0"/>
        <w:jc w:val="left"/>
        <w:rPr>
          <w:lang w:val="pt-PT"/>
        </w:rPr>
      </w:pPr>
      <w:r>
        <w:rPr>
          <w:lang w:val="pt-PT"/>
        </w:rPr>
        <w:t xml:space="preserve">Fonte original: Akasaka, M., Veeckman, C., Georges, A., Schuurman, D., &amp; Coorevits, L. (2022). A framework for configuring participation in living labs. </w:t>
      </w:r>
      <w:hyperlink ns5:id="rId13">
        <w:r>
          <w:rPr>
            <w:rStyle w:val="Hyperlink"/>
            <w:lang w:val="pt-PT"/>
          </w:rPr>
          <w:t>https://www.semanticscholar.org/paper/305d55af5fda06b4d1b33e7d29c1f16d1b7ea488</w:t>
        </w:r>
      </w:hyperlink>
    </w:p>
    <w:p>
      <w:pPr>
        <w:pStyle w:val="Normal"/>
        <w:bidi w:val="0"/>
        <w:jc w:val="left"/>
        <w:rPr>
          <w:lang w:val="pt-PT"/>
        </w:rPr>
      </w:pPr>
      <w:r>
        <w:rPr>
          <w:lang w:val="pt-PT"/>
        </w:rPr>
      </w:r>
    </w:p>
    <w:p>
      <w:pPr>
        <w:pStyle w:val="Normal"/>
        <w:bidi w:val="0"/>
        <w:jc w:val="left"/>
        <w:rPr>
          <w:lang w:val="pt-PT"/>
        </w:rPr>
      </w:pPr>
      <w:r>
        <w:rPr>
          <w:lang w:val="pt-PT"/>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 (#ref-fischer-2017)).</w:t>
      </w:r>
    </w:p>
    <w:p>
      <w:pPr>
        <w:pStyle w:val="Normal"/>
        <w:bidi w:val="0"/>
        <w:jc w:val="left"/>
        <w:rPr>
          <w:lang w:val="pt-PT"/>
        </w:rPr>
      </w:pPr>
      <w:r>
        <w:rPr>
          <w:lang w:val="pt-PT"/>
        </w:rPr>
        <w:t xml:space="preserve">Em paralelo, o conceito de </w:t>
      </w:r>
      <w:r>
        <w:rPr>
          <w:rStyle w:val="Emphasis"/>
          <w:lang w:val="pt-PT"/>
        </w:rPr>
        <w:t>Software Shaping Workshop</w:t>
      </w:r>
      <w:r>
        <w:rPr>
          <w:lang w:val="pt-PT"/>
        </w:rPr>
        <w:t xml:space="preserve"> operacionaliza o meta-design, entendido como uma abordagem que cria condições técnicas e sociais para que utilizadores finais participem ativamente na adaptação e evolução dos sistemas que utilizam. Neste enquadramento, o </w:t>
      </w:r>
      <w:r>
        <w:rPr>
          <w:rStyle w:val="Emphasis"/>
          <w:lang w:val="pt-PT"/>
        </w:rPr>
        <w:t>Software Shaping Workshop</w:t>
      </w:r>
      <w:r>
        <w:rPr>
          <w:lang w:val="pt-PT"/>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(#ref-costabile-2007); Fischer et al., 2017 (#ref-fischer-2017)).</w:t>
      </w:r>
    </w:p>
    <w:p>
      <w:pPr>
        <w:pStyle w:val="Normal"/>
        <w:bidi w:val="0"/>
        <w:jc w:val="left"/>
        <w:rPr>
          <w:lang w:val="pt-PT"/>
        </w:rPr>
      </w:pPr>
      <w:r>
        <w:rPr>
          <w:lang w:val="pt-PT"/>
        </w:rPr>
      </w:r>
    </w:p>
    <w:p>
      <w:pPr>
        <w:pStyle w:val="Normal"/>
        <w:bidi w:val="0"/>
        <w:jc w:val="left"/>
        <w:rPr>
          <w:lang w:val="pt-PT"/>
        </w:rPr>
      </w:pPr>
      <w:r>
        <w:rPr>
          <w:lang w:val="pt-PT"/>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lang w:val="pt-PT"/>
        </w:rPr>
      </w:pPr>
      <w:r>
        <w:rPr>
          <w:lang w:val="pt-PT"/>
        </w:rPr>
      </w:r>
    </w:p>
    <w:p>
      <w:pPr>
        <w:pStyle w:val="Normal"/>
        <w:bidi w:val="0"/>
        <w:jc w:val="left"/>
        <w:rPr>
          <w:highlight w:val="none"/>
          <w:shd w:fill="auto" w:val="clear"/>
        </w:rPr>
      </w:pPr>
      <w:r>
        <w:rPr>
          <w:shd w:fill="auto" w:val="clear"/>
          <w:lang w:val="pt-PT"/>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fatores promovem adesão e que barreiras dificultam continuidade</w:t>
            </w:r>
          </w:p>
        </w:tc>
      </w:tr>
    </w:tbl>
    <w:p>
      <w:pPr>
        <w:pStyle w:val="Normal"/>
        <w:bidi w:val="0"/>
        <w:jc w:val="left"/>
        <w:rPr>
          <w:highlight w:val="none"/>
          <w:shd w:fill="auto" w:val="clear"/>
        </w:rPr>
      </w:pPr>
      <w:r>
        <w:rPr>
          <w:shd w:fill="auto" w:val="clear"/>
        </w:rPr>
      </w:r>
    </w:p>
    <w:p>
      <w:pPr>
        <w:pStyle w:val="Normal"/>
        <w:bidi w:val="0"/>
        <w:jc w:val="left"/>
        <w:rPr/>
      </w:pPr>
      <w:r>
        <w:rPr>
          <w:shd w:fill="auto" w:val="clear"/>
          <w:lang w:val="pt-PT"/>
        </w:rPr>
        <w:t xml:space="preserve">Fonte adaptada. Referência original: Akasaka, M., Veeckman, C., Georges, A., Schuurman, D., &amp; Coorevits, L. (2022). A framework for configuring participation in living labs. </w:t>
      </w:r>
      <w:hyperlink ns5:id="rId14">
        <w:r>
          <w:rPr>
            <w:rStyle w:val="Hyperlink"/>
            <w:shd w:fill="auto" w:val="clear"/>
            <w:lang w:val="pt-PT"/>
          </w:rPr>
          <w:t>https://www.semanticscholar.org/paper/305d55af5fda06b4d1b33e7d29c1f16d1b7ea488</w:t>
        </w:r>
      </w:hyperlink>
    </w:p>
    <w:p>
      <w:pPr>
        <w:pStyle w:val="Normal"/>
        <w:bidi w:val="0"/>
        <w:jc w:val="left"/>
        <w:rPr>
          <w:highlight w:val="none"/>
          <w:shd w:fill="auto" w:val="clear"/>
          <w:lang w:val="pt-PT"/>
        </w:rPr>
      </w:pPr>
      <w:r>
        <w:rPr>
          <w:shd w:fill="auto" w:val="clear"/>
          <w:lang w:val="pt-PT"/>
        </w:rPr>
      </w:r>
    </w:p>
    <w:p>
      <w:pPr>
        <w:pStyle w:val="Heading3"/>
        <w:bidi w:val="0"/>
        <w:jc w:val="left"/>
        <w:rPr>
          <w:lang w:val="pt-PT"/>
        </w:rPr>
      </w:pPr>
      <w:r>
        <w:rPr>
          <w:lang w:val="pt-PT"/>
        </w:rPr>
        <w:t>Mecanismos de personalização: modularidade, parametrização e adaptação individualizada</w:t>
      </w:r>
    </w:p>
    <w:p>
      <w:pPr>
        <w:pStyle w:val="Normal"/>
        <w:bidi w:val="0"/>
        <w:jc w:val="left"/>
        <w:rPr>
          <w:lang w:val="pt-PT"/>
        </w:rPr>
      </w:pPr>
      <w:r>
        <w:rPr>
          <w:lang w:val="pt-PT"/>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Normal"/>
        <w:bidi w:val="0"/>
        <w:jc w:val="left"/>
        <w:rPr>
          <w:lang w:val="pt-PT"/>
        </w:rPr>
      </w:pPr>
      <w:r>
        <w:rPr>
          <w:lang w:val="pt-PT"/>
        </w:rPr>
      </w:r>
    </w:p>
    <w:p>
      <w:pPr>
        <w:pStyle w:val="BodyText"/>
        <w:rPr>
          <w:lang w:val="pt-P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(#ref-dechev-2023); Peters &amp; Richter, 2023 (#ref-peters-2023)).</w:t>
      </w:r>
    </w:p>
    <w:p>
      <w:pPr>
        <w:pStyle w:val="BodyText"/>
        <w:rPr>
          <w:lang w:val="pt-P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BodyText"/>
        <w:rPr>
          <w:lang w:val="pt-P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lang w:val="pt-PT"/>
        </w:rPr>
      </w:pPr>
      <w:r>
        <w:rPr>
          <w:lang w:val="pt-PT"/>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lang w:val="pt-PT"/>
        </w:rPr>
      </w:pPr>
      <w:r>
        <w:rPr>
          <w:lang w:val="pt-PT"/>
        </w:rPr>
      </w:r>
    </w:p>
    <w:p>
      <w:pPr>
        <w:pStyle w:val="Heading3"/>
        <w:bidi w:val="0"/>
        <w:jc w:val="left"/>
        <w:rPr>
          <w:lang w:val="pt-PT"/>
        </w:rPr>
      </w:pPr>
      <w:r>
        <w:rPr>
          <w:lang w:val="pt-PT"/>
        </w:rPr>
        <w:t>Workflows participativos e infraestruturas remotas</w:t>
      </w:r>
    </w:p>
    <w:p>
      <w:pPr>
        <w:pStyle w:val="Normal"/>
        <w:bidi w:val="0"/>
        <w:jc w:val="left"/>
        <w:rPr>
          <w:lang w:val="pt-PT"/>
        </w:rPr>
      </w:pPr>
      <w:r>
        <w:rPr>
          <w:lang w:val="pt-PT"/>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lang w:val="pt-PT"/>
        </w:rPr>
      </w:pPr>
      <w:r>
        <w:rPr>
          <w:lang w:val="pt-PT"/>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lang w:val="pt-PT"/>
        </w:rPr>
      </w:pPr>
      <w:r>
        <w:rPr>
          <w:lang w:val="pt-PT"/>
        </w:rPr>
      </w:r>
    </w:p>
    <w:p>
      <w:pPr>
        <w:pStyle w:val="Heading3"/>
        <w:bidi w:val="0"/>
        <w:jc w:val="left"/>
        <w:rPr>
          <w:lang w:val="pt-PT"/>
        </w:rPr>
      </w:pPr>
      <w:r>
        <w:rPr>
          <w:lang w:val="pt-PT"/>
        </w:rPr>
        <w:t>Aplicações em saúde, reabilitação e próteses</w:t>
      </w:r>
    </w:p>
    <w:p>
      <w:pPr>
        <w:pStyle w:val="Heading3"/>
        <w:bidi w:val="0"/>
        <w:jc w:val="left"/>
        <w:rPr>
          <w:lang w:val="pt-PT"/>
        </w:rPr>
      </w:pPr>
      <w:r>
        <w:rPr>
          <w:lang w:val="pt-PT"/>
        </w:rPr>
      </w:r>
    </w:p>
    <w:p>
      <w:pPr>
        <w:pStyle w:val="Normal"/>
        <w:bidi w:val="0"/>
        <w:jc w:val="left"/>
        <w:rPr>
          <w:lang w:val="pt-PT"/>
        </w:rPr>
      </w:pPr>
      <w:r>
        <w:rPr>
          <w:lang w:val="pt-PT"/>
        </w:rPr>
        <w:t>Em saúde, plataformas baseadas em</w:t>
      </w:r>
      <w:r>
        <w:rPr>
          <w:i/>
          <w:iCs/>
          <w:lang w:val="pt-PT"/>
        </w:rPr>
        <w:t xml:space="preserve"> digital twins</w:t>
      </w:r>
      <w:r>
        <w:rPr>
          <w:rStyle w:val="FootnoteReference"/>
          <w:i/>
          <w:iCs/>
          <w:lang w:val="pt-PT"/>
        </w:rPr>
        <w:footnoteReference w:id="12"/>
      </w:r>
      <w:r>
        <w:rPr>
          <w:lang w:val="pt-PT"/>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lang w:val="pt-PT"/>
        </w:rPr>
      </w:pPr>
      <w:r>
        <w:rPr>
          <w:lang w:val="pt-PT"/>
        </w:rPr>
        <w:t xml:space="preserve">Na reabilitação, plataformas de </w:t>
      </w:r>
      <w:r>
        <w:rPr>
          <w:i/>
          <w:iCs/>
          <w:lang w:val="pt-PT"/>
        </w:rPr>
        <w:t>virtual coaching</w:t>
      </w:r>
      <w:r>
        <w:rPr>
          <w:rStyle w:val="FootnoteReference"/>
          <w:i/>
          <w:iCs/>
          <w:lang w:val="pt-PT"/>
        </w:rPr>
        <w:footnoteReference w:id="13"/>
      </w:r>
      <w:r>
        <w:rPr>
          <w:lang w:val="pt-PT"/>
        </w:rPr>
        <w:t xml:space="preserve">, </w:t>
      </w:r>
      <w:r>
        <w:rPr>
          <w:i/>
          <w:iCs/>
          <w:lang w:val="pt-PT"/>
        </w:rPr>
        <w:t>serious games</w:t>
      </w:r>
      <w:r>
        <w:rPr>
          <w:rStyle w:val="FootnoteReference"/>
          <w:i/>
          <w:iCs/>
          <w:lang w:val="pt-PT"/>
        </w:rPr>
        <w:footnoteReference w:id="14"/>
      </w:r>
      <w:r>
        <w:rPr>
          <w:lang w:val="pt-PT"/>
        </w:rPr>
        <w:t xml:space="preserve"> configuráveis e modelos de cocriação tecnológica são apresentados como formas de personalizar os tratamentos com base no estado clínico, nos objetivos terapêuticos e no </w:t>
      </w:r>
      <w:r>
        <w:rPr>
          <w:i/>
          <w:iCs/>
          <w:lang w:val="pt-PT"/>
        </w:rPr>
        <w:t>feedback</w:t>
      </w:r>
      <w:r>
        <w:rPr>
          <w:lang w:val="pt-PT"/>
        </w:rPr>
        <w:t xml:space="preserve">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Normal"/>
        <w:bidi w:val="0"/>
        <w:jc w:val="left"/>
        <w:rPr>
          <w:lang w:val="pt-PT"/>
        </w:rPr>
      </w:pPr>
      <w:r>
        <w:rPr>
          <w:lang w:val="pt-PT"/>
        </w:rPr>
        <w:t>No contexto protésico e assistivo, evidencia-se a relevância dos ecossistemas modulares e das cadeias de aprendizagem distribuída.</w:t>
      </w:r>
    </w:p>
    <w:p>
      <w:pPr>
        <w:pStyle w:val="Normal"/>
        <w:bidi w:val="0"/>
        <w:jc w:val="left"/>
        <w:rPr>
          <w:lang w:val="pt-PT"/>
        </w:rPr>
      </w:pPr>
      <w:r>
        <w:rPr/>
        <w:t>Estudos sobre próteses pediátricas, serviços de reabilitação e modelos como o Victoria Hand Project mostram que a personalização pode combinar prototipagem iterativa, módulos intercambiáveis, criação digital de encaixes e circulação de feedback entre contextos clínicos locais e equipas técnicas responsáveis pela coordenação e desenvolvimento do sistema.</w:t>
      </w:r>
    </w:p>
    <w:p>
      <w:pPr>
        <w:pStyle w:val="Normal"/>
        <w:bidi w:val="0"/>
        <w:jc w:val="left"/>
        <w:rPr>
          <w:lang w:val="pt-PT"/>
        </w:rPr>
      </w:pPr>
      <w:r>
        <w:rPr>
          <w:lang w:val="pt-PT"/>
        </w:rPr>
        <w:t>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lang w:val="pt-PT"/>
        </w:rPr>
      </w:pPr>
      <w:r>
        <w:rPr>
          <w:lang w:val="pt-PT"/>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lang w:val="pt-PT"/>
        </w:rPr>
      </w:pPr>
      <w:r>
        <w:rPr>
          <w:lang w:val="pt-PT"/>
        </w:rPr>
      </w:r>
    </w:p>
    <w:p>
      <w:pPr>
        <w:pStyle w:val="Heading3"/>
        <w:bidi w:val="0"/>
        <w:jc w:val="left"/>
        <w:rPr>
          <w:lang w:val="pt-PT"/>
        </w:rPr>
      </w:pPr>
      <w:r>
        <w:rPr>
          <w:lang w:val="pt-PT"/>
        </w:rPr>
        <w:t>Limitações e lacunas: sustentabilidade, adoção e equilíbrio entre normalização e improviso</w:t>
      </w:r>
    </w:p>
    <w:p>
      <w:pPr>
        <w:pStyle w:val="Heading3"/>
        <w:bidi w:val="0"/>
        <w:jc w:val="left"/>
        <w:rPr>
          <w:lang w:val="pt-PT"/>
        </w:rPr>
      </w:pPr>
      <w:r>
        <w:rPr>
          <w:lang w:val="pt-PT"/>
        </w:rPr>
      </w:r>
    </w:p>
    <w:p>
      <w:pPr>
        <w:pStyle w:val="BodyText"/>
        <w:bidi w:val="0"/>
        <w:spacing w:lineRule="auto" w:line="276" w:before="0" w:after="140"/>
        <w:jc w:val="left"/>
        <w:rPr>
          <w:lang w:val="pt-PT"/>
        </w:rPr>
      </w:pPr>
      <w:r>
        <w:rPr>
          <w:lang w:val="pt-PT"/>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lang w:val="pt-PT"/>
        </w:rPr>
      </w:pPr>
      <w:r>
        <w:rPr>
          <w:lang w:val="pt-PT"/>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lang w:val="pt-PT"/>
        </w:rPr>
      </w:pPr>
      <w:r>
        <w:rPr>
          <w:lang w:val="pt-PT"/>
        </w:rPr>
        <w:t>A segunda tensão situa-se entre normalização e personalização. Em domínios regulados, a adaptação individualizada deve preservar segurança, qualidade e justificação documentada das decisões de projeto,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lang w:val="pt-PT"/>
        </w:rPr>
      </w:pPr>
      <w:r>
        <w:rPr>
          <w:lang w:val="pt-PT"/>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lang w:val="pt-PT"/>
        </w:rPr>
      </w:pPr>
      <w:r>
        <w:rPr>
          <w:lang w:val="pt-PT"/>
        </w:rPr>
        <w:t>2.8 Análise crítica do estado da arte e lacunas identificadas</w:t>
      </w:r>
    </w:p>
    <w:p>
      <w:pPr>
        <w:pStyle w:val="Heading3"/>
        <w:bidi w:val="0"/>
        <w:jc w:val="left"/>
        <w:rPr>
          <w:lang w:val="pt-PT"/>
        </w:rPr>
      </w:pPr>
      <w:r>
        <w:rPr>
          <w:lang w:val="pt-PT"/>
        </w:rPr>
      </w:r>
    </w:p>
    <w:p>
      <w:pPr>
        <w:pStyle w:val="Normal"/>
        <w:bidi w:val="0"/>
        <w:jc w:val="left"/>
        <w:rPr>
          <w:lang w:val="pt-PT"/>
        </w:rPr>
      </w:pPr>
      <w:r>
        <w:rPr>
          <w:lang w:val="pt-PT"/>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r>
        <w:rPr>
          <w:shd w:fill="auto" w:val="clear"/>
          <w:lang w:val="pt-PT"/>
        </w:rPr>
        <w:t>por nível de prontidão tecnológica, ou Technology Readiness Level (TRL)</w:t>
      </w:r>
      <w:r>
        <w:rPr>
          <w:rStyle w:val="FootnoteReference"/>
          <w:shd w:fill="FFFF00" w:val="clear"/>
          <w:lang w:val="pt-PT"/>
        </w:rPr>
        <w:footnoteReference w:id="15"/>
      </w:r>
      <w:r>
        <w:rPr>
          <w:shd w:fill="FFFF00" w:val="clear"/>
          <w:lang w:val="pt-PT"/>
        </w:rPr>
        <w:t>,</w:t>
      </w:r>
      <w:r>
        <w:rPr>
          <w:lang w:val="pt-PT"/>
        </w:rPr>
        <w:t xml:space="preserve"> evidenciando que muitos contributos permanecem concentrados em fases ainda afastadas de uma adoção ampla e sustentada.</w:t>
      </w:r>
    </w:p>
    <w:p>
      <w:pPr>
        <w:pStyle w:val="Normal"/>
        <w:bidi w:val="0"/>
        <w:jc w:val="left"/>
        <w:rPr>
          <w:lang w:val="pt-PT"/>
        </w:rPr>
      </w:pPr>
      <w:r>
        <w:rPr/>
        <w:drawing>
          <ns2:inline distT="0" distB="0" distL="0" distR="0">
            <ns2:extent cx="5715000" cy="4067175"/>
            <ns2:effectExtent l="0" t="0" r="0" b="0"/>
            <ns2:docPr id="9" name="Image 9" descr="Image 9"/>
            <ns2:cNvGraphicFramePr>
              <ns3:graphicFrameLocks noChangeAspect="1"/>
            </ns2:cNvGraphicFramePr>
            <ns3:graphic>
              <ns3:graphicData uri="http://schemas.openxmlformats.org/drawingml/2006/picture">
                <ns4:pic>
                  <ns4:nvPicPr>
                    <ns4:cNvPr id="9" name="Image 9" descr="Image 9"/>
                    <ns4:cNvPicPr>
                      <ns3:picLocks noChangeAspect="1" noChangeArrowheads="1"/>
                    </ns4:cNvPicPr>
                  </ns4:nvPicPr>
                  <ns4:blipFill>
                    <ns3:blip ns5:embed="rId15"/>
                    <ns3:stretch>
                      <ns3:fillRect/>
                    </ns3:stretch>
                  </ns4:blipFill>
                  <ns4:spPr bwMode="auto">
                    <ns3:xfrm>
                      <ns3:off x="0" y="0"/>
                      <ns3:ext cx="5715000" cy="4067175"/>
                    </ns3:xfrm>
                    <ns3:prstGeom prst="rect">
                      <ns3:avLst/>
                    </ns3:prstGeom>
                    <ns3:noFill/>
                  </ns4:spPr>
                </ns4:pic>
              </ns3:graphicData>
            </ns3:graphic>
          </ns2:inline>
        </w:drawing>
      </w:r>
    </w:p>
    <w:p>
      <w:pPr>
        <w:pStyle w:val="Normal"/>
        <w:bidi w:val="0"/>
        <w:jc w:val="left"/>
        <w:rPr>
          <w:lang w:val="pt-PT"/>
        </w:rPr>
      </w:pPr>
      <w:r>
        <w:rPr>
          <w:lang w:val="pt-PT"/>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r>
    </w:p>
    <w:p>
      <w:pPr>
        <w:pStyle w:val="Normal"/>
        <w:bidi w:val="0"/>
        <w:jc w:val="left"/>
        <w:rPr>
          <w:lang w:val="pt-PT"/>
        </w:rPr>
      </w:pPr>
      <w:r>
        <w:rPr>
          <w:lang w:val="pt-PT"/>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lang w:val="pt-PT"/>
        </w:rPr>
      </w:pPr>
      <w:r>
        <w:rPr>
          <w:lang w:val="pt-PT"/>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lang w:val="pt-PT"/>
        </w:rPr>
      </w:pPr>
      <w:r>
        <w:rPr>
          <w:lang w:val="pt-PT"/>
        </w:rPr>
      </w:r>
    </w:p>
    <w:p>
      <w:pPr>
        <w:pStyle w:val="Heading3"/>
        <w:bidi w:val="0"/>
        <w:jc w:val="left"/>
        <w:rPr>
          <w:lang w:val="pt-PT"/>
        </w:rPr>
      </w:pPr>
      <w:r>
        <w:rPr>
          <w:lang w:val="pt-PT"/>
        </w:rPr>
        <w:t>Lacuna 1 — Validação empírica limitada e fraca transposição para contextos reais de utilização</w:t>
      </w:r>
    </w:p>
    <w:p>
      <w:pPr>
        <w:pStyle w:val="BodyText"/>
        <w:bidi w:val="0"/>
        <w:spacing w:lineRule="auto" w:line="276" w:before="0" w:after="140"/>
        <w:jc w:val="left"/>
        <w:rPr>
          <w:lang w:val="pt-PT"/>
        </w:rPr>
      </w:pPr>
      <w:r>
        <w:rPr>
          <w:lang w:val="pt-PT"/>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lang w:val="pt-PT"/>
        </w:rPr>
      </w:pPr>
      <w:r>
        <w:rPr>
          <w:lang w:val="pt-PT"/>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lang w:val="pt-PT"/>
        </w:rPr>
      </w:pPr>
      <w:r>
        <w:rPr>
          <w:lang w:val="pt-PT"/>
        </w:rPr>
        <w:t>Lacuna 2 — Desalinhamento entre necessidades identificadas, métricas objetivas, e qualidade de vida</w:t>
      </w:r>
    </w:p>
    <w:p>
      <w:pPr>
        <w:pStyle w:val="BodyText"/>
        <w:bidi w:val="0"/>
        <w:jc w:val="left"/>
        <w:rPr>
          <w:lang w:val="pt-PT"/>
        </w:rPr>
      </w:pPr>
      <w:r>
        <w:rPr>
          <w:lang w:val="pt-PT"/>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lang w:val="pt-PT"/>
        </w:rPr>
      </w:pPr>
      <w:r>
        <w:rPr>
          <w:lang w:val="pt-PT"/>
        </w:rPr>
        <w:t>Esta desarticulação tem implicações diretas para o design.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(Manz et al., 2022 (#ref-manz-2022); Samuelsson et al., 2012 (#ref-samuelsson-2012)).</w:t>
      </w:r>
    </w:p>
    <w:p>
      <w:pPr>
        <w:pStyle w:val="Normal"/>
        <w:bidi w:val="0"/>
        <w:jc w:val="left"/>
        <w:rPr>
          <w:lang w:val="pt-PT"/>
        </w:rPr>
      </w:pPr>
      <w:r>
        <w:rPr>
          <w:lang w:val="pt-PT"/>
        </w:rPr>
      </w:r>
    </w:p>
    <w:p>
      <w:pPr>
        <w:pStyle w:val="Heading3"/>
        <w:bidi w:val="0"/>
        <w:jc w:val="left"/>
        <w:rPr>
          <w:lang w:val="pt-PT"/>
        </w:rPr>
      </w:pPr>
      <w:r>
        <w:rPr>
          <w:lang w:val="pt-PT"/>
        </w:rPr>
        <w:t>Lacuna 3 — Persistência de problemas na interface corpo–prótese e no ajuste individualizado</w:t>
      </w:r>
    </w:p>
    <w:p>
      <w:pPr>
        <w:pStyle w:val="BodyText"/>
        <w:bidi w:val="0"/>
        <w:spacing w:lineRule="auto" w:line="276" w:before="0" w:after="140"/>
        <w:jc w:val="left"/>
        <w:rPr>
          <w:lang w:val="pt-PT"/>
        </w:rPr>
      </w:pPr>
      <w:r>
        <w:rPr>
          <w:lang w:val="pt-PT"/>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lang w:val="pt-PT"/>
        </w:rPr>
      </w:pPr>
      <w:r>
        <w:rPr>
          <w:lang w:val="pt-PT"/>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lang w:val="pt-PT"/>
        </w:rPr>
      </w:pPr>
      <w:r>
        <w:rPr>
          <w:lang w:val="pt-PT"/>
        </w:rPr>
        <w:t>Lacuna 4 — Evolução limitada das estratégias de controlo e da interação utilizador–prótese</w:t>
      </w:r>
    </w:p>
    <w:p>
      <w:pPr>
        <w:pStyle w:val="BodyText"/>
        <w:bidi w:val="0"/>
        <w:spacing w:lineRule="auto" w:line="276" w:before="0" w:after="140"/>
        <w:jc w:val="left"/>
        <w:rPr>
          <w:lang w:val="pt-PT"/>
        </w:rPr>
      </w:pPr>
      <w:r>
        <w:rPr>
          <w:lang w:val="pt-PT"/>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lang w:val="pt-PT"/>
        </w:rPr>
      </w:pPr>
      <w:r>
        <w:rPr>
          <w:lang w:val="pt-PT"/>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lang w:val="pt-PT"/>
        </w:rPr>
      </w:pPr>
      <w:r>
        <w:rPr>
          <w:lang w:val="pt-PT"/>
        </w:rPr>
      </w:r>
    </w:p>
    <w:p>
      <w:pPr>
        <w:pStyle w:val="Heading3"/>
        <w:bidi w:val="0"/>
        <w:jc w:val="left"/>
        <w:rPr>
          <w:lang w:val="pt-PT"/>
        </w:rPr>
      </w:pPr>
      <w:r>
        <w:rPr>
          <w:lang w:val="pt-PT"/>
        </w:rPr>
        <w:t>Lacuna 5 — Acesso, custo, manutenção e inequidades sistémicas</w:t>
      </w:r>
    </w:p>
    <w:p>
      <w:pPr>
        <w:pStyle w:val="Normal"/>
        <w:bidi w:val="0"/>
        <w:jc w:val="left"/>
        <w:rPr>
          <w:lang w:val="pt-PT"/>
        </w:rPr>
      </w:pPr>
      <w:r>
        <w:rPr>
          <w:lang w:val="pt-PT"/>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lang w:val="pt-PT"/>
        </w:rPr>
      </w:pPr>
      <w:r>
        <w:rPr>
          <w:lang w:val="pt-PT"/>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lang w:val="pt-PT"/>
        </w:rPr>
      </w:pPr>
      <w:r>
        <w:rPr>
          <w:lang w:val="pt-PT"/>
        </w:rPr>
      </w:r>
    </w:p>
    <w:p>
      <w:pPr>
        <w:pStyle w:val="Heading3"/>
        <w:bidi w:val="0"/>
        <w:jc w:val="left"/>
        <w:rPr>
          <w:lang w:val="pt-PT"/>
        </w:rPr>
      </w:pPr>
      <w:r>
        <w:rPr>
          <w:lang w:val="pt-PT"/>
        </w:rPr>
        <w:t>Lacuna 6 — Envolvimento do utilizador e registo metodológico insuficiente</w:t>
      </w:r>
    </w:p>
    <w:p>
      <w:pPr>
        <w:pStyle w:val="BodyText"/>
        <w:bidi w:val="0"/>
        <w:spacing w:lineRule="auto" w:line="276" w:before="0" w:after="140"/>
        <w:jc w:val="left"/>
        <w:rPr>
          <w:lang w:val="pt-PT"/>
        </w:rPr>
      </w:pPr>
      <w:r>
        <w:rPr>
          <w:lang w:val="pt-PT"/>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lang w:val="pt-PT"/>
        </w:rPr>
      </w:pPr>
      <w:r>
        <w:rPr>
          <w:lang w:val="pt-PT"/>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lang w:val="pt-PT"/>
        </w:rPr>
      </w:pPr>
      <w:r>
        <w:rPr>
          <w:lang w:val="pt-PT"/>
        </w:rPr>
      </w:r>
    </w:p>
    <w:p>
      <w:pPr>
        <w:pStyle w:val="Heading3"/>
        <w:bidi w:val="0"/>
        <w:jc w:val="left"/>
        <w:rPr>
          <w:lang w:val="pt-PT"/>
        </w:rPr>
      </w:pPr>
      <w:r>
        <w:rPr>
          <w:lang w:val="pt-PT"/>
        </w:rPr>
        <w:t>Implicações para esta investigação</w:t>
      </w:r>
    </w:p>
    <w:p>
      <w:pPr>
        <w:pStyle w:val="BodyText"/>
        <w:bidi w:val="0"/>
        <w:spacing w:lineRule="auto" w:line="276" w:before="0" w:after="140"/>
        <w:jc w:val="left"/>
        <w:rPr>
          <w:lang w:val="pt-PT"/>
        </w:rPr>
      </w:pPr>
      <w:r>
        <w:rPr>
          <w:lang w:val="pt-PT"/>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lang w:val="pt-PT"/>
        </w:rPr>
      </w:pPr>
      <w:r>
        <w:rPr>
          <w:lang w:val="pt-PT"/>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lang w:val="pt-PT"/>
        </w:rPr>
      </w:pPr>
      <w:r>
        <w:rPr>
          <w:lang w:val="pt-PT"/>
        </w:rPr>
      </w:r>
    </w:p>
    <w:p>
      <w:pPr>
        <w:pStyle w:val="Heading2"/>
        <w:bidi w:val="0"/>
        <w:jc w:val="left"/>
        <w:rPr>
          <w:lang w:val="pt-PT"/>
        </w:rPr>
      </w:pPr>
      <w:r>
        <w:rPr>
          <w:lang w:val="pt-PT"/>
        </w:rPr>
        <w:t>Capítulo 3 — Metodologia de Investigação</w:t>
      </w:r>
    </w:p>
    <w:p>
      <w:pPr>
        <w:pStyle w:val="Heading2"/>
        <w:bidi w:val="0"/>
        <w:jc w:val="left"/>
        <w:rPr>
          <w:lang w:val="pt-PT"/>
        </w:rPr>
      </w:pPr>
      <w:r>
        <w:rPr>
          <w:lang w:val="pt-PT"/>
        </w:rPr>
      </w:r>
    </w:p>
    <w:p>
      <w:pPr>
        <w:pStyle w:val="Heading3"/>
        <w:bidi w:val="0"/>
        <w:jc w:val="left"/>
        <w:rPr>
          <w:lang w:val="pt-PT"/>
        </w:rPr>
      </w:pPr>
      <w:r>
        <w:rPr>
          <w:lang w:val="pt-PT"/>
        </w:rPr>
        <w:t>3.1 Enquadramento metodológico e abordagem Research Through Design</w:t>
      </w:r>
    </w:p>
    <w:p>
      <w:pPr>
        <w:pStyle w:val="Normal"/>
        <w:bidi w:val="0"/>
        <w:jc w:val="left"/>
        <w:rPr>
          <w:lang w:val="pt-PT"/>
        </w:rPr>
      </w:pPr>
      <w:r>
        <w:rPr>
          <w:lang w:val="pt-PT"/>
        </w:rPr>
      </w:r>
    </w:p>
    <w:p>
      <w:pPr>
        <w:pStyle w:val="Normal"/>
        <w:bidi w:val="0"/>
        <w:jc w:val="left"/>
        <w:rPr>
          <w:lang w:val="pt-PT"/>
        </w:rPr>
      </w:pPr>
      <w:r>
        <w:rPr>
          <w:lang w:val="pt-PT"/>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lang w:val="pt-PT"/>
        </w:rPr>
      </w:pPr>
      <w:r>
        <w:rPr>
          <w:lang w:val="pt-PT"/>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lang w:val="pt-PT"/>
        </w:rPr>
      </w:pPr>
      <w:r>
        <w:rPr>
          <w:lang w:val="pt-PT"/>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lang w:val="pt-PT"/>
        </w:rPr>
      </w:pPr>
      <w:r>
        <w:rPr>
          <w:lang w:val="pt-PT"/>
        </w:rPr>
      </w:r>
    </w:p>
    <w:p>
      <w:pPr>
        <w:pStyle w:val="Normal"/>
        <w:bidi w:val="0"/>
        <w:jc w:val="left"/>
        <w:rPr>
          <w:lang w:val="pt-PT"/>
        </w:rPr>
      </w:pPr>
      <w:r>
        <w:rPr>
          <w:lang w:val="pt-PT"/>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lang w:val="pt-PT"/>
        </w:rPr>
      </w:pPr>
      <w:r>
        <w:rPr>
          <w:lang w:val="pt-PT"/>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2181225"/>
            <ns2:effectExtent l="0" t="0" r="0" b="0"/>
            <ns2:docPr id="10" name="Image 10" descr="Image 10"/>
            <ns2:cNvGraphicFramePr>
              <ns3:graphicFrameLocks noChangeAspect="1"/>
            </ns2:cNvGraphicFramePr>
            <ns3:graphic>
              <ns3:graphicData uri="http://schemas.openxmlformats.org/drawingml/2006/picture">
                <ns4:pic>
                  <ns4:nvPicPr>
                    <ns4:cNvPr id="10" name="Image 10" descr="Image 10"/>
                    <ns4:cNvPicPr>
                      <ns3:picLocks noChangeAspect="1" noChangeArrowheads="1"/>
                    </ns4:cNvPicPr>
                  </ns4:nvPicPr>
                  <ns4:blipFill>
                    <ns3:blip ns5:embed="rId16"/>
                    <ns3:stretch>
                      <ns3:fillRect/>
                    </ns3:stretch>
                  </ns4:blipFill>
                  <ns4:spPr bwMode="auto">
                    <ns3:xfrm>
                      <ns3:off x="0" y="0"/>
                      <ns3:ext cx="5715000" cy="2181225"/>
                    </ns3:xfrm>
                    <ns3:prstGeom prst="rect">
                      <ns3:avLst/>
                    </ns3:prstGeom>
                    <ns3:noFill/>
                  </ns4:spPr>
                </ns4:pic>
              </ns3:graphicData>
            </ns3:graphic>
          </ns2:inline>
        </w:drawing>
      </w:r>
    </w:p>
    <w:p>
      <w:pPr>
        <w:pStyle w:val="Normal"/>
        <w:bidi w:val="0"/>
        <w:jc w:val="left"/>
        <w:rPr>
          <w:lang w:val="pt-PT"/>
        </w:rPr>
      </w:pPr>
      <w:r>
        <w:rPr>
          <w:lang w:val="pt-PT"/>
        </w:rPr>
      </w:r>
    </w:p>
    <w:p>
      <w:pPr>
        <w:pStyle w:val="Normal"/>
        <w:bidi w:val="0"/>
        <w:jc w:val="left"/>
        <w:rPr>
          <w:lang w:val="pt-PT"/>
        </w:rPr>
      </w:pPr>
      <w:r>
        <w:rPr>
          <w:lang w:val="pt-PT"/>
        </w:rPr>
        <w:t>Figura 3.1 — Processo interdisciplinar de desenvolvimento de uma prótese de membro superior impressa em 3D.</w:t>
      </w:r>
    </w:p>
    <w:p>
      <w:pPr>
        <w:pStyle w:val="Normal"/>
        <w:bidi w:val="0"/>
        <w:jc w:val="left"/>
        <w:rPr>
          <w:lang w:val="pt-PT"/>
        </w:rPr>
      </w:pPr>
      <w:r>
        <w:rPr>
          <w:lang w:val="pt-PT"/>
        </w:rPr>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r>
        <w:rPr/>
        <w:commentReference w:id="3"/>
      </w:r>
      <w:r>
        <w:br w:type="page"/>
      </w:r>
    </w:p>
    <w:p>
      <w:pPr>
        <w:pStyle w:val="Normal"/>
        <w:bidi w:val="0"/>
        <w:spacing w:before="0" w:after="0"/>
        <w:jc w:val="left"/>
        <w:rPr>
          <w:lang w:val="pt-PT"/>
        </w:rPr>
      </w:pPr>
      <w:r>
        <w:rPr>
          <w:lang w:val="pt-PT"/>
        </w:rPr>
      </w:r>
    </w:p>
    <w:p>
      <w:pPr>
        <w:pStyle w:val="Heading3"/>
        <w:bidi w:val="0"/>
        <w:jc w:val="left"/>
        <w:rPr>
          <w:lang w:val="pt-PT"/>
        </w:rPr>
      </w:pPr>
      <w:r>
        <w:rPr>
          <w:lang w:val="pt-PT"/>
        </w:rPr>
        <w:t>3.2 O design industrial como prática investigativa</w:t>
      </w:r>
    </w:p>
    <w:p>
      <w:pPr>
        <w:pStyle w:val="Heading3"/>
        <w:bidi w:val="0"/>
        <w:jc w:val="left"/>
        <w:rPr>
          <w:lang w:val="pt-PT"/>
        </w:rPr>
      </w:pPr>
      <w:r>
        <w:rPr>
          <w:lang w:val="pt-PT"/>
        </w:rPr>
      </w:r>
    </w:p>
    <w:p>
      <w:pPr>
        <w:pStyle w:val="Normal"/>
        <w:bidi w:val="0"/>
        <w:jc w:val="left"/>
        <w:rPr>
          <w:lang w:val="pt-PT"/>
        </w:rPr>
      </w:pPr>
      <w:r>
        <w:rPr>
          <w:lang w:val="pt-PT"/>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lang w:val="pt-PT"/>
        </w:rPr>
        <w:t xml:space="preserve">Partindo deste enquadramento, a investigação assume o desenvolvimento de um sistema paramétrico assistido por inteligência artificial como meio para explorar formas mais configuráveis, reprodutíveis e acessíveis de personalização protésica. </w:t>
      </w:r>
      <w:r>
        <w:rP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Normal"/>
        <w:bidi w:val="0"/>
        <w:jc w:val="left"/>
        <w:rPr>
          <w:lang w:val="pt-PT"/>
        </w:rPr>
      </w:pPr>
      <w:r>
        <w:rPr>
          <w:lang w:val="pt-PT"/>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Normal"/>
        <w:bidi w:val="0"/>
        <w:jc w:val="left"/>
        <w:rPr>
          <w:lang w:val="pt-PT"/>
        </w:rPr>
      </w:pPr>
      <w:r>
        <w:rPr>
          <w:lang w:val="pt-PT"/>
        </w:rPr>
      </w:r>
    </w:p>
    <w:p>
      <w:pPr>
        <w:pStyle w:val="Heading3"/>
        <w:bidi w:val="0"/>
        <w:jc w:val="left"/>
        <w:rPr>
          <w:lang w:val="pt-PT"/>
        </w:rPr>
      </w:pPr>
      <w:r>
        <w:rPr>
          <w:lang w:val="pt-PT"/>
        </w:rPr>
        <w:t>3.3 Estrutura metodológica do projeto</w:t>
      </w:r>
    </w:p>
    <w:p>
      <w:pPr>
        <w:pStyle w:val="Heading3"/>
        <w:bidi w:val="0"/>
        <w:jc w:val="left"/>
        <w:rPr>
          <w:lang w:val="pt-PT"/>
        </w:rPr>
      </w:pPr>
      <w:r>
        <w:rPr>
          <w:lang w:val="pt-PT"/>
        </w:rPr>
      </w:r>
    </w:p>
    <w:p>
      <w:pPr>
        <w:pStyle w:val="Normal"/>
        <w:bidi w:val="0"/>
        <w:jc w:val="left"/>
        <w:rPr>
          <w:lang w:val="pt-PT"/>
        </w:rPr>
      </w:pPr>
      <w:r>
        <w:rPr>
          <w:lang w:val="pt-PT"/>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lang w:val="pt-PT"/>
        </w:rPr>
      </w:pPr>
      <w:r>
        <w:rPr>
          <w:lang w:val="pt-PT"/>
        </w:rPr>
        <w:t xml:space="preserve">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w:t>
      </w:r>
      <w:r>
        <w:rPr/>
        <w:t>Paralelamente, realiza-se uma análise comparativa de soluções open-source existentes no domínio das próteses impressas em 3D, identificando abordagens formais, estruturais e tecnológicas, bem como limitações quanto à personalização, à adaptação paramétrica e à replicação controlada dos modelos.</w:t>
      </w:r>
    </w:p>
    <w:p>
      <w:pPr>
        <w:pStyle w:val="Normal"/>
        <w:bidi w:val="0"/>
        <w:jc w:val="left"/>
        <w:rPr>
          <w:lang w:val="pt-PT"/>
        </w:rPr>
      </w:pPr>
      <w:r>
        <w:rPr>
          <w:lang w:val="pt-PT"/>
        </w:rPr>
        <w:t>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lang w:val="pt-PT"/>
        </w:rPr>
      </w:pPr>
      <w:r>
        <w:rPr>
          <w:lang w:val="pt-PT"/>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lang w:val="pt-PT"/>
        </w:rPr>
      </w:pPr>
      <w:r>
        <w:rPr>
          <w:lang w:val="pt-PT"/>
        </w:rPr>
        <w:t>A fase empírica materializa a operacionalização do conhecimento gerado. Os modelos paramétricos são testados com diferentes perfis antropométricos provenientes de bases de dados públicas, e as configurações resultantes dos testes de perfil são exportadas para fabrico e produzidas por impressão 3D. Esta fase permite avaliar a passagem do perfil simulado para a geometria exportada e desta para o protótipo físico, observando a exequibilidade de impressão, a integridade estrutural preliminar, a montagem, a ajustabilidade e a coerência formal perante variações dimensionais.</w:t>
      </w:r>
    </w:p>
    <w:p>
      <w:pPr>
        <w:pStyle w:val="Normal"/>
        <w:bidi w:val="0"/>
        <w:jc w:val="left"/>
        <w:rPr>
          <w:lang w:val="pt-PT"/>
        </w:rPr>
      </w:pPr>
      <w:r>
        <w:rPr/>
        <w:commentReference w:id="4"/>
      </w:r>
    </w:p>
    <w:p>
      <w:pPr>
        <w:pStyle w:val="Heading3"/>
        <w:bidi w:val="0"/>
        <w:jc w:val="left"/>
        <w:rPr>
          <w:lang w:val="pt-PT"/>
        </w:rPr>
      </w:pPr>
      <w:r>
        <w:rPr>
          <w:lang w:val="pt-PT"/>
        </w:rPr>
        <w:t>3.4 Métodos de recolha e análise de dados</w:t>
      </w:r>
    </w:p>
    <w:p>
      <w:pPr>
        <w:pStyle w:val="Heading3"/>
        <w:bidi w:val="0"/>
        <w:jc w:val="left"/>
        <w:rPr>
          <w:lang w:val="pt-PT"/>
        </w:rPr>
      </w:pPr>
      <w:r>
        <w:rPr>
          <w:lang w:val="pt-PT"/>
        </w:rPr>
      </w:r>
    </w:p>
    <w:p>
      <w:pPr>
        <w:pStyle w:val="Normal"/>
        <w:bidi w:val="0"/>
        <w:jc w:val="left"/>
        <w:rPr>
          <w:lang w:val="pt-PT"/>
        </w:rPr>
      </w:pPr>
      <w:r>
        <w:rPr>
          <w:lang w:val="pt-PT"/>
        </w:rPr>
        <w:t xml:space="preserve">A investigação recorre a métodos qualitativos e experimentais, coerentes com a natureza prática do </w:t>
      </w:r>
      <w:r>
        <w:rPr>
          <w:i/>
          <w:iCs/>
          <w:lang w:val="pt-PT"/>
        </w:rPr>
        <w:t>RTD</w:t>
      </w:r>
      <w:r>
        <w:rPr>
          <w:lang w:val="pt-PT"/>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lang w:val="pt-PT"/>
        </w:rPr>
      </w:pPr>
      <w:r>
        <w:rPr>
          <w:lang w:val="pt-PT"/>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lang w:val="pt-PT"/>
        </w:rPr>
      </w:pPr>
      <w:r>
        <w:rPr>
          <w:lang w:val="pt-PT"/>
        </w:rPr>
        <w:t>Durante o desenvolvimento do sistema paramétrico, os dados assumem natureza técnica e projetual, incluindo parâmetros geométricos, relações dimensionais, tempos de fabrico, consumo de material e desempenho estrutural dos protótipos</w:t>
      </w:r>
      <w:r>
        <w:rPr/>
        <w:commentReference w:id="5"/>
      </w:r>
      <w:r>
        <w:rPr>
          <w:lang w:val="pt-PT"/>
        </w:rPr>
        <w:t>. Estes dados são analisados de forma iterativa, permitindo reformular o modelo paramétrico e otimizar o seu desempenho.</w:t>
      </w:r>
    </w:p>
    <w:p>
      <w:pPr>
        <w:pStyle w:val="Normal"/>
        <w:bidi w:val="0"/>
        <w:jc w:val="left"/>
        <w:rPr>
          <w:lang w:val="pt-PT"/>
        </w:rPr>
      </w:pPr>
      <w:r>
        <w:rPr/>
        <w:t xml:space="preserve">Na fase de prototipagem, a análise incide sobre os critérios de exequibilidade de fabrico, robustez estrutural preliminar, coerência dimensional, facilidade de montagem e comportamento material inicial. Os modelos exportados a partir dos testes de perfil foram preparados para fabrico digital em dois programas de preparação para impressão 3D: PrusaSlicer 2.9.6 e Bambu Studio. Estes programas permitem converter o modelo tridimensional num conjunto de instruções interpretáveis pela impressora, definindo parâmetros como orientação da peça, altura de camada, preenchimento interno, suportes, temperaturas, velocidades e trajetórias de deposição do material. A utilização de dois ambientes de preparação permitiu verificar a compatibilidade dos ficheiros exportados e observar eventuais diferenças na interpretação da geometria antes da produção física.</w:t>
      </w:r>
    </w:p>
    <w:p>
      <w:pPr>
        <w:pStyle w:val="BodyText"/>
        <w:rPr/>
      </w:pPr>
      <w:r>
        <w:rPr/>
        <w:t xml:space="preserve">A materialização dos modelos foi realizada em duas impressoras FDM: Bambu Lab A1 com AMS e Prusa Mini. Os testes de impressão usaram o mesmo perfil de base criado na plataforma, alterando-se a idade como variável controlada para produzir variações dimensionais comparáveis entre configurações. Ambas são impressoras 3D de extrusão de filamento, adequadas à produção rápida de protótipos em materiais termoplásticos. O sistema AMS, associado à Bambu Lab A1, permite gerir automaticamente vários rolos de filamento, facilitando a alternância entre materiais ou cores durante o processo de impressão.</w:t>
      </w:r>
    </w:p>
    <w:p>
      <w:pPr>
        <w:pStyle w:val="BodyText"/>
        <w:rPr/>
      </w:pPr>
      <w:r>
        <w:rPr/>
        <w:t>Foram utilizados dois materiais: PLA e PETG. O PLA foi selecionado por ser rígido, estável, económico e adequado à verificação rápida da geometria, permitindo avaliar dimensões gerais, encaixes preliminares e coerência formal. O PETG foi utilizado como alternativa mais resistente e menos frágil, permitindo observar o comportamento dos componentes em situações de manipulação, encaixe e montagem preliminar. Esta comparação permitiu verificar se a geometria gerada pelo sistema permanecia compatível com a preparação para impressão 3D, com a manipulação física dos componentes e com a transição do ambiente digital para o objeto materializado.</w:t>
      </w:r>
    </w:p>
    <w:p>
      <w:pPr>
        <w:pStyle w:val="Normal"/>
        <w:bidi w:val="0"/>
        <w:jc w:val="left"/>
        <w:rPr>
          <w:lang w:val="pt-PT"/>
        </w:rPr>
      </w:pPr>
      <w:r>
        <w:rPr/>
        <w:t>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lang w:val="pt-PT"/>
        </w:rPr>
      </w:pPr>
      <w:r>
        <w:rPr/>
      </w:r>
    </w:p>
    <w:p>
      <w:pPr>
        <w:pStyle w:val="Normal"/>
        <w:bidi w:val="0"/>
        <w:jc w:val="left"/>
        <w:rPr>
          <w:lang w:val="pt-PT"/>
        </w:rPr>
      </w:pPr>
      <w:r>
        <w:rPr>
          <w:lang w:val="pt-PT"/>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1905000"/>
            <ns2:effectExtent l="0" t="0" r="0" b="0"/>
            <ns2:docPr id="11" name="Image 11" descr="Image 11"/>
            <ns2:cNvGraphicFramePr>
              <ns3:graphicFrameLocks noChangeAspect="1"/>
            </ns2:cNvGraphicFramePr>
            <ns3:graphic>
              <ns3:graphicData uri="http://schemas.openxmlformats.org/drawingml/2006/picture">
                <ns4:pic>
                  <ns4:nvPicPr>
                    <ns4:cNvPr id="11" name="Image 11" descr="Image 11"/>
                    <ns4:cNvPicPr>
                      <ns3:picLocks noChangeAspect="1" noChangeArrowheads="1"/>
                    </ns4:cNvPicPr>
                  </ns4:nvPicPr>
                  <ns4:blipFill>
                    <ns3:blip ns5:embed="rId17"/>
                    <ns3:stretch>
                      <ns3:fillRect/>
                    </ns3:stretch>
                  </ns4:blipFill>
                  <ns4:spPr bwMode="auto">
                    <ns3:xfrm>
                      <ns3:off x="0" y="0"/>
                      <ns3:ext cx="5715000" cy="1905000"/>
                    </ns3:xfrm>
                    <ns3:prstGeom prst="rect">
                      <ns3:avLst/>
                    </ns3:prstGeom>
                    <ns3:noFill/>
                  </ns4:spPr>
                </ns4:pic>
              </ns3:graphicData>
            </ns3:graphic>
          </ns2:inline>
        </w:drawing>
      </w:r>
    </w:p>
    <w:p>
      <w:pPr>
        <w:pStyle w:val="Normal"/>
        <w:bidi w:val="0"/>
        <w:jc w:val="left"/>
        <w:rPr>
          <w:lang w:val="pt-PT"/>
        </w:rPr>
      </w:pPr>
      <w:r>
        <w:rPr>
          <w:lang w:val="pt-PT"/>
        </w:rPr>
      </w:r>
    </w:p>
    <w:p>
      <w:pPr>
        <w:pStyle w:val="Normal"/>
        <w:bidi w:val="0"/>
        <w:jc w:val="left"/>
        <w:rPr>
          <w:lang w:val="pt-PT"/>
        </w:rPr>
      </w:pPr>
      <w:r>
        <w:rPr>
          <w:lang w:val="pt-PT"/>
        </w:rPr>
        <w:t>Figura 3.2 — Exemplo de recolha dimensional para ajuste de prótese impressa em 3D.</w:t>
      </w:r>
    </w:p>
    <w:p>
      <w:pPr>
        <w:pStyle w:val="Normal"/>
        <w:bidi w:val="0"/>
        <w:jc w:val="left"/>
        <w:rPr>
          <w:lang w:val="pt-PT"/>
        </w:rPr>
      </w:pPr>
      <w:r>
        <w:rPr>
          <w:lang w:val="pt-PT"/>
        </w:rPr>
        <w:t>Fonte original: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lang w:val="pt-PT"/>
        </w:rPr>
      </w:pPr>
      <w:r>
        <w:rPr>
          <w:lang w:val="pt-PT"/>
        </w:rPr>
      </w:r>
    </w:p>
    <w:p>
      <w:pPr>
        <w:pStyle w:val="Heading3"/>
        <w:bidi w:val="0"/>
        <w:jc w:val="left"/>
        <w:rPr>
          <w:lang w:val="pt-PT"/>
        </w:rPr>
      </w:pPr>
      <w:r>
        <w:rPr>
          <w:lang w:val="pt-PT"/>
        </w:rPr>
        <w:t>3.5 Critérios de avaliação e limitações metodológicas</w:t>
      </w:r>
    </w:p>
    <w:p>
      <w:pPr>
        <w:pStyle w:val="Heading3"/>
        <w:bidi w:val="0"/>
        <w:jc w:val="left"/>
        <w:rPr>
          <w:lang w:val="pt-PT"/>
        </w:rPr>
      </w:pPr>
      <w:r>
        <w:rPr>
          <w:lang w:val="pt-PT"/>
        </w:rPr>
      </w:r>
    </w:p>
    <w:p>
      <w:pPr>
        <w:pStyle w:val="Normal"/>
        <w:bidi w:val="0"/>
        <w:jc w:val="left"/>
        <w:rPr>
          <w:lang w:val="pt-PT"/>
        </w:rPr>
      </w:pPr>
      <w:r>
        <w:rPr>
          <w:lang w:val="pt-PT"/>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lang w:val="pt-PT"/>
        </w:rPr>
      </w:pPr>
      <w:r>
        <w:rPr>
          <w:lang w:val="pt-PT"/>
        </w:rPr>
        <w:t xml:space="preserve">No caso específico da parametrização assistida por IA, a avaliação foi organizada em dois patamares. </w:t>
      </w:r>
      <w:r>
        <w:rPr/>
        <w:t>O primeiro patamar incidiu sobre a coerência numérica das sugestões, avaliando a conformidade com o esquema de parâmetros, o enquadramento nos intervalos mínimos e máximos definidos, a proporcionalidade entre dedos, a adequação etária e a coerência da lateralidade em casos de amputação unilateral.</w:t>
      </w:r>
    </w:p>
    <w:p>
      <w:pPr>
        <w:pStyle w:val="Normal"/>
        <w:bidi w:val="0"/>
        <w:jc w:val="left"/>
        <w:rPr>
          <w:lang w:val="pt-PT"/>
        </w:rPr>
      </w:pPr>
      <w:r>
        <w:rPr>
          <w:lang w:val="pt-PT"/>
        </w:rPr>
        <w:t>O segundo prolongou essa verificação até à geometria exportada, testando se os valores sugeridos eram efetivamente aplicados nos modelo</w:t>
      </w:r>
      <w:commentRangeStart w:id="6"/>
      <w:r>
        <w:rPr>
          <w:lang w:val="pt-PT"/>
        </w:rPr>
        <w:t xml:space="preserve">s OpenSCAD/WebAssembly </w:t>
      </w:r>
      <w:r>
        <w:rPr>
          <w:lang w:val="pt-PT"/>
        </w:rPr>
      </w:r>
      <w:commentRangeEnd w:id="6"/>
      <w:r>
        <w:commentReference w:id="6"/>
      </w:r>
      <w:r>
        <w:rPr>
          <w:lang w:val="pt-PT"/>
        </w:rPr>
        <w:t xml:space="preserve">e se os ficheiros </w:t>
      </w:r>
      <w:commentRangeStart w:id="7"/>
      <w:r>
        <w:rPr>
          <w:lang w:val="pt-PT"/>
        </w:rPr>
        <w:t>3MF e STL</w:t>
      </w:r>
      <w:r>
        <w:rPr>
          <w:lang w:val="pt-PT"/>
        </w:rPr>
      </w:r>
      <w:commentRangeEnd w:id="7"/>
      <w:r>
        <w:commentReference w:id="7"/>
      </w:r>
      <w:r>
        <w:rPr>
          <w:lang w:val="pt-PT"/>
        </w:rP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lang w:val="pt-PT"/>
        </w:rPr>
      </w:pPr>
      <w:r>
        <w:rPr>
          <w:lang w:val="pt-PT"/>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lang w:val="pt-PT"/>
        </w:rPr>
      </w:pPr>
      <w:r>
        <w:rPr>
          <w:lang w:val="pt-PT"/>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lang w:val="pt-PT"/>
        </w:rPr>
      </w:pPr>
      <w:r>
        <w:rPr>
          <w:lang w:val="pt-PT"/>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de apoio.</w:t>
      </w:r>
    </w:p>
    <w:p>
      <w:pPr>
        <w:pStyle w:val="Heading2"/>
        <w:bidi w:val="0"/>
        <w:jc w:val="left"/>
        <w:rPr>
          <w:lang w:val="pt-PT"/>
        </w:rPr>
      </w:pPr>
      <w:r>
        <w:rPr>
          <w:lang w:val="pt-PT"/>
        </w:rPr>
      </w:r>
    </w:p>
    <w:p>
      <w:pPr>
        <w:pStyle w:val="Heading2"/>
        <w:bidi w:val="0"/>
        <w:jc w:val="left"/>
        <w:rPr>
          <w:lang w:val="pt-PT"/>
        </w:rPr>
      </w:pPr>
      <w:r>
        <w:rPr>
          <w:lang w:val="pt-PT"/>
        </w:rPr>
        <w:t>Capítulo 4 —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4.1 Definição do problema de design e requisitos</w:t>
      </w:r>
    </w:p>
    <w:p>
      <w:pPr>
        <w:pStyle w:val="Normal"/>
        <w:bidi w:val="0"/>
        <w:jc w:val="left"/>
        <w:rPr>
          <w:lang w:val="pt-PT"/>
        </w:rPr>
      </w:pPr>
      <w:r>
        <w:rPr>
          <w:lang w:val="pt-PT"/>
        </w:rPr>
      </w:r>
    </w:p>
    <w:p>
      <w:pPr>
        <w:pStyle w:val="Normal"/>
        <w:bidi w:val="0"/>
        <w:jc w:val="left"/>
        <w:rPr>
          <w:lang w:val="pt-PT"/>
        </w:rPr>
      </w:pPr>
      <w:r>
        <w:rPr>
          <w:lang w:val="pt-PT"/>
        </w:rPr>
        <w:t xml:space="preserve">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w:t>
      </w:r>
      <w:r>
        <w:rPr/>
        <w:t>Implica, pelo contrário, a conceção de dispositivos capazes de conciliar funcionalidade, conforto, leveza, funcionamento consistente, controlo inteligível, aceitabilidade estética e custos compatíveis com a produção, adaptação, manutenção e acesso continuado à prótese, num contexto em que continuam a registar-se taxas elevadas de rejeição e abandono.</w:t>
      </w:r>
    </w:p>
    <w:p>
      <w:pPr>
        <w:pStyle w:val="Normal"/>
        <w:bidi w:val="0"/>
        <w:jc w:val="left"/>
        <w:rPr>
          <w:lang w:val="pt-PT"/>
        </w:rPr>
      </w:pPr>
      <w:r>
        <w:rPr>
          <w:lang w:val="pt-PT"/>
        </w:rP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lang w:val="pt-PT"/>
        </w:rPr>
      </w:pPr>
      <w:r>
        <w:rPr>
          <w:lang w:val="pt-PT"/>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lang w:val="pt-PT"/>
        </w:rPr>
      </w:pPr>
      <w:r>
        <w:rPr>
          <w:lang w:val="pt-PT"/>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lang w:val="pt-PT"/>
        </w:rPr>
      </w:pPr>
      <w:r>
        <w:rPr>
          <w:lang w:val="pt-PT"/>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commentReference w:id="8"/>
      </w:r>
      <w:r>
        <w:rPr>
          <w:lang w:val="pt-PT"/>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lang w:val="pt-PT"/>
        </w:rPr>
      </w:pPr>
      <w:r>
        <w:rPr>
          <w:lang w:val="pt-PT"/>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lang w:val="pt-PT"/>
        </w:rPr>
      </w:pPr>
      <w:r>
        <w:rPr>
          <w:lang w:val="pt-PT"/>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BodyText"/>
        <w:bidi w:val="0"/>
        <w:spacing w:lineRule="auto" w:line="276" w:before="0" w:after="140"/>
        <w:jc w:val="left"/>
        <w:rPr>
          <w:lang w:val="pt-PT"/>
        </w:rPr>
      </w:pPr>
      <w:r>
        <w:rPr>
          <w:lang w:val="pt-PT"/>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lang w:val="pt-PT"/>
        </w:rPr>
      </w:pPr>
      <w:r>
        <w:rPr>
          <w:lang w:val="pt-PT"/>
        </w:rPr>
      </w:r>
    </w:p>
    <w:p>
      <w:pPr>
        <w:pStyle w:val="Heading3"/>
        <w:bidi w:val="0"/>
        <w:jc w:val="left"/>
        <w:rPr>
          <w:lang w:val="pt-PT"/>
        </w:rPr>
      </w:pPr>
      <w:r>
        <w:rPr>
          <w:lang w:val="pt-PT"/>
        </w:rPr>
        <w:t>4.2 Parâmetros antropométricos e estrutura do modelo</w:t>
      </w:r>
    </w:p>
    <w:p>
      <w:pPr>
        <w:pStyle w:val="Heading3"/>
        <w:bidi w:val="0"/>
        <w:jc w:val="left"/>
        <w:rPr>
          <w:lang w:val="pt-PT"/>
        </w:rPr>
      </w:pPr>
      <w:r>
        <w:rPr>
          <w:lang w:val="pt-PT"/>
        </w:rPr>
      </w:r>
    </w:p>
    <w:p>
      <w:pPr>
        <w:pStyle w:val="Normal"/>
        <w:bidi w:val="0"/>
        <w:jc w:val="left"/>
        <w:rPr>
          <w:lang w:val="pt-PT"/>
        </w:rPr>
      </w:pPr>
      <w:r>
        <w:rPr>
          <w:lang w:val="pt-PT"/>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lang w:val="pt-PT"/>
        </w:rPr>
      </w:pPr>
      <w:r>
        <w:rPr>
          <w:lang w:val="pt-PT"/>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lang w:val="pt-PT"/>
        </w:rPr>
      </w:pPr>
      <w:r>
        <w:rPr>
          <w:lang w:val="pt-PT"/>
        </w:rPr>
      </w:r>
    </w:p>
    <w:p>
      <w:pPr>
        <w:pStyle w:val="Normal"/>
        <w:bidi w:val="0"/>
        <w:jc w:val="left"/>
        <w:rPr>
          <w:lang w:val="pt-PT"/>
        </w:rPr>
      </w:pPr>
      <w:r>
        <w:rPr/>
        <w:drawing>
          <ns2:inline distT="0" distB="0" distL="0" distR="0">
            <ns2:extent cx="4667250" cy="3467100"/>
            <ns2:effectExtent l="0" t="0" r="0" b="0"/>
            <ns2:docPr id="12" name="Image 12" descr="Image 12"/>
            <ns2:cNvGraphicFramePr>
              <ns3:graphicFrameLocks noChangeAspect="1"/>
            </ns2:cNvGraphicFramePr>
            <ns3:graphic>
              <ns3:graphicData uri="http://schemas.openxmlformats.org/drawingml/2006/picture">
                <ns4:pic>
                  <ns4:nvPicPr>
                    <ns4:cNvPr id="12" name="Image 12" descr="Image 12"/>
                    <ns4:cNvPicPr>
                      <ns3:picLocks noChangeAspect="1" noChangeArrowheads="1"/>
                    </ns4:cNvPicPr>
                  </ns4:nvPicPr>
                  <ns4:blipFill>
                    <ns3:blip ns5:embed="rId18"/>
                    <ns3:stretch>
                      <ns3:fillRect/>
                    </ns3:stretch>
                  </ns4:blipFill>
                  <ns4:spPr bwMode="auto">
                    <ns3:xfrm>
                      <ns3:off x="0" y="0"/>
                      <ns3:ext cx="4667250" cy="3467100"/>
                    </ns3:xfrm>
                    <ns3:prstGeom prst="rect">
                      <ns3:avLst/>
                    </ns3:prstGeom>
                    <ns3:noFill/>
                  </ns4:spPr>
                </ns4:pic>
              </ns3:graphicData>
            </ns3:graphic>
          </ns2:inline>
        </w:drawing>
      </w:r>
    </w:p>
    <w:p>
      <w:pPr>
        <w:pStyle w:val="Normal"/>
        <w:bidi w:val="0"/>
        <w:jc w:val="left"/>
        <w:rPr>
          <w:lang w:val="pt-PT"/>
        </w:rPr>
      </w:pPr>
      <w:r>
        <w:rPr>
          <w:lang w:val="pt-PT"/>
        </w:rPr>
        <w:t>Figura 4.1 — Parâmetros antropométricos utilizados na modelação paramétrica de dedos protésicos.</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ns5:id="rId19">
        <w:r>
          <w:rPr>
            <w:rStyle w:val="Hyperlink"/>
            <w:lang w:val="pt-PT"/>
          </w:rPr>
          <w:t>https://doi.org/10.1109/BioRob60516.2024.10719909</w:t>
        </w:r>
      </w:hyperlink>
    </w:p>
    <w:p>
      <w:pPr>
        <w:pStyle w:val="Normal"/>
        <w:bidi w:val="0"/>
        <w:jc w:val="left"/>
        <w:rPr>
          <w:u w:val="double"/>
        </w:rPr>
      </w:pPr>
      <w:r>
        <w:rPr>
          <w:u w:val="double"/>
        </w:rPr>
      </w:r>
    </w:p>
    <w:p>
      <w:pPr>
        <w:pStyle w:val="Normal"/>
        <w:bidi w:val="0"/>
        <w:jc w:val="left"/>
        <w:rPr>
          <w:lang w:val="pt-PT"/>
        </w:rPr>
      </w:pPr>
      <w:r>
        <w:rPr>
          <w:lang w:val="pt-PT"/>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4.1 — Principais parâmetros antropométricos da mão e do membro superior relevantes para modelação paramétrica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do encaixe</w:t>
            </w:r>
          </w:p>
        </w:tc>
      </w:tr>
    </w:tbl>
    <w:p>
      <w:pPr>
        <w:pStyle w:val="Heading3"/>
        <w:bidi w:val="0"/>
        <w:jc w:val="left"/>
        <w:rPr>
          <w:lang w:val="pt-PT"/>
        </w:rPr>
      </w:pPr>
      <w:r>
        <w:rPr>
          <w:lang w:val="pt-PT"/>
        </w:rPr>
      </w:r>
    </w:p>
    <w:p>
      <w:pPr>
        <w:pStyle w:val="Heading3"/>
        <w:bidi w:val="0"/>
        <w:jc w:val="left"/>
        <w:rPr>
          <w:lang w:val="pt-PT"/>
        </w:rPr>
      </w:pPr>
      <w:r>
        <w:rPr>
          <w:lang w:val="pt-PT"/>
        </w:rPr>
        <w:t>Conjuntos mínimos de parâmetros por nível de amputação</w:t>
      </w:r>
    </w:p>
    <w:p>
      <w:pPr>
        <w:pStyle w:val="Normal"/>
        <w:bidi w:val="0"/>
        <w:jc w:val="left"/>
        <w:rPr>
          <w:lang w:val="pt-PT"/>
        </w:rPr>
      </w:pPr>
      <w:r>
        <w:rPr>
          <w:lang w:val="pt-PT"/>
        </w:rPr>
      </w:r>
    </w:p>
    <w:p>
      <w:pPr>
        <w:pStyle w:val="Normal"/>
        <w:bidi w:val="0"/>
        <w:jc w:val="left"/>
        <w:rPr>
          <w:lang w:val="pt-PT"/>
        </w:rPr>
      </w:pPr>
      <w:r>
        <w:rPr>
          <w:lang w:val="pt-PT"/>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 comprimento dos dedos</w:t>
            </w:r>
          </w:p>
        </w:tc>
      </w:tr>
    </w:tbl>
    <w:p>
      <w:pPr>
        <w:pStyle w:val="Normal"/>
        <w:bidi w:val="0"/>
        <w:jc w:val="left"/>
        <w:rPr>
          <w:lang w:val="pt-PT"/>
        </w:rPr>
      </w:pPr>
      <w:r>
        <w:rPr>
          <w:lang w:val="pt-PT"/>
        </w:rPr>
      </w:r>
    </w:p>
    <w:p>
      <w:pPr>
        <w:pStyle w:val="Normal"/>
        <w:bidi w:val="0"/>
        <w:jc w:val="left"/>
        <w:rPr>
          <w:lang w:val="pt-PT"/>
        </w:rPr>
      </w:pPr>
      <w:r>
        <w:rPr>
          <w:lang w:val="pt-PT"/>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lang w:val="pt-PT"/>
        </w:rPr>
      </w:pPr>
      <w:r>
        <w:rPr>
          <w:lang w:val="pt-PT"/>
        </w:rPr>
      </w:r>
    </w:p>
    <w:p>
      <w:pPr>
        <w:pStyle w:val="Heading3"/>
        <w:bidi w:val="0"/>
        <w:jc w:val="left"/>
        <w:rPr>
          <w:lang w:val="pt-PT"/>
        </w:rPr>
      </w:pPr>
      <w:r>
        <w:rPr>
          <w:lang w:val="pt-PT"/>
        </w:rPr>
        <w:t>Limitações do redimensionamento proporcional</w:t>
      </w:r>
    </w:p>
    <w:p>
      <w:pPr>
        <w:pStyle w:val="Heading3"/>
        <w:bidi w:val="0"/>
        <w:jc w:val="left"/>
        <w:rPr>
          <w:lang w:val="pt-PT"/>
        </w:rPr>
      </w:pPr>
      <w:r>
        <w:rPr>
          <w:lang w:val="pt-PT"/>
        </w:rPr>
      </w:r>
    </w:p>
    <w:p>
      <w:pPr>
        <w:pStyle w:val="Normal"/>
        <w:bidi w:val="0"/>
        <w:jc w:val="left"/>
        <w:rPr>
          <w:lang w:val="pt-PT"/>
        </w:rPr>
      </w:pPr>
      <w:r>
        <w:rPr>
          <w:lang w:val="pt-PT"/>
        </w:rPr>
        <w:t>Uma limitação recorrente em abordagens simplificadas de modelação é o uso de redimensionamento proporcional (</w:t>
      </w:r>
      <w:r>
        <w:rPr>
          <w:i/>
          <w:iCs/>
          <w:lang w:val="pt-PT"/>
        </w:rPr>
        <w:t>uniform scaling</w:t>
      </w:r>
      <w:r>
        <w:rPr>
          <w:lang w:val="pt-PT"/>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lang w:val="pt-PT"/>
        </w:rPr>
      </w:pPr>
      <w:r>
        <w:rPr>
          <w:lang w:val="pt-PT"/>
        </w:rPr>
      </w:r>
    </w:p>
    <w:p>
      <w:pPr>
        <w:pStyle w:val="Normal"/>
        <w:bidi w:val="0"/>
        <w:jc w:val="left"/>
        <w:rPr>
          <w:lang w:val="pt-PT"/>
        </w:rPr>
      </w:pPr>
      <w:r>
        <w:rPr>
          <w:lang w:val="pt-PT"/>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2705100"/>
            <ns2:effectExtent l="0" t="0" r="0" b="0"/>
            <ns2:docPr id="13" name="Image 13" descr="Image 13"/>
            <ns2:cNvGraphicFramePr>
              <ns3:graphicFrameLocks noChangeAspect="1"/>
            </ns2:cNvGraphicFramePr>
            <ns3:graphic>
              <ns3:graphicData uri="http://schemas.openxmlformats.org/drawingml/2006/picture">
                <ns4:pic>
                  <ns4:nvPicPr>
                    <ns4:cNvPr id="13" name="Image 13" descr="Image 13"/>
                    <ns4:cNvPicPr>
                      <ns3:picLocks noChangeAspect="1" noChangeArrowheads="1"/>
                    </ns4:cNvPicPr>
                  </ns4:nvPicPr>
                  <ns4:blipFill>
                    <ns3:blip ns5:embed="rId20"/>
                    <ns3:stretch>
                      <ns3:fillRect/>
                    </ns3:stretch>
                  </ns4:blipFill>
                  <ns4:spPr bwMode="auto">
                    <ns3:xfrm>
                      <ns3:off x="0" y="0"/>
                      <ns3:ext cx="5715000" cy="2705100"/>
                    </ns3:xfrm>
                    <ns3:prstGeom prst="rect">
                      <ns3:avLst/>
                    </ns3:prstGeom>
                    <ns3:noFill/>
                  </ns4:spPr>
                </ns4:pic>
              </ns3:graphicData>
            </ns3:graphic>
          </ns2:inline>
        </w:drawing>
      </w:r>
    </w:p>
    <w:p>
      <w:pPr>
        <w:pStyle w:val="Normal"/>
        <w:bidi w:val="0"/>
        <w:jc w:val="left"/>
        <w:rPr>
          <w:lang w:val="pt-PT"/>
        </w:rPr>
      </w:pPr>
      <w:r>
        <w:rPr>
          <w:lang w:val="pt-PT"/>
        </w:rPr>
      </w:r>
    </w:p>
    <w:p>
      <w:pPr>
        <w:pStyle w:val="Normal"/>
        <w:bidi w:val="0"/>
        <w:jc w:val="left"/>
        <w:rPr>
          <w:lang w:val="pt-PT"/>
        </w:rPr>
      </w:pPr>
      <w:r>
        <w:rPr>
          <w:lang w:val="pt-PT"/>
        </w:rPr>
        <w:t>Figura 4.2 — Comparação entre o escalonamento uniforme e a modelação paramétrica de dedo protésico.</w:t>
      </w:r>
    </w:p>
    <w:p>
      <w:pPr>
        <w:pStyle w:val="Normal"/>
        <w:bidi w:val="0"/>
        <w:jc w:val="left"/>
        <w:rPr/>
      </w:pPr>
      <w:r>
        <w:rPr>
          <w:lang w:val="pt-PT"/>
        </w:rPr>
        <w:t xml:space="preserve">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ns5:id="rId21">
        <w:r>
          <w:rPr>
            <w:rStyle w:val="Hyperlink"/>
            <w:lang w:val="pt-PT"/>
          </w:rPr>
          <w:t>https://doi.org/10.1115/DETC2018-85645</w:t>
        </w:r>
      </w:hyperlink>
    </w:p>
    <w:p>
      <w:pPr>
        <w:pStyle w:val="Normal"/>
        <w:bidi w:val="0"/>
        <w:jc w:val="left"/>
        <w:rPr>
          <w:lang w:val="pt-PT"/>
        </w:rPr>
      </w:pPr>
      <w:r>
        <w:rPr>
          <w:lang w:val="pt-PT"/>
        </w:rPr>
      </w:r>
    </w:p>
    <w:p>
      <w:pPr>
        <w:pStyle w:val="Heading3"/>
        <w:bidi w:val="0"/>
        <w:jc w:val="left"/>
        <w:rPr>
          <w:lang w:val="pt-PT"/>
        </w:rPr>
      </w:pPr>
      <w:r>
        <w:rPr>
          <w:lang w:val="pt-PT"/>
        </w:rPr>
        <w:t>Métodos de recolha de dados antropométricos</w:t>
      </w:r>
    </w:p>
    <w:p>
      <w:pPr>
        <w:pStyle w:val="Heading3"/>
        <w:bidi w:val="0"/>
        <w:jc w:val="left"/>
        <w:rPr>
          <w:lang w:val="pt-PT"/>
        </w:rPr>
      </w:pPr>
      <w:r>
        <w:rPr>
          <w:lang w:val="pt-PT"/>
        </w:rPr>
      </w:r>
    </w:p>
    <w:p>
      <w:pPr>
        <w:pStyle w:val="Normal"/>
        <w:bidi w:val="0"/>
        <w:jc w:val="left"/>
        <w:rPr>
          <w:lang w:val="pt-PT"/>
        </w:rPr>
      </w:pPr>
      <w:r>
        <w:rPr>
          <w:lang w:val="pt-PT"/>
        </w:rPr>
        <w:t>A recolha de dados pode ser realizada por diferentes métodos, com implicações diretas na precisão das medições e na sua tradução para parâmetros de projeto.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lang w:val="pt-PT"/>
        </w:rPr>
      </w:pPr>
      <w:r>
        <w:rPr>
          <w:lang w:val="pt-PT"/>
        </w:rPr>
      </w:r>
    </w:p>
    <w:p>
      <w:pPr>
        <w:pStyle w:val="Normal"/>
        <w:bidi w:val="0"/>
        <w:jc w:val="left"/>
        <w:rPr>
          <w:lang w:val="pt-PT"/>
        </w:rPr>
      </w:pPr>
      <w:r>
        <w:rPr>
          <w:lang w:val="pt-PT"/>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lineares</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Simplicidade, baixo custo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Representação geométrica limitada</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superficial</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Elevada precisão, rapidez</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Equipamento e processamento necessários</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interna e externa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anatómicos detalhados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Alto custo e menor acessibilidade</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aproximada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Acessível, potencial remoto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Precisão variável</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Aquisição preliminar</w:t>
            </w:r>
          </w:p>
        </w:tc>
      </w:tr>
    </w:tbl>
    <w:p>
      <w:pPr>
        <w:pStyle w:val="Heading3"/>
        <w:bidi w:val="0"/>
        <w:jc w:val="left"/>
        <w:rPr>
          <w:lang w:val="pt-PT"/>
        </w:rPr>
      </w:pPr>
      <w:r>
        <w:rPr>
          <w:lang w:val="pt-PT"/>
        </w:rPr>
      </w:r>
    </w:p>
    <w:p>
      <w:pPr>
        <w:pStyle w:val="Heading3"/>
        <w:bidi w:val="0"/>
        <w:jc w:val="left"/>
        <w:rPr>
          <w:lang w:val="pt-PT"/>
        </w:rPr>
      </w:pPr>
      <w:r>
        <w:rPr>
          <w:lang w:val="pt-PT"/>
        </w:rPr>
        <w:t>Bases de dados antropométricas, extração e normalização</w:t>
      </w:r>
    </w:p>
    <w:p>
      <w:pPr>
        <w:pStyle w:val="Heading3"/>
        <w:bidi w:val="0"/>
        <w:jc w:val="left"/>
        <w:rPr>
          <w:lang w:val="pt-PT"/>
        </w:rPr>
      </w:pPr>
      <w:r>
        <w:rPr>
          <w:lang w:val="pt-PT"/>
        </w:rPr>
      </w:r>
    </w:p>
    <w:p>
      <w:pPr>
        <w:pStyle w:val="Normal"/>
        <w:bidi w:val="0"/>
        <w:jc w:val="left"/>
        <w:rPr>
          <w:lang w:val="pt-PT"/>
        </w:rPr>
      </w:pPr>
      <w:r>
        <w:rPr>
          <w:lang w:val="pt-PT"/>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lang w:val="pt-PT"/>
        </w:rPr>
      </w:pPr>
      <w:r>
        <w:rPr>
          <w:lang w:val="pt-PT"/>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lang w:val="pt-PT"/>
        </w:rPr>
      </w:pPr>
      <w:r>
        <w:rPr>
          <w:lang w:val="pt-PT"/>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r>
    </w:p>
    <w:p>
      <w:pPr>
        <w:pStyle w:val="Normal"/>
        <w:bidi w:val="0"/>
        <w:jc w:val="left"/>
        <w:rPr>
          <w:lang w:val="pt-PT"/>
        </w:rPr>
      </w:pPr>
      <w:r>
        <w:rPr>
          <w:lang w:val="pt-PT"/>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1"/>
        <w:gridCol w:w="2614"/>
        <w:gridCol w:w="2529"/>
        <w:gridCol w:w="1642"/>
      </w:tblGrid>
      <w:tr>
        <w:trPr>
          <w:tblHeader w:val="true"/>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Fonte</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e cobertura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extraídos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Registos</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kima1993,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Crianças neerlandesas, 2–12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528</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geron1998,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neerlandeses, 50–80+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210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dined2004,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neerlandeses, 20–60+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sexo e idade</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Rodríguez-Vega e Rodríguez-Vega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mexicana, 15–59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comprimento da palma, largura da mão e diâmetro de preensão, com valores gerais e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360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Nag et al. (2003)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Mulheres indianas trabalhadoras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51 dimensões da mão, incluindo comprimentos, larguras, circunferências, profundidades e aberturas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255</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Gordon et al. (2015)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Militares norte-americanos do ANSUR II</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da mão, punho e antebraço extraídas das estatísticas públicas do inquérito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154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Chatzioglou et al.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Jovens adultos da Turquia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dos cinco dedos da mão direita, por sexo e combinado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56</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Hu et al. (2007)</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chineses da área de Pequim</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Larguras, comprimento da mão, comprimento do dedo e comprimento antebraço-ponta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Ibiwari et al. (2025)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Atletas universitários da Nigéria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comprimento palmar e 3.º dedo, por modalidade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32</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Anacleto Filho et al. (2023)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industriais portugueses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da mão, por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Mistarihi (2020)</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com deficiência física na Jordânia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e comprimento cotovelo-ponta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9</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 et al. (2018)</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jovens nos EUA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indicador para personalização de dedo protésico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w:t>
            </w:r>
          </w:p>
        </w:tc>
      </w:tr>
    </w:tbl>
    <w:p>
      <w:pPr>
        <w:pStyle w:val="Normal"/>
        <w:bidi w:val="0"/>
        <w:jc w:val="left"/>
        <w:rPr>
          <w:lang w:val="pt-PT"/>
        </w:rPr>
      </w:pPr>
      <w:r>
        <w:rPr>
          <w:lang w:val="pt-PT"/>
        </w:rPr>
      </w:r>
    </w:p>
    <w:p>
      <w:pPr>
        <w:pStyle w:val="Normal"/>
        <w:bidi w:val="0"/>
        <w:jc w:val="left"/>
        <w:rPr>
          <w:lang w:val="pt-PT"/>
        </w:rPr>
      </w:pPr>
      <w:r>
        <w:rPr>
          <w:lang w:val="pt-PT"/>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lang w:val="pt-PT"/>
        </w:rPr>
      </w:pPr>
      <w:r>
        <w:rPr>
          <w:lang w:val="pt-PT"/>
        </w:rP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Normal"/>
        <w:bidi w:val="0"/>
        <w:jc w:val="left"/>
        <w:rPr>
          <w:lang w:val="pt-PT"/>
        </w:rPr>
      </w:pPr>
      <w:r>
        <w:rPr>
          <w:lang w:val="pt-PT"/>
        </w:rPr>
        <w:t>Este formato facilita a integração de fontes incompletas, porque nem todos os estudos reportam o mesmo conjunto de estatísticas.</w:t>
      </w:r>
    </w:p>
    <w:p>
      <w:pPr>
        <w:pStyle w:val="Normal"/>
        <w:bidi w:val="0"/>
        <w:jc w:val="left"/>
        <w:rPr>
          <w:lang w:val="pt-PT"/>
        </w:rPr>
      </w:pPr>
      <w:r>
        <w:rPr>
          <w:lang w:val="pt-PT"/>
        </w:rPr>
        <w:t xml:space="preserve">Na base atual, existem 612 médias, 609 desvios-padrão, 513 percentis, 28 mínimos e 28 máximos. Esta assimetria é metodologicamente relevante: </w:t>
      </w:r>
      <w:r>
        <w:rPr/>
        <w:t>os conjuntos de dados (</w:t>
      </w:r>
      <w:r>
        <w:rPr>
          <w:i/>
          <w:iCs/>
        </w:rPr>
        <w:t>Datasets</w:t>
      </w:r>
      <w:r>
        <w:rPr/>
        <w:t>)</w:t>
      </w:r>
      <w:r>
        <w:rPr>
          <w:lang w:val="pt-PT"/>
        </w:rP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lang w:val="pt-PT"/>
        </w:rPr>
      </w:pPr>
      <w:r>
        <w:rPr>
          <w:lang w:val="pt-PT"/>
        </w:rP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BodyText"/>
        <w:bidi w:val="0"/>
        <w:jc w:val="left"/>
        <w:rPr>
          <w:lang w:val="pt-PT"/>
        </w:rPr>
      </w:pPr>
      <w:r>
        <w:rPr>
          <w:lang w:val="pt-PT"/>
        </w:rP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r>
      <w:r>
        <w:rPr/>
        <w:t>Em sentido inverso, algumas fontes facilitaram a extração. As tabelas com percentis claros, unidades explícitas e separação por sexo ou idade permitiram uma codificação direta e maior confiança na transcrição dos valores. No caso da DINED, a estrutura HTML da interface facilitou a identificação e extração repetível das médias e dos desvios-padrão, permitindo registar, para cada medida antropométrica, tanto o valor médio observado no grupo como a respetiva variabilidade interna. Esta informação foi recolhida mantendo a separação entre sub-bases, sexo e grupos etários, embora os percentis não estivessem disponíveis na mesma interface.</w:t>
      </w:r>
    </w:p>
    <w:p>
      <w:pPr>
        <w:pStyle w:val="BodyText"/>
        <w:bidi w:val="0"/>
        <w:jc w:val="left"/>
        <w:rPr>
          <w:lang w:val="pt-PT"/>
        </w:rPr>
      </w:pPr>
      <w:r>
        <w:rPr>
          <w:lang w:val="pt-PT"/>
        </w:rPr>
        <w:t>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BodyText"/>
        <w:bidi w:val="0"/>
        <w:jc w:val="left"/>
        <w:rPr>
          <w:lang w:val="pt-PT"/>
        </w:rPr>
      </w:pPr>
      <w:r>
        <w:rPr>
          <w:lang w:val="pt-PT"/>
        </w:rPr>
        <w:t>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w:t>
      </w:r>
    </w:p>
    <w:p>
      <w:pPr>
        <w:pStyle w:val="BodyText"/>
        <w:bidi w:val="0"/>
        <w:jc w:val="left"/>
        <w:rPr>
          <w:lang w:val="pt-PT"/>
        </w:rPr>
      </w:pPr>
      <w:r>
        <w:rPr>
          <w:lang w:val="pt-PT"/>
        </w:rPr>
        <w:t>A base de dados construída permite comparar valores relativos ao comprimento da mão, à largura da palma, aos comprimentos digitais, às dimensões do punho e às relações com o antebraço, mantendo a referência à fonte, à população e ao contexto metodológico de cada registo.</w:t>
      </w:r>
    </w:p>
    <w:p>
      <w:pPr>
        <w:pStyle w:val="BodyText"/>
        <w:bidi w:val="0"/>
        <w:jc w:val="left"/>
        <w:rPr>
          <w:lang w:val="pt-PT"/>
        </w:rPr>
      </w:pPr>
      <w:r>
        <w:rP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Normal"/>
        <w:bidi w:val="0"/>
        <w:jc w:val="left"/>
        <w:rPr>
          <w:lang w:val="pt-PT"/>
        </w:rPr>
      </w:pPr>
      <w:r>
        <w:rPr>
          <w:lang w:val="pt-PT"/>
        </w:rPr>
      </w:r>
    </w:p>
    <w:p>
      <w:pPr>
        <w:pStyle w:val="Normal"/>
        <w:bidi w:val="0"/>
        <w:jc w:val="left"/>
        <w:rPr>
          <w:lang w:val="pt-PT"/>
        </w:rPr>
      </w:pPr>
      <w:r>
        <w:rPr>
          <w:lang w:val="pt-PT"/>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lang w:val="pt-PT"/>
        </w:rPr>
      </w:pPr>
      <w:r>
        <w:rPr>
          <w:lang w:val="pt-PT"/>
        </w:rPr>
      </w:r>
    </w:p>
    <w:p>
      <w:pPr>
        <w:pStyle w:val="Heading3"/>
        <w:bidi w:val="0"/>
        <w:jc w:val="left"/>
        <w:rPr>
          <w:lang w:val="pt-PT"/>
        </w:rPr>
      </w:pPr>
      <w:r>
        <w:rPr>
          <w:lang w:val="pt-PT"/>
        </w:rPr>
        <w:t>Estrutura paramétrica e mapeamento de parâmetros</w:t>
      </w:r>
    </w:p>
    <w:p>
      <w:pPr>
        <w:pStyle w:val="Heading3"/>
        <w:bidi w:val="0"/>
        <w:jc w:val="left"/>
        <w:rPr>
          <w:lang w:val="pt-PT"/>
        </w:rPr>
      </w:pPr>
      <w:r>
        <w:rPr>
          <w:lang w:val="pt-PT"/>
        </w:rPr>
      </w:r>
    </w:p>
    <w:p>
      <w:pPr>
        <w:pStyle w:val="Normal"/>
        <w:bidi w:val="0"/>
        <w:jc w:val="left"/>
        <w:rPr>
          <w:lang w:val="pt-PT"/>
        </w:rPr>
      </w:pPr>
      <w:r>
        <w:rPr>
          <w:lang w:val="pt-PT"/>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técnico</w:t>
            </w:r>
          </w:p>
        </w:tc>
      </w:tr>
    </w:tbl>
    <w:p>
      <w:pPr>
        <w:pStyle w:val="Normal"/>
        <w:bidi w:val="0"/>
        <w:jc w:val="left"/>
        <w:rPr>
          <w:lang w:val="pt-PT"/>
        </w:rPr>
      </w:pPr>
      <w:r>
        <w:rPr>
          <w:lang w:val="pt-PT"/>
        </w:rPr>
      </w:r>
    </w:p>
    <w:p>
      <w:pPr>
        <w:pStyle w:val="Normal"/>
        <w:bidi w:val="0"/>
        <w:jc w:val="left"/>
        <w:rPr>
          <w:lang w:val="pt-PT"/>
        </w:rPr>
      </w:pPr>
      <w:r>
        <w:rPr>
          <w:lang w:val="pt-PT"/>
        </w:rPr>
        <w:t>A tradução destes parâmetros em geometria é realizada por meio de relações explícitas entre medições e componentes do modelo.</w:t>
      </w:r>
    </w:p>
    <w:p>
      <w:pPr>
        <w:pStyle w:val="Heading3"/>
        <w:bidi w:val="0"/>
        <w:jc w:val="left"/>
        <w:rPr>
          <w:lang w:val="pt-PT"/>
        </w:rPr>
      </w:pPr>
      <w:r>
        <w:rPr/>
        <w:t>OpenSCAD: enquadramento e justificação da escolha</w:t>
      </w:r>
    </w:p>
    <w:p>
      <w:pPr>
        <w:pStyle w:val="Normal"/>
        <w:bidi w:val="0"/>
        <w:jc w:val="left"/>
        <w:rPr>
          <w:lang w:val="pt-PT"/>
        </w:rPr>
      </w:pPr>
      <w:r>
        <w:rPr/>
        <w:t>Antes de avançar para a formalização do modelo, importa clarificar o que é o OpenSCAD e por que motivo foi escolhido como ambiente de modelação paramétrica neste projeto.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(#ref-openscad-project-nd-a); OpenSCAD Project, n.d.-b (#ref-openscad-project-nd-b); Ghali, 2008 (#ref-ghali-2008)).</w:t>
      </w:r>
    </w:p>
    <w:p>
      <w:pPr>
        <w:pStyle w:val="Normal"/>
        <w:bidi w:val="0"/>
        <w:jc w:val="left"/>
        <w:rPr>
          <w:lang w:val="pt-PT"/>
        </w:rPr>
      </w:pPr>
      <w:r>
        <w:rPr/>
        <w:t>Esta natureza programável distingue o OpenSCAD dos ambientes CAD convencionais baseados sobretudo em manipulação gráfica direta.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(#ref-trautmann-2021); Gonzalez Avila et al., 2024 (#ref-gonzalez-avila-2024)).</w:t>
      </w:r>
    </w:p>
    <w:p>
      <w:pPr>
        <w:pStyle w:val="Normal"/>
        <w:bidi w:val="0"/>
        <w:jc w:val="left"/>
        <w:rPr>
          <w:lang w:val="pt-PT"/>
        </w:rPr>
      </w:pPr>
      <w:r>
        <w:rPr/>
        <w:t>A escolha do OpenSCAD resulta, em primeiro lugar, da sua adequação a processos reprodutíveis de design paramétrico. Por ser baseado em texto simples, o ficheiro-fonte pode ser mantido sob controlo de versões, comparado, revisto e reutilizado, permitindo reconstituir as decisões de modelação e replicar as variantes geradas.</w:t>
      </w:r>
    </w:p>
    <w:p>
      <w:pPr>
        <w:pStyle w:val="Normal"/>
        <w:bidi w:val="0"/>
        <w:jc w:val="left"/>
        <w:rPr>
          <w:lang w:val="pt-PT"/>
        </w:rPr>
      </w:pPr>
      <w:r>
        <w:rPr/>
        <w:t>Esta característica é particularmente valorizada em hardware científico e open source, precisamente porque a documentação do processo é tão importante como o ficheiro final exportado. Além disso, o OpenSCAD pode ser executado por linha de comando, receber valores por parâmetros e exportar automaticamente geometrias para formatos de fabrico digital, como STL ou 3MF, tornando-o compatível com fluxos de geração em lote e com configuradores digitais (Machado et al., 2019 (#ref-machado-2019); OpenSCAD Community, n.d. (#ref-openscad-community-nd)).</w:t>
      </w:r>
    </w:p>
    <w:p>
      <w:pPr>
        <w:pStyle w:val="Normal"/>
        <w:bidi w:val="0"/>
        <w:jc w:val="left"/>
        <w:rPr>
          <w:lang w:val="pt-PT"/>
        </w:rPr>
      </w:pPr>
      <w:r>
        <w:rPr/>
        <w:t>Em segundo lugar, o OpenSCAD adapta-se bem à arquitetura web proposta nesta dissertação. A separação entre definição geométrica e interface permite que o ficheiro .scad permaneça como núcleo técnico do modelo, enquanto a plataforma apresenta ao utilizador apenas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(#ref-nilsiam-2017); Brooks, 2026 (#ref-brooks-2026)).</w:t>
      </w:r>
    </w:p>
    <w:p>
      <w:pPr>
        <w:pStyle w:val="Normal"/>
        <w:bidi w:val="0"/>
        <w:jc w:val="left"/>
        <w:rPr>
          <w:lang w:val="pt-PT"/>
        </w:rPr>
      </w:pPr>
      <w:r>
        <w:rPr/>
        <w:t>Em terceiro lugar, o OpenSCAD é particularmente compatível com um fluxo de design assistido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(#ref-elhadad-2026); Schöfer &amp; Seibel, 2025 (#ref-schofer-seibel-2025); Gonzalez Avila et al., 2024 (#ref-gonzalez-avila-2024)).</w:t>
      </w:r>
    </w:p>
    <w:p>
      <w:pPr>
        <w:pStyle w:val="Normal"/>
        <w:bidi w:val="0"/>
        <w:jc w:val="left"/>
        <w:rPr>
          <w:lang w:val="pt-PT"/>
        </w:rPr>
      </w:pPr>
      <w:r>
        <w:rPr/>
        <w:t>No contexto específico das próteses e das tecnologias de apoio, esta escolha é ainda reforçada por estudos que usam modelação paramétrica para adaptar dedos protésicos, mãos mecânicas acionadas pelo corpo e outros dispositivos de apoio às medidas ou necessidades do utilizador.</w:t>
        <w:br/>
        <w:t>Estes trabalhos não eliminam a necessidade de ensaios funcionais, avaliação ergonómica ou validação clínica, mas demonstram que a personalização geométrica pode ser estruturada por parâmetros explícitos e por modelos reexecutáveis. Para este projeto,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(#ref-lim-2018); Bustamante et al., 2018 (#ref-bustamante-2018); Romani &amp; Levi, 2020 (#ref-romani-levi-2020)).</w:t>
      </w:r>
    </w:p>
    <w:p>
      <w:pPr>
        <w:pStyle w:val="Normal"/>
        <w:bidi w:val="0"/>
        <w:jc w:val="left"/>
        <w:rPr>
          <w:lang w:val="pt-PT"/>
        </w:rPr>
      </w:pPr>
      <w:r>
        <w:rPr>
          <w:lang w:val="pt-PT"/>
        </w:rPr>
      </w:r>
    </w:p>
    <w:p>
      <w:pPr>
        <w:pStyle w:val="Normal"/>
        <w:bidi w:val="0"/>
        <w:jc w:val="left"/>
        <w:rPr>
          <w:lang w:val="pt-PT"/>
        </w:rPr>
      </w:pPr>
      <w:r>
        <w:rPr>
          <w:lang w:val="pt-PT"/>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Relações cinemáticas dos mecanismos digitais</w:t>
            </w:r>
          </w:p>
        </w:tc>
      </w:tr>
    </w:tbl>
    <w:p>
      <w:pPr>
        <w:pStyle w:val="Normal"/>
        <w:bidi w:val="0"/>
        <w:jc w:val="left"/>
        <w:rPr>
          <w:lang w:val="pt-PT"/>
        </w:rPr>
      </w:pPr>
      <w:r>
        <w:rPr>
          <w:lang w:val="pt-PT"/>
        </w:rPr>
      </w:r>
    </w:p>
    <w:p>
      <w:pPr>
        <w:pStyle w:val="Normal"/>
        <w:bidi w:val="0"/>
        <w:jc w:val="left"/>
        <w:rPr>
          <w:lang w:val="pt-PT"/>
        </w:rPr>
      </w:pPr>
      <w:r>
        <w:rPr>
          <w:lang w:val="pt-PT"/>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BodyText"/>
        <w:bidi w:val="0"/>
        <w:jc w:val="left"/>
        <w:rPr>
          <w:lang w:val="pt-PT"/>
        </w:rPr>
      </w:pPr>
      <w:r>
        <w:rPr>
          <w:lang w:val="pt-PT"/>
        </w:rPr>
        <w:t>Antes da tradução do modelo para o ambiente de modelação paramétrica, torna-se necessário estabilizar três níveis: os dados de entrada, as relações entre parâmetros e os limites técnicos que condicionam a sua transformação em forma.</w:t>
      </w:r>
    </w:p>
    <w:p>
      <w:pPr>
        <w:pStyle w:val="BodyText"/>
        <w:bidi w:val="0"/>
        <w:jc w:val="left"/>
        <w:rPr>
          <w:lang w:val="pt-PT"/>
        </w:rPr>
      </w:pPr>
      <w:r>
        <w:rPr>
          <w:lang w:val="pt-PT"/>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lang w:val="pt-PT"/>
        </w:rPr>
      </w:pPr>
      <w:r>
        <w:rPr>
          <w:lang w:val="pt-PT"/>
        </w:rPr>
      </w:r>
    </w:p>
    <w:p>
      <w:pPr>
        <w:pStyle w:val="Heading3"/>
        <w:bidi w:val="0"/>
        <w:jc w:val="left"/>
        <w:rPr>
          <w:lang w:val="pt-PT"/>
        </w:rPr>
      </w:pPr>
      <w:r>
        <w:rPr>
          <w:lang w:val="pt-PT"/>
        </w:rPr>
        <w:t>4.3 Modelação paramétrica em OpenSCAD</w:t>
      </w:r>
    </w:p>
    <w:p>
      <w:pPr>
        <w:pStyle w:val="Heading3"/>
        <w:bidi w:val="0"/>
        <w:jc w:val="left"/>
        <w:rPr>
          <w:lang w:val="pt-PT"/>
        </w:rPr>
      </w:pPr>
      <w:r>
        <w:rPr>
          <w:lang w:val="pt-PT"/>
        </w:rPr>
      </w:r>
    </w:p>
    <w:p>
      <w:pPr>
        <w:pStyle w:val="Normal"/>
        <w:bidi w:val="0"/>
        <w:jc w:val="left"/>
        <w:rPr>
          <w:lang w:val="pt-PT"/>
        </w:rPr>
      </w:pPr>
      <w:r>
        <w:rPr>
          <w:lang w:val="pt-PT"/>
        </w:rP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lang w:val="pt-PT"/>
        </w:rPr>
      </w:pPr>
      <w:r>
        <w:rPr>
          <w:lang w:val="pt-PT"/>
        </w:rP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w:t>
      </w:r>
    </w:p>
    <w:p>
      <w:pPr>
        <w:pStyle w:val="Normal"/>
        <w:bidi w:val="0"/>
        <w:jc w:val="left"/>
        <w:rPr>
          <w:lang w:val="pt-PT"/>
        </w:rPr>
      </w:pPr>
      <w:r>
        <w:rPr>
          <w:lang w:val="pt-PT"/>
        </w:rPr>
        <w:t>Os estudos revistos sobre modelação paramétrica aplicada a próteses e sobre modelação CAD programável reforçam esta perspetiva, ao associarem estas abordagens à possibilidade de explicitar decisões de modelação, manter consistência entre variantes e automatizar etapas em fluxos de personalização digital (Machado et al., 2019 (#ref-machado-2019); Moreo, 2016 (#ref-moreo-2016); Romero et al., 2025 (#ref-da-silveira-romero-2025)).</w:t>
      </w:r>
    </w:p>
    <w:p>
      <w:pPr>
        <w:pStyle w:val="Normal"/>
        <w:bidi w:val="0"/>
        <w:jc w:val="left"/>
        <w:rPr>
          <w:lang w:val="pt-PT"/>
        </w:rPr>
      </w:pPr>
      <w:r>
        <w:rPr>
          <w:lang w:val="pt-PT"/>
        </w:rP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Normal"/>
        <w:bidi w:val="0"/>
        <w:jc w:val="left"/>
        <w:rPr>
          <w:lang w:val="pt-PT"/>
        </w:rPr>
      </w:pPr>
      <w:r>
        <w:rPr>
          <w:lang w:val="pt-PT"/>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3324225"/>
            <ns2:effectExtent l="0" t="0" r="0" b="0"/>
            <ns2:docPr id="14" name="Image 14" descr="Image 14"/>
            <ns2:cNvGraphicFramePr>
              <ns3:graphicFrameLocks noChangeAspect="1"/>
            </ns2:cNvGraphicFramePr>
            <ns3:graphic>
              <ns3:graphicData uri="http://schemas.openxmlformats.org/drawingml/2006/picture">
                <ns4:pic>
                  <ns4:nvPicPr>
                    <ns4:cNvPr id="14" name="Image 14" descr="Image 14"/>
                    <ns4:cNvPicPr>
                      <ns3:picLocks noChangeAspect="1" noChangeArrowheads="1"/>
                    </ns4:cNvPicPr>
                  </ns4:nvPicPr>
                  <ns4:blipFill>
                    <ns3:blip ns5:embed="rId22"/>
                    <ns3:stretch>
                      <ns3:fillRect/>
                    </ns3:stretch>
                  </ns4:blipFill>
                  <ns4:spPr bwMode="auto">
                    <ns3:xfrm>
                      <ns3:off x="0" y="0"/>
                      <ns3:ext cx="5715000" cy="3324225"/>
                    </ns3:xfrm>
                    <ns3:prstGeom prst="rect">
                      <ns3:avLst/>
                    </ns3:prstGeom>
                    <ns3:noFill/>
                  </ns4:spPr>
                </ns4:pic>
              </ns3:graphicData>
            </ns3:graphic>
          </ns2:inline>
        </w:drawing>
      </w:r>
    </w:p>
    <w:p>
      <w:pPr>
        <w:pStyle w:val="Normal"/>
        <w:bidi w:val="0"/>
        <w:jc w:val="left"/>
        <w:rPr>
          <w:lang w:val="pt-PT"/>
        </w:rPr>
      </w:pPr>
      <w:r>
        <w:rPr>
          <w:lang w:val="pt-PT"/>
        </w:rPr>
        <w:t>Figura 4.3 — Relação entre modelo paramétrico digital, prototipagem e verificação de um dedo protésico.</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ns5:id="rId23">
        <w:r>
          <w:rPr>
            <w:rStyle w:val="Hyperlink"/>
            <w:lang w:val="pt-PT"/>
          </w:rPr>
          <w:t>https://doi.org/10.1109/BioRob60516.2024.10719909</w:t>
        </w:r>
      </w:hyperlink>
    </w:p>
    <w:p>
      <w:pPr>
        <w:pStyle w:val="Normal"/>
        <w:bidi w:val="0"/>
        <w:jc w:val="left"/>
        <w:rPr>
          <w:lang w:val="pt-PT"/>
        </w:rPr>
      </w:pPr>
      <w:r>
        <w:rPr>
          <w:lang w:val="pt-PT"/>
        </w:rPr>
      </w:r>
    </w:p>
    <w:p>
      <w:pPr>
        <w:pStyle w:val="Heading3"/>
        <w:bidi w:val="0"/>
        <w:jc w:val="left"/>
        <w:rPr>
          <w:lang w:val="pt-PT"/>
        </w:rPr>
      </w:pPr>
      <w:r>
        <w:rPr>
          <w:lang w:val="pt-PT"/>
        </w:rPr>
        <w:t>4.3.1 Estrutura técnica, parâmetros e restrições</w:t>
      </w:r>
    </w:p>
    <w:p>
      <w:pPr>
        <w:pStyle w:val="Heading3"/>
        <w:bidi w:val="0"/>
        <w:jc w:val="left"/>
        <w:rPr>
          <w:lang w:val="pt-PT"/>
        </w:rPr>
      </w:pPr>
      <w:r>
        <w:rPr>
          <w:lang w:val="pt-PT"/>
        </w:rPr>
      </w:r>
    </w:p>
    <w:p>
      <w:pPr>
        <w:pStyle w:val="Normal"/>
        <w:bidi w:val="0"/>
        <w:jc w:val="left"/>
        <w:rPr>
          <w:lang w:val="pt-PT"/>
        </w:rPr>
      </w:pPr>
      <w:r>
        <w:rPr>
          <w:lang w:val="pt-PT"/>
        </w:rPr>
        <w:t>Num modelo paramétrico baseado em OpenSCAD, a organização interna pode ser compreendida como uma arquitetura em camadas.</w:t>
      </w:r>
    </w:p>
    <w:p>
      <w:pPr>
        <w:pStyle w:val="Normal"/>
        <w:bidi w:val="0"/>
        <w:jc w:val="left"/>
        <w:rPr>
          <w:lang w:val="pt-PT"/>
        </w:rPr>
      </w:pPr>
      <w:r>
        <w:rPr>
          <w:lang w:val="pt-PT"/>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(#ref-moreo-2016); Nini et al., 2024 (#ref-nini-2024); Saldarriaga et al., 2024 (#ref-saldarriaga-2024)).</w:t>
      </w:r>
    </w:p>
    <w:p>
      <w:pPr>
        <w:pStyle w:val="Normal"/>
        <w:bidi w:val="0"/>
        <w:jc w:val="left"/>
        <w:rPr>
          <w:lang w:val="pt-PT"/>
        </w:rPr>
      </w:pPr>
      <w:r>
        <w:rPr>
          <w:lang w:val="pt-PT"/>
        </w:rPr>
      </w:r>
    </w:p>
    <w:p>
      <w:pPr>
        <w:pStyle w:val="Normal"/>
        <w:bidi w:val="0"/>
        <w:jc w:val="left"/>
        <w:rPr>
          <w:lang w:val="pt-PT"/>
        </w:rPr>
      </w:pPr>
      <w:r>
        <w:rPr>
          <w:lang w:val="pt-PT"/>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comprimentos digitais, perímetro do membro residual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Garantir fabricação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 mínima, folgas, raios mínimos</w:t>
            </w:r>
          </w:p>
        </w:tc>
      </w:tr>
    </w:tbl>
    <w:p>
      <w:pPr>
        <w:pStyle w:val="Normal"/>
        <w:bidi w:val="0"/>
        <w:jc w:val="left"/>
        <w:rPr>
          <w:lang w:val="pt-PT"/>
        </w:rPr>
      </w:pPr>
      <w:r>
        <w:rPr>
          <w:lang w:val="pt-PT"/>
        </w:rPr>
      </w:r>
    </w:p>
    <w:p>
      <w:pPr>
        <w:pStyle w:val="Normal"/>
        <w:bidi w:val="0"/>
        <w:jc w:val="left"/>
        <w:rPr>
          <w:lang w:val="pt-PT"/>
        </w:rPr>
      </w:pPr>
      <w:r>
        <w:rPr>
          <w:lang w:val="pt-PT"/>
        </w:rP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pStyle w:val="Normal"/>
        <w:bidi w:val="0"/>
        <w:jc w:val="left"/>
        <w:rPr>
          <w:lang w:val="pt-PT"/>
        </w:rPr>
      </w:pPr>
      <w:r>
        <w:rPr>
          <w:lang w:val="pt-PT"/>
        </w:rP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Normal"/>
        <w:bidi w:val="0"/>
        <w:jc w:val="left"/>
        <w:rPr>
          <w:lang w:val="pt-PT"/>
        </w:rPr>
      </w:pPr>
      <w:r>
        <w:rPr>
          <w:lang w:val="pt-PT"/>
        </w:rP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lang w:val="pt-PT"/>
        </w:rPr>
      </w:pPr>
      <w:r>
        <w:rPr>
          <w:lang w:val="pt-PT"/>
        </w:rPr>
        <w:t>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Normal"/>
        <w:bidi w:val="0"/>
        <w:jc w:val="left"/>
        <w:rPr>
          <w:lang w:val="pt-PT"/>
        </w:rPr>
      </w:pPr>
      <w:r>
        <w:rPr>
          <w:lang w:val="pt-PT"/>
        </w:rPr>
      </w:r>
    </w:p>
    <w:p>
      <w:pPr>
        <w:pStyle w:val="Heading3"/>
        <w:bidi w:val="0"/>
        <w:jc w:val="left"/>
        <w:rPr>
          <w:lang w:val="pt-PT"/>
        </w:rPr>
      </w:pPr>
      <w:r>
        <w:rPr>
          <w:lang w:val="pt-PT"/>
        </w:rPr>
        <w:t>4.3.2 Análise crítica da abordagem</w:t>
      </w:r>
    </w:p>
    <w:p>
      <w:pPr>
        <w:pStyle w:val="Heading3"/>
        <w:bidi w:val="0"/>
        <w:jc w:val="left"/>
        <w:rPr>
          <w:lang w:val="pt-PT"/>
        </w:rPr>
      </w:pPr>
      <w:r>
        <w:rPr>
          <w:lang w:val="pt-PT"/>
        </w:rPr>
      </w:r>
    </w:p>
    <w:p>
      <w:pPr>
        <w:pStyle w:val="Normal"/>
        <w:bidi w:val="0"/>
        <w:jc w:val="left"/>
        <w:rPr>
          <w:lang w:val="pt-PT"/>
        </w:rPr>
      </w:pPr>
      <w:r>
        <w:rPr>
          <w:lang w:val="pt-PT"/>
        </w:rP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pStyle w:val="Normal"/>
        <w:bidi w:val="0"/>
        <w:jc w:val="left"/>
        <w:rPr/>
      </w:pPr>
      <w:r>
        <w:rPr>
          <w:lang w:val="pt-PT" w:eastAsia="zh-CN" w:bidi="hi-IN"/>
        </w:rPr>
        <w:t xml:space="preserve">Uma segunda vantagem reside na afinidade entre a modelação baseada em código, a automação e a partilha aberta. </w:t>
      </w:r>
      <w:r>
        <w:rP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w:t>
      </w:r>
      <w:r>
        <w:rPr>
          <w:lang w:val="pt-PT" w:eastAsia="zh-CN" w:bidi="hi-IN"/>
        </w:rPr>
        <w:t>Para um projeto que pretende aproximar parametrização, interface e apoio computacional, esta característica é especialmente relevante.</w:t>
      </w:r>
    </w:p>
    <w:p>
      <w:pPr>
        <w:pStyle w:val="Normal"/>
        <w:bidi w:val="0"/>
        <w:jc w:val="left"/>
        <w:rPr/>
      </w:pPr>
      <w:r>
        <w:rPr>
          <w:lang w:val="pt-PT"/>
        </w:rP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rPr/>
        <w:t xml:space="preserve">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Normal"/>
        <w:bidi w:val="0"/>
        <w:jc w:val="left"/>
        <w:rPr/>
      </w:pPr>
      <w:r>
        <w:rP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w:t>
      </w:r>
      <w:r>
        <w:rPr>
          <w:lang w:val="pt-PT"/>
        </w:rP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lang w:val="pt-PT"/>
        </w:rPr>
      </w:pPr>
      <w:r>
        <w:rPr>
          <w:lang w:val="pt-PT"/>
        </w:rPr>
        <w:t>Por fim, importa reconhecer que a robustez da abordagem resulta da articulação entre a geração da geometria e as etapas subsequentes de validação. Mesmo quando a lógica paramétrica é clara e as restrições estão integradas, a confirmação do modelo depende da verificação durante a preparação do modelo para impressão 3D, do controlo dimensional, de eventual simulação estrutural e da observação do comportamento da peça em protótipo.</w:t>
      </w:r>
    </w:p>
    <w:p>
      <w:pPr>
        <w:pStyle w:val="Normal"/>
        <w:bidi w:val="0"/>
        <w:jc w:val="left"/>
        <w:rPr/>
      </w:pPr>
      <w:r>
        <w:rPr>
          <w:lang w:val="pt-PT"/>
        </w:rPr>
        <w:t xml:space="preserve">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rPr/>
        <w:t>É precisamente essa combinação entre explicitação, reexecução e possibilidade de revisão crítica que justifica a sua escolha como base para a modelação paramétrica aqui desenvolvida.</w:t>
      </w:r>
    </w:p>
    <w:p>
      <w:pPr>
        <w:pStyle w:val="Normal"/>
        <w:bidi w:val="0"/>
        <w:jc w:val="left"/>
        <w:rPr>
          <w:lang w:val="pt-PT"/>
        </w:rPr>
      </w:pPr>
      <w:r>
        <w:rPr>
          <w:lang w:val="pt-PT"/>
        </w:rPr>
      </w:r>
    </w:p>
    <w:p>
      <w:pPr>
        <w:pStyle w:val="Heading3"/>
        <w:bidi w:val="0"/>
        <w:jc w:val="left"/>
        <w:rPr>
          <w:lang w:val="pt-PT"/>
        </w:rPr>
      </w:pPr>
      <w:r>
        <w:rPr>
          <w:lang w:val="pt-PT"/>
        </w:rPr>
        <w:t>4.4 Iterações, refinamento e discussão intermédia</w:t>
      </w:r>
    </w:p>
    <w:p>
      <w:pPr>
        <w:pStyle w:val="Heading3"/>
        <w:bidi w:val="0"/>
        <w:jc w:val="left"/>
        <w:rPr>
          <w:lang w:val="pt-PT"/>
        </w:rPr>
      </w:pPr>
      <w:r>
        <w:rPr>
          <w:lang w:val="pt-PT"/>
        </w:rPr>
      </w:r>
    </w:p>
    <w:p>
      <w:pPr>
        <w:pStyle w:val="Normal"/>
        <w:bidi w:val="0"/>
        <w:jc w:val="left"/>
        <w:rPr>
          <w:lang w:val="pt-PT"/>
        </w:rPr>
      </w:pPr>
      <w:commentRangeStart w:id="9"/>
      <w:r>
        <w:rPr>
          <w:lang w:val="pt-PT"/>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Pr>
          <w:lang w:val="pt-PT"/>
        </w:rPr>
      </w:r>
      <w:commentRangeEnd w:id="9"/>
      <w:r>
        <w:commentReference w:id="9"/>
      </w:r>
      <w:r>
        <w:rPr>
          <w:lang w:val="pt-PT"/>
        </w:rP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lang w:val="pt-PT"/>
        </w:rPr>
      </w:pPr>
      <w:r>
        <w:rPr>
          <w:lang w:val="pt-PT"/>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lang w:val="pt-PT"/>
        </w:rPr>
      </w:pPr>
      <w:r>
        <w:rPr>
          <w:lang w:val="pt-PT"/>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lang w:val="pt-PT"/>
        </w:rPr>
        <w:t xml:space="preserve">À medida que a estrutura geral se consolidou, o trabalho iterativo deslocou-se para a decomposição do sistema em módulos relativamente autónomos. </w:t>
      </w:r>
      <w:r>
        <w:rP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commentRangeStart w:id="10"/>
      <w:r>
        <w:rP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commentRangeEnd w:id="10"/>
      <w:r>
        <w:commentReference w:id="10"/>
      </w:r>
      <w:r>
        <w:rPr/>
      </w:r>
    </w:p>
    <w:p>
      <w:pPr>
        <w:pStyle w:val="Normal"/>
        <w:bidi w:val="0"/>
        <w:jc w:val="left"/>
        <w:rPr>
          <w:lang w:val="pt-PT"/>
        </w:rPr>
      </w:pPr>
      <w:r>
        <w:rPr>
          <w:lang w:val="pt-PT"/>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lang w:val="pt-PT"/>
        </w:rPr>
        <w:t xml:space="preserve">Outro eixo central do processo prendeu-se à relação entre personalização e fabricação. </w:t>
      </w:r>
      <w:r>
        <w:rP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rPr>
          <w:lang w:val="pt-PT"/>
        </w:rPr>
        <w:t>.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lang w:val="pt-PT"/>
        </w:rPr>
      </w:pPr>
      <w:r>
        <w:rPr>
          <w:lang w:val="pt-PT"/>
        </w:rP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w:t>
      </w:r>
      <w:r>
        <w:rPr/>
        <w:t>Por essa razão, várias revisões do modelo implicaram reajustes que articularam a correção formal da geometria com a necessidade de manter um equilíbrio plausível entre adaptação dimensional, comportamento funcional e viabilidade material.</w:t>
      </w:r>
    </w:p>
    <w:p>
      <w:pPr>
        <w:pStyle w:val="Normal"/>
        <w:bidi w:val="0"/>
        <w:jc w:val="left"/>
        <w:rPr>
          <w:lang w:val="pt-PT"/>
        </w:rPr>
      </w:pPr>
      <w:r>
        <w:rPr>
          <w:lang w:val="pt-PT"/>
        </w:rPr>
        <w:t>O refinamento correspondeu, assim, a uma negociação contínua entre a simplificação paramétrica e as exigências funcionais e materiais do protótipo.</w:t>
      </w:r>
    </w:p>
    <w:p>
      <w:pPr>
        <w:pStyle w:val="Normal"/>
        <w:bidi w:val="0"/>
        <w:jc w:val="left"/>
        <w:rPr>
          <w:lang w:val="pt-PT"/>
        </w:rPr>
      </w:pPr>
      <w:r>
        <w:rPr>
          <w:lang w:val="pt-PT"/>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lang w:val="pt-PT"/>
        </w:rPr>
      </w:pPr>
      <w:r>
        <w:rPr>
          <w:lang w:val="pt-PT"/>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bidi w:val="0"/>
        <w:jc w:val="left"/>
        <w:rPr>
          <w:lang w:val="pt-PT"/>
        </w:rPr>
      </w:pPr>
      <w:r>
        <w:rPr>
          <w:lang w:val="pt-PT"/>
        </w:rPr>
      </w:r>
    </w:p>
    <w:p>
      <w:pPr>
        <w:pStyle w:val="Heading2"/>
        <w:bidi w:val="0"/>
        <w:jc w:val="left"/>
        <w:rPr>
          <w:lang w:val="pt-PT"/>
        </w:rPr>
      </w:pPr>
      <w:r>
        <w:rPr>
          <w:lang w:val="pt-PT"/>
        </w:rPr>
        <w:t>Capítulo 5 — Plataforma Web e Integração Digital</w:t>
      </w:r>
    </w:p>
    <w:p>
      <w:pPr>
        <w:pStyle w:val="Heading3"/>
        <w:bidi w:val="0"/>
        <w:jc w:val="left"/>
        <w:rPr>
          <w:lang w:val="pt-PT"/>
        </w:rPr>
      </w:pPr>
      <w:r>
        <w:rPr>
          <w:lang w:val="pt-PT"/>
        </w:rPr>
      </w:r>
    </w:p>
    <w:p>
      <w:pPr>
        <w:pStyle w:val="Heading3"/>
        <w:bidi w:val="0"/>
        <w:jc w:val="left"/>
        <w:rPr>
          <w:lang w:val="pt-PT"/>
        </w:rPr>
      </w:pPr>
      <w:r>
        <w:rPr>
          <w:lang w:val="pt-PT"/>
        </w:rPr>
        <w:t>5.1 Enquadramento conceptual e perfis de utilizador</w:t>
      </w:r>
    </w:p>
    <w:p>
      <w:pPr>
        <w:pStyle w:val="Heading3"/>
        <w:bidi w:val="0"/>
        <w:jc w:val="left"/>
        <w:rPr>
          <w:lang w:val="pt-PT"/>
        </w:rPr>
      </w:pPr>
      <w:r>
        <w:rPr>
          <w:lang w:val="pt-PT"/>
        </w:rPr>
      </w:r>
    </w:p>
    <w:p>
      <w:pPr>
        <w:pStyle w:val="Normal"/>
        <w:bidi w:val="0"/>
        <w:jc w:val="left"/>
        <w:rPr/>
      </w:pPr>
      <w:r>
        <w:rPr>
          <w:lang w:val="pt-PT"/>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rP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pStyle w:val="Normal"/>
        <w:bidi w:val="0"/>
        <w:jc w:val="left"/>
        <w:rPr>
          <w:lang w:val="pt-PT"/>
        </w:rPr>
      </w:pPr>
      <w:r>
        <w:rPr>
          <w:lang w:val="pt-PT"/>
        </w:rP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Normal"/>
        <w:bidi w:val="0"/>
        <w:jc w:val="left"/>
        <w:rPr>
          <w:lang w:val="pt-PT"/>
        </w:rPr>
      </w:pPr>
      <w:r>
        <w:rPr>
          <w:lang w:val="pt-PT"/>
        </w:rPr>
        <w:t>Em vez de exigir que cada interveniente compreenda a estrutura interna do ficheiro OpenSCAD, o sistema disponibiliza uma camada de interação mais acessível, baseada em controlos paramétricos, pré-visualização tridimensional e gestão de configurações.</w:t>
      </w:r>
    </w:p>
    <w:p>
      <w:pPr>
        <w:pStyle w:val="Normal"/>
        <w:bidi w:val="0"/>
        <w:jc w:val="left"/>
        <w:rPr>
          <w:lang w:val="pt-PT"/>
        </w:rPr>
      </w:pPr>
      <w:r>
        <w:rPr>
          <w:lang w:val="pt-PT"/>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w:t>
      </w:r>
      <w:commentRangeStart w:id="11"/>
      <w:r>
        <w:rPr>
          <w:lang w:val="pt-PT"/>
        </w:rPr>
        <w:t>ivamente técnica (Peixoto et al., 2025 (#ref-peixoto-2025)).</w:t>
      </w:r>
      <w:commentRangeEnd w:id="11"/>
      <w:r>
        <w:commentReference w:id="11"/>
      </w:r>
      <w:r>
        <w:rPr>
          <w:lang w:val="pt-PT"/>
        </w:rPr>
      </w:r>
    </w:p>
    <w:p>
      <w:pPr>
        <w:pStyle w:val="Normal"/>
        <w:bidi w:val="0"/>
        <w:jc w:val="left"/>
        <w:rPr>
          <w:lang w:val="pt-PT"/>
        </w:rPr>
      </w:pPr>
      <w:r>
        <w:rPr>
          <w:lang w:val="pt-PT"/>
        </w:rPr>
      </w:r>
    </w:p>
    <w:p>
      <w:pPr>
        <w:pStyle w:val="Normal"/>
        <w:bidi w:val="0"/>
        <w:jc w:val="left"/>
        <w:rPr>
          <w:lang w:val="pt-PT"/>
        </w:rPr>
      </w:pPr>
      <w:r>
        <w:rPr>
          <w:lang w:val="pt-PT"/>
        </w:rPr>
        <w:drawing>
          <ns2:anchor distT="0" distB="0" distL="0" distR="0" simplePos="0" relativeHeight="21" behindDoc="0" locked="0" layoutInCell="0" allowOverlap="1">
            <ns2:simplePos x="0" y="0"/>
            <ns2:positionH relativeFrom="column">
              <ns2:align>center</ns2:align>
            </ns2:positionH>
            <ns2:positionV relativeFrom="paragraph">
              <ns2:posOffset>635</ns2:posOffset>
            </ns2:positionV>
            <ns2:extent cx="5731510" cy="2687955"/>
            <ns2:effectExtent l="0" t="0" r="0" b="0"/>
            <ns2:wrapSquare wrapText="largest"/>
            <ns2:docPr id="15" name="Image20"/>
            <ns2:cNvGraphicFramePr>
              <ns3:graphicFrameLocks noChangeAspect="1"/>
            </ns2:cNvGraphicFramePr>
            <ns3:graphic>
              <ns3:graphicData uri="http://schemas.openxmlformats.org/drawingml/2006/picture">
                <ns4:pic>
                  <ns4:nvPicPr>
                    <ns4:cNvPr id="15" name="Image20"/>
                    <ns4:cNvPicPr>
                      <ns3:picLocks noChangeAspect="1" noChangeArrowheads="1"/>
                    </ns4:cNvPicPr>
                  </ns4:nvPicPr>
                  <ns4:blipFill>
                    <ns3:blip ns5:embed="rId24"/>
                    <ns3:stretch>
                      <ns3:fillRect/>
                    </ns3:stretch>
                  </ns4:blipFill>
                  <ns4:spPr bwMode="auto">
                    <ns3:xfrm>
                      <ns3:off x="0" y="0"/>
                      <ns3:ext cx="5731510" cy="2687955"/>
                    </ns3:xfrm>
                    <ns3:prstGeom prst="rect">
                      <ns3:avLst/>
                    </ns3:prstGeom>
                    <ns3:noFill/>
                  </ns4:spPr>
                </ns4:pic>
              </ns3:graphicData>
            </ns3:graphic>
          </ns2:anchor>
        </w:drawing>
      </w:r>
    </w:p>
    <w:p>
      <w:pPr>
        <w:pStyle w:val="Normal"/>
        <w:bidi w:val="0"/>
        <w:jc w:val="left"/>
        <w:rPr>
          <w:lang w:val="pt-PT"/>
        </w:rPr>
      </w:pPr>
      <w:r>
        <w:rPr>
          <w:lang w:val="pt-PT"/>
        </w:rPr>
        <w:t>Figura 5.1 — Fluxo geral de produção personalizada de próteses a partir de plataforma web – Hand Fab</w:t>
      </w:r>
    </w:p>
    <w:p>
      <w:pPr>
        <w:pStyle w:val="Normal"/>
        <w:bidi w:val="0"/>
        <w:jc w:val="left"/>
        <w:rPr>
          <w:lang w:val="pt-PT"/>
        </w:rPr>
      </w:pPr>
      <w:r>
        <w:rPr>
          <w:lang w:val="pt-PT"/>
        </w:rPr>
        <w:t>Produção própria</w:t>
      </w:r>
    </w:p>
    <w:p>
      <w:pPr>
        <w:pStyle w:val="Normal"/>
        <w:bidi w:val="0"/>
        <w:jc w:val="left"/>
        <w:rPr>
          <w:lang w:val="pt-PT"/>
        </w:rPr>
      </w:pPr>
      <w:r>
        <w:rPr>
          <w:lang w:val="pt-PT"/>
        </w:rPr>
      </w:r>
    </w:p>
    <w:p>
      <w:pPr>
        <w:pStyle w:val="Normal"/>
        <w:bidi w:val="0"/>
        <w:jc w:val="left"/>
        <w:rPr>
          <w:lang w:val="pt-PT"/>
        </w:rPr>
      </w:pPr>
      <w:r>
        <w:rPr>
          <w:lang w:val="pt-PT"/>
        </w:rP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Normal"/>
        <w:bidi w:val="0"/>
        <w:jc w:val="left"/>
        <w:rPr>
          <w:lang w:val="pt-PT"/>
        </w:rPr>
      </w:pPr>
      <w:r>
        <w:rPr>
          <w:lang w:val="pt-PT"/>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lang w:val="pt-PT"/>
        </w:rPr>
      </w:pPr>
      <w:r>
        <w:rPr>
          <w:lang w:val="pt-PT"/>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Normal"/>
        <w:bidi w:val="0"/>
        <w:jc w:val="left"/>
        <w:rPr/>
      </w:pPr>
      <w:r>
        <w:rPr>
          <w:lang w:val="pt-PT"/>
        </w:rPr>
        <w:t xml:space="preserve">O perfil de administrador assegura a gestão global da plataforma, incluindo a criação de contas, a definição de permissões e a supervisão do ecossistema de configurações, incluindo da base de dados antropométricos. </w:t>
      </w:r>
      <w:r>
        <w:rP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rPr>
          <w:lang w:val="pt-PT"/>
        </w:rPr>
        <w:t xml:space="preserve"> O perfil de utilizador corresponde ao nível mais restrito, centrado na consulta das suas configurações, no acompanhamento do processo e em interações delimitadas pelo sistema.</w:t>
      </w:r>
    </w:p>
    <w:p>
      <w:pPr>
        <w:pStyle w:val="Normal"/>
        <w:bidi w:val="0"/>
        <w:jc w:val="left"/>
        <w:rPr>
          <w:lang w:val="pt-PT"/>
        </w:rPr>
      </w:pPr>
      <w:r>
        <w:rPr>
          <w:lang w:val="pt-PT"/>
        </w:rPr>
        <w:t>Esta segmentação traduz uma lógica de controlo de acesso baseada em papéis, procurando equilibrar autonomia, segurança e responsabilidade distribuída, ao tornar claros os limites de intervenção de cada perfil. Importa sublinhar que esta diferenciação não se limita a uma decisão administrativa, participando diretamente na forma como a plataforma enquadra a personalização.</w:t>
      </w:r>
    </w:p>
    <w:p>
      <w:pPr>
        <w:pStyle w:val="Normal"/>
        <w:bidi w:val="0"/>
        <w:jc w:val="left"/>
        <w:rPr>
          <w:lang w:val="pt-PT"/>
        </w:rPr>
      </w:pPr>
      <w:r>
        <w:rPr>
          <w:lang w:val="pt-PT"/>
        </w:rP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lang w:val="pt-PT"/>
        </w:rP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rP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bidi w:val="0"/>
        <w:jc w:val="left"/>
        <w:rPr>
          <w:lang w:val="pt-PT"/>
        </w:rPr>
      </w:pPr>
      <w:r>
        <w:rPr>
          <w:lang w:val="pt-PT"/>
        </w:rPr>
      </w:r>
    </w:p>
    <w:p>
      <w:pPr>
        <w:pStyle w:val="Heading3"/>
        <w:bidi w:val="0"/>
        <w:jc w:val="left"/>
        <w:rPr>
          <w:lang w:val="pt-PT"/>
        </w:rPr>
      </w:pPr>
      <w:r>
        <w:rPr>
          <w:lang w:val="pt-PT"/>
        </w:rPr>
        <w:t>5.2 Arquitetura geral do sistema</w:t>
      </w:r>
    </w:p>
    <w:p>
      <w:pPr>
        <w:pStyle w:val="Normal"/>
        <w:bidi w:val="0"/>
        <w:jc w:val="left"/>
        <w:rPr>
          <w:lang w:val="pt-PT"/>
        </w:rPr>
      </w:pPr>
      <w:r>
        <w:rPr>
          <w:lang w:val="pt-PT"/>
        </w:rPr>
      </w:r>
    </w:p>
    <w:p>
      <w:pPr>
        <w:pStyle w:val="Normal"/>
        <w:bidi w:val="0"/>
        <w:jc w:val="left"/>
        <w:rPr>
          <w:lang w:val="pt-PT"/>
        </w:rPr>
      </w:pPr>
      <w:r>
        <w:rPr>
          <w:lang w:val="pt-PT"/>
        </w:rPr>
        <w:t xml:space="preserve">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w:t>
      </w:r>
      <w:r>
        <w:rPr/>
        <w:t>Em termos conceptuais, esta separação prolonga a lógica já discutida nas secções anteriores: a personalização digital exige sistemas suficientemente configuráveis para acomodar a variação, mas também suficientemente estruturados para preservar a coerência, documentar decisões e facilitar a manutenção</w:t>
      </w:r>
      <w:r>
        <w:rPr>
          <w:lang w:val="pt-PT"/>
        </w:rPr>
        <w:t xml:space="preserve"> (Ozdemir et al., 2022 (#ref-ozdemir-2022); Lei et al., 2016 (#ref-lei-2016)).</w:t>
      </w:r>
    </w:p>
    <w:p>
      <w:pPr>
        <w:pStyle w:val="Normal"/>
        <w:bidi w:val="0"/>
        <w:jc w:val="left"/>
        <w:rPr>
          <w:lang w:val="pt-PT"/>
        </w:rPr>
      </w:pPr>
      <w:r>
        <w:rPr>
          <w:lang w:val="pt-PT"/>
        </w:rPr>
        <w:t>A Figura 5.2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lang w:val="pt-PT"/>
        </w:rPr>
      </w:pPr>
      <w:r>
        <w:rPr/>
        <w:drawing>
          <ns2:inline distT="0" distB="0" distL="0" distR="0">
            <ns2:extent cx="5715000" cy="3238500"/>
            <ns2:effectExtent l="0" t="0" r="0" b="0"/>
            <ns2:docPr id="16" name="Image 15" descr="Image 15"/>
            <ns2:cNvGraphicFramePr>
              <ns3:graphicFrameLocks noChangeAspect="1"/>
            </ns2:cNvGraphicFramePr>
            <ns3:graphic>
              <ns3:graphicData uri="http://schemas.openxmlformats.org/drawingml/2006/picture">
                <ns4:pic>
                  <ns4:nvPicPr>
                    <ns4:cNvPr id="16" name="Image 15" descr="Image 15"/>
                    <ns4:cNvPicPr>
                      <ns3:picLocks noChangeAspect="1" noChangeArrowheads="1"/>
                    </ns4:cNvPicPr>
                  </ns4:nvPicPr>
                  <ns4:blipFill>
                    <ns3:blip ns5:embed="rId25"/>
                    <ns3:stretch>
                      <ns3:fillRect/>
                    </ns3:stretch>
                  </ns4:blipFill>
                  <ns4:spPr bwMode="auto">
                    <ns3:xfrm>
                      <ns3:off x="0" y="0"/>
                      <ns3:ext cx="5715000" cy="3238500"/>
                    </ns3:xfrm>
                    <ns3:prstGeom prst="rect">
                      <ns3:avLst/>
                    </ns3:prstGeom>
                    <ns3:noFill/>
                  </ns4:spPr>
                </ns4:pic>
              </ns3:graphicData>
            </ns3:graphic>
          </ns2:inline>
        </w:drawing>
      </w:r>
    </w:p>
    <w:p>
      <w:pPr>
        <w:pStyle w:val="Normal"/>
        <w:bidi w:val="0"/>
        <w:jc w:val="left"/>
        <w:rPr>
          <w:lang w:val="pt-PT"/>
        </w:rPr>
      </w:pPr>
      <w:r>
        <w:rPr>
          <w:lang w:val="pt-PT"/>
        </w:rPr>
        <w:t>Figura 5.2 — Fluxo geral de produção personalizada de próteses a partir de digitalização, CAD adaptativo e fabrico aditivo.</w:t>
      </w:r>
    </w:p>
    <w:p>
      <w:pPr>
        <w:pStyle w:val="Normal"/>
        <w:bidi w:val="0"/>
        <w:jc w:val="left"/>
        <w:rPr>
          <w:lang w:val="pt-PT"/>
        </w:rPr>
      </w:pPr>
      <w:r>
        <w:rPr>
          <w:lang w:val="pt-PT"/>
        </w:rPr>
        <w:t xml:space="preserve">Fonte original: Górski, F., Zawadzki, P., Wichniarek, R., Kuczko, W., Słupińska, S., &amp; Żukowska, M. (2022). Automated design and rapid manufacturing of low-cost customized upper limb prostheses. Journal of Physics: Conference Series, 2198, 012040. </w:t>
      </w:r>
      <w:hyperlink ns5:id="rId26">
        <w:r>
          <w:rPr>
            <w:rStyle w:val="Hyperlink"/>
            <w:lang w:val="pt-PT"/>
          </w:rPr>
          <w:t>https://doi.org/10.1088/1742-6596/2198/1/012040</w:t>
        </w:r>
      </w:hyperlink>
    </w:p>
    <w:p>
      <w:pPr>
        <w:pStyle w:val="Normal"/>
        <w:bidi w:val="0"/>
        <w:jc w:val="left"/>
        <w:rPr>
          <w:lang w:val="pt-PT"/>
        </w:rPr>
      </w:pPr>
      <w:r>
        <w:rPr>
          <w:lang w:val="pt-PT"/>
        </w:rPr>
      </w:r>
    </w:p>
    <w:p>
      <w:pPr>
        <w:pStyle w:val="Normal"/>
        <w:bidi w:val="0"/>
        <w:jc w:val="left"/>
        <w:rPr/>
      </w:pPr>
      <w:r>
        <w:rPr>
          <w:lang w:val="pt-PT"/>
        </w:rPr>
        <w:t xml:space="preserve">No navegador do utilizador, a aplicação integra os componentes responsáveis pela interface, pela recolha e edição de parâmetros, pela gestão do estado da sessão e pela visualização local dos modelos. </w:t>
      </w:r>
      <w:r>
        <w:rP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rPr>
          <w:lang w:val="pt-PT"/>
        </w:rP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i/>
          <w:iCs/>
          <w:lang w:val="pt-PT"/>
        </w:rPr>
        <w:t>frontend</w:t>
      </w:r>
      <w:r>
        <w:rPr>
          <w:lang w:val="pt-PT"/>
        </w:rPr>
        <w:t>) e “retaguarda” (</w:t>
      </w:r>
      <w:r>
        <w:rPr>
          <w:i/>
          <w:iCs/>
          <w:lang w:val="pt-PT"/>
        </w:rPr>
        <w:t>backend</w:t>
      </w:r>
      <w:r>
        <w:rPr>
          <w:lang w:val="pt-PT"/>
        </w:rPr>
        <w:t>), mas sim a uma estratégia de contenção da complexidade e de delimitação explícita de responsabilidades.</w:t>
      </w:r>
    </w:p>
    <w:p>
      <w:pPr>
        <w:pStyle w:val="Normal"/>
        <w:bidi w:val="0"/>
        <w:jc w:val="left"/>
        <w:rPr>
          <w:lang w:val="pt-PT"/>
        </w:rPr>
      </w:pPr>
      <w:r>
        <w:rPr>
          <w:lang w:val="pt-PT"/>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pStyle w:val="Normal"/>
        <w:bidi w:val="0"/>
        <w:jc w:val="left"/>
        <w:rPr>
          <w:lang w:val="pt-PT"/>
        </w:rPr>
      </w:pPr>
      <w:r>
        <w:rPr>
          <w:lang w:val="pt-PT"/>
        </w:rP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lang w:val="pt-PT"/>
        </w:rPr>
        <w:t>backen</w:t>
      </w:r>
      <w:r>
        <w:rPr>
          <w:lang w:val="pt-PT"/>
        </w:rP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lang w:val="pt-PT"/>
        </w:rPr>
      </w:pPr>
      <w:r>
        <w:rPr>
          <w:lang w:val="pt-PT"/>
        </w:rP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Normal"/>
        <w:bidi w:val="0"/>
        <w:jc w:val="left"/>
        <w:rPr>
          <w:lang w:val="pt-PT"/>
        </w:rPr>
      </w:pPr>
      <w:r>
        <w:rPr>
          <w:lang w:val="pt-PT"/>
        </w:rPr>
        <w:t xml:space="preserve">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w:t>
      </w:r>
      <w:r>
        <w:rPr/>
        <w:t>Neste sentido, a arquitetura traduz uma opção por robustez e capacidade de expansão controlada, ao articular os diferentes componentes numa estrutura técnica coerente com os requisitos de personalização assistida, gestão multiutilizador e evolução futura da plataforma.</w:t>
      </w:r>
    </w:p>
    <w:p>
      <w:pPr>
        <w:pStyle w:val="Heading3"/>
        <w:bidi w:val="0"/>
        <w:jc w:val="left"/>
        <w:rPr>
          <w:lang w:val="pt-PT"/>
        </w:rPr>
      </w:pPr>
      <w:r>
        <w:rPr>
          <w:lang w:val="pt-PT"/>
        </w:rPr>
      </w:r>
    </w:p>
    <w:p>
      <w:pPr>
        <w:pStyle w:val="Heading3"/>
        <w:bidi w:val="0"/>
        <w:jc w:val="left"/>
        <w:rPr>
          <w:lang w:val="pt-PT"/>
        </w:rPr>
      </w:pPr>
      <w:r>
        <w:rPr>
          <w:lang w:val="pt-PT"/>
        </w:rPr>
        <w:t>5.3 Integração OpenSCAD via WebAssembly (WASM)</w:t>
      </w:r>
    </w:p>
    <w:p>
      <w:pPr>
        <w:pStyle w:val="Normal"/>
        <w:bidi w:val="0"/>
        <w:jc w:val="left"/>
        <w:rPr>
          <w:lang w:val="pt-PT"/>
        </w:rPr>
      </w:pPr>
      <w:r>
        <w:rPr>
          <w:lang w:val="pt-PT"/>
        </w:rPr>
      </w:r>
    </w:p>
    <w:p>
      <w:pPr>
        <w:pStyle w:val="Normal"/>
        <w:bidi w:val="0"/>
        <w:jc w:val="left"/>
        <w:rPr>
          <w:lang w:val="pt-PT"/>
        </w:rPr>
      </w:pPr>
      <w:r>
        <w:rPr>
          <w:lang w:val="pt-PT"/>
        </w:rP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lang w:val="pt-PT"/>
        </w:rPr>
      </w:pPr>
      <w:r>
        <w:rPr>
          <w:lang w:val="pt-PT"/>
        </w:rPr>
        <w:t xml:space="preserve">Operacionalmente, a integração articula três elementos principais: os ficheiros </w:t>
      </w:r>
      <w:r>
        <w:rPr>
          <w:rStyle w:val="SourceText"/>
          <w:lang w:val="pt-PT"/>
        </w:rPr>
        <w:t>.scad</w:t>
      </w:r>
      <w:r>
        <w:rPr>
          <w:lang w:val="pt-PT"/>
        </w:rPr>
        <w:t xml:space="preserve">, formato de script utilizado pelo OpenSCAD para definir modelos geométricos por código; os parâmetros introduzidos ou ajustados na interface; e o ambiente de execução em WebAssembly. Quando o utilizador altera uma configuração, a plataforma envia os valores atualizados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w:t>
      </w:r>
      <w:r>
        <w:rPr/>
        <w:t>Este fluxo estabelece uma ligação direta entre edição paramétrica, cálculo geométrico e feedback visual, permitindo que o processo seja documentado, verificado e revisto dentro da própria plataforma.</w:t>
      </w:r>
    </w:p>
    <w:p>
      <w:pPr>
        <w:pStyle w:val="Normal"/>
        <w:bidi w:val="0"/>
        <w:jc w:val="left"/>
        <w:rPr>
          <w:lang w:val="pt-PT"/>
        </w:rPr>
      </w:pPr>
      <w:r>
        <w:rPr>
          <w:lang w:val="pt-PT"/>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lang w:val="pt-PT"/>
        </w:rPr>
      </w:pPr>
      <w:r>
        <w:rPr>
          <w:lang w:val="pt-PT"/>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lang w:val="pt-PT"/>
        </w:rPr>
      </w:pPr>
      <w:r>
        <w:rPr>
          <w:lang w:val="pt-PT"/>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lang w:val="pt-PT"/>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w:t>
      </w:r>
      <w:r>
        <w:rPr/>
        <w:t>O valor da solução reside, por isso, menos numa promessa de desempenho absoluto e mais na capacidade de tornar executável, em ambiente web, um núcleo paramétrico explícito, verificável e sujeito a revisão crítica.</w:t>
      </w:r>
    </w:p>
    <w:p>
      <w:pPr>
        <w:pStyle w:val="Normal"/>
        <w:bidi w:val="0"/>
        <w:jc w:val="left"/>
        <w:rPr>
          <w:lang w:val="pt-PT"/>
        </w:rPr>
      </w:pPr>
      <w:r>
        <w:rPr>
          <w:lang w:val="pt-PT"/>
        </w:rPr>
      </w:r>
    </w:p>
    <w:p>
      <w:pPr>
        <w:pStyle w:val="Heading3"/>
        <w:bidi w:val="0"/>
        <w:jc w:val="left"/>
        <w:rPr>
          <w:lang w:val="pt-PT"/>
        </w:rPr>
      </w:pPr>
      <w:r>
        <w:rPr>
          <w:lang w:val="pt-PT"/>
        </w:rPr>
        <w:t>5.4 Estrutura funcional da plataforma</w:t>
      </w:r>
    </w:p>
    <w:p>
      <w:pPr>
        <w:pStyle w:val="Heading3"/>
        <w:bidi w:val="0"/>
        <w:jc w:val="left"/>
        <w:rPr>
          <w:lang w:val="pt-PT"/>
        </w:rPr>
      </w:pPr>
      <w:r>
        <w:rPr>
          <w:lang w:val="pt-PT"/>
        </w:rPr>
      </w:r>
    </w:p>
    <w:p>
      <w:pPr>
        <w:pStyle w:val="Normal"/>
        <w:bidi w:val="0"/>
        <w:jc w:val="left"/>
        <w:rPr>
          <w:lang w:val="pt-PT"/>
        </w:rPr>
      </w:pPr>
      <w:r>
        <w:rPr>
          <w:lang w:val="pt-PT"/>
        </w:rPr>
        <w:t>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w:t>
      </w:r>
      <w:r>
        <w:rPr/>
        <w:t>Esta organização modular permite distribuir as funcionalidades da plataforma, ao mesmo tempo que estrutura o processo de personalização como uma sequência legível de operações.</w:t>
      </w:r>
    </w:p>
    <w:p>
      <w:pPr>
        <w:pStyle w:val="Normal"/>
        <w:bidi w:val="0"/>
        <w:jc w:val="left"/>
        <w:rPr>
          <w:lang w:val="pt-PT"/>
        </w:rPr>
      </w:pPr>
      <w:r>
        <w:rPr>
          <w:lang w:val="pt-PT"/>
        </w:rPr>
        <w:t xml:space="preserve"> </w:t>
      </w:r>
      <w:r>
        <w:rPr>
          <w:lang w:val="pt-PT"/>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lang w:val="pt-PT"/>
        </w:rPr>
        <w:t>feedback</w:t>
      </w:r>
      <w:r>
        <w:rPr>
          <w:lang w:val="pt-PT"/>
        </w:rPr>
        <w:t xml:space="preserve"> com decisão (Ozdemir et al., 2022 (#ref-ozdemir-2022); Peixoto et al., 2025 (#ref-peixoto-2025)).</w:t>
      </w:r>
    </w:p>
    <w:p>
      <w:pPr>
        <w:pStyle w:val="Normal"/>
        <w:bidi w:val="0"/>
        <w:jc w:val="left"/>
        <w:rPr/>
      </w:pPr>
      <w:r>
        <w:rPr>
          <w:lang w:val="pt-PT"/>
        </w:rPr>
        <w:t xml:space="preserve">A Figura 5.3 ilustra um precedente particularmente próximo desta lógica: uma ferramenta paramétrica orientada a terapeutas ocupacionais, na qual múltiplas variantes de produto podem ser configuradas a partir de dimensões, materiais e pesos ajustáveis. </w:t>
      </w:r>
      <w:r>
        <w:rPr/>
        <w:t>A sua pertinência para esta dissertação reside em demonstrar que a parametrização ganha valor quando é mediada por uma interface acessível a profissionais que não são necessariamente especialistas em modelação CAD.</w:t>
      </w:r>
    </w:p>
    <w:p>
      <w:pPr>
        <w:pStyle w:val="Normal"/>
        <w:bidi w:val="0"/>
        <w:jc w:val="left"/>
        <w:rPr>
          <w:lang w:val="pt-PT"/>
        </w:rPr>
      </w:pPr>
      <w:r>
        <w:rPr>
          <w:lang w:val="pt-PT"/>
        </w:rPr>
        <w:t>(Li &amp; Aflatoony, 2025 (#ref-li-aflatoony-2025)).</w:t>
      </w:r>
    </w:p>
    <w:p>
      <w:pPr>
        <w:pStyle w:val="Normal"/>
        <w:bidi w:val="0"/>
        <w:jc w:val="left"/>
        <w:rPr>
          <w:lang w:val="pt-PT"/>
        </w:rPr>
      </w:pPr>
      <w:r>
        <w:rPr/>
        <w:drawing>
          <ns2:inline distT="0" distB="0" distL="0" distR="0">
            <ns2:extent cx="5715000" cy="4657725"/>
            <ns2:effectExtent l="0" t="0" r="0" b="0"/>
            <ns2:docPr id="17" name="Image 16" descr="Image 16"/>
            <ns2:cNvGraphicFramePr>
              <ns3:graphicFrameLocks noChangeAspect="1"/>
            </ns2:cNvGraphicFramePr>
            <ns3:graphic>
              <ns3:graphicData uri="http://schemas.openxmlformats.org/drawingml/2006/picture">
                <ns4:pic>
                  <ns4:nvPicPr>
                    <ns4:cNvPr id="17" name="Image 16" descr="Image 16"/>
                    <ns4:cNvPicPr>
                      <ns3:picLocks noChangeAspect="1" noChangeArrowheads="1"/>
                    </ns4:cNvPicPr>
                  </ns4:nvPicPr>
                  <ns4:blipFill>
                    <ns3:blip ns5:embed="rId27"/>
                    <ns3:stretch>
                      <ns3:fillRect/>
                    </ns3:stretch>
                  </ns4:blipFill>
                  <ns4:spPr bwMode="auto">
                    <ns3:xfrm>
                      <ns3:off x="0" y="0"/>
                      <ns3:ext cx="5715000" cy="4657725"/>
                    </ns3:xfrm>
                    <ns3:prstGeom prst="rect">
                      <ns3:avLst/>
                    </ns3:prstGeom>
                    <ns3:noFill/>
                  </ns4:spPr>
                </ns4:pic>
              </ns3:graphicData>
            </ns3:graphic>
          </ns2:inline>
        </w:drawing>
      </w:r>
    </w:p>
    <w:p>
      <w:pPr>
        <w:pStyle w:val="Normal"/>
        <w:bidi w:val="0"/>
        <w:jc w:val="left"/>
        <w:rPr>
          <w:lang w:val="pt-PT"/>
        </w:rPr>
      </w:pPr>
      <w:r>
        <w:rPr>
          <w:lang w:val="pt-PT"/>
        </w:rPr>
        <w:t>Figura 5.3 — Ferramenta paramétrica para configuração de ajudas técnicas com variação de dimensões, materiais e peso.</w:t>
      </w:r>
    </w:p>
    <w:p>
      <w:pPr>
        <w:pStyle w:val="Normal"/>
        <w:bidi w:val="0"/>
        <w:jc w:val="left"/>
        <w:rPr>
          <w:lang w:val="pt-PT"/>
        </w:rPr>
      </w:pPr>
      <w:r>
        <w:rPr>
          <w:lang w:val="pt-PT"/>
        </w:rPr>
        <w:t xml:space="preserve">Fonte original: Li, M., &amp; Aflatoony, L. (2025). Parametric design and three-dimensional printing: Enabling occupational therapists to develop custom hand grips. Disability and Rehabilitation: Assistive Technology, 20(6), 1829-1837. </w:t>
      </w:r>
      <w:hyperlink ns5:id="rId28">
        <w:r>
          <w:rPr>
            <w:rStyle w:val="Hyperlink"/>
            <w:lang w:val="pt-PT"/>
          </w:rPr>
          <w:t>https://doi.org/10.1080/17483107.2025.2483953</w:t>
        </w:r>
      </w:hyperlink>
    </w:p>
    <w:p>
      <w:pPr>
        <w:pStyle w:val="Normal"/>
        <w:bidi w:val="0"/>
        <w:jc w:val="left"/>
        <w:rPr>
          <w:lang w:val="pt-PT"/>
        </w:rPr>
      </w:pPr>
      <w:r>
        <w:rPr>
          <w:lang w:val="pt-PT"/>
        </w:rPr>
      </w:r>
    </w:p>
    <w:p>
      <w:pPr>
        <w:pStyle w:val="Normal"/>
        <w:bidi w:val="0"/>
        <w:jc w:val="left"/>
        <w:rPr>
          <w:lang w:val="pt-PT"/>
        </w:rPr>
      </w:pPr>
      <w:r>
        <w:rPr>
          <w:lang w:val="pt-PT"/>
        </w:rP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lang w:val="pt-PT"/>
        </w:rPr>
      </w:pPr>
      <w:r>
        <w:rPr>
          <w:lang w:val="pt-PT"/>
        </w:rP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commentRangeStart w:id="12"/>
      <w:r>
        <w:rPr>
          <w:lang w:val="pt-PT"/>
        </w:rPr>
        <w:t>STL ou 3MF</w:t>
      </w:r>
      <w:r>
        <w:rPr>
          <w:lang w:val="pt-PT"/>
        </w:rPr>
      </w:r>
      <w:commentRangeEnd w:id="12"/>
      <w:r>
        <w:commentReference w:id="12"/>
      </w:r>
      <w:r>
        <w:rPr>
          <w:lang w:val="pt-PT"/>
        </w:rP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lang w:val="pt-PT"/>
        </w:rPr>
      </w:pPr>
      <w:r>
        <w:rPr>
          <w:lang w:val="pt-PT"/>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lang w:val="pt-PT"/>
        </w:rPr>
      </w:pPr>
      <w:r>
        <w:rPr>
          <w:lang w:val="pt-PT"/>
        </w:rP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lang w:val="pt-PT"/>
        </w:rPr>
        <w:t>human-in-the-loop</w:t>
      </w:r>
      <w:r>
        <w:rPr>
          <w:rStyle w:val="FootnoteReference"/>
          <w:i/>
          <w:iCs/>
          <w:lang w:val="pt-PT"/>
        </w:rPr>
        <w:footnoteReference w:id="16"/>
      </w:r>
      <w:r>
        <w:rPr>
          <w:lang w:val="pt-PT"/>
        </w:rPr>
        <w:t xml:space="preserve"> assumida no projeto.</w:t>
      </w:r>
    </w:p>
    <w:p>
      <w:pPr>
        <w:pStyle w:val="Normal"/>
        <w:bidi w:val="0"/>
        <w:jc w:val="left"/>
        <w:rPr/>
      </w:pPr>
      <w:r>
        <w:rPr>
          <w:lang w:val="pt-PT"/>
        </w:rPr>
        <w:t xml:space="preserve">A evolução posterior do módulo acrescentou uma ancoragem opcional em dados populacionais. Quando o </w:t>
      </w:r>
      <w:r>
        <w:rPr>
          <w:i/>
          <w:iCs/>
          <w:lang w:val="pt-PT"/>
        </w:rPr>
        <w:t>frontend</w:t>
      </w:r>
      <w:r>
        <w:rPr>
          <w:lang w:val="pt-PT"/>
        </w:rP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rPr/>
        <w:t>O bloco de referência é então anexado ao pedido enviado à IA como ponto de ancoragem quantitativo, permitindo orientar a sugestão paramétrica sem se sobrepor a medições diretamente fornecidas pelo utilizador.</w:t>
      </w:r>
      <w:r>
        <w:rPr>
          <w:lang w:val="pt-PT"/>
        </w:rPr>
        <w:t xml:space="preserve"> </w:t>
      </w:r>
      <w:r>
        <w:rPr/>
        <w:t>Esta solução reforça a continuidade entre três formas de introdução de dados na plataforma: a seleção manual de um perfil populacional de referência, a importação de perfis antropométricos e a sugestão assistida por IA.</w:t>
      </w:r>
    </w:p>
    <w:p>
      <w:pPr>
        <w:pStyle w:val="Normal"/>
        <w:bidi w:val="0"/>
        <w:jc w:val="left"/>
        <w:rPr/>
      </w:pPr>
      <w:r>
        <w:rPr>
          <w:lang w:val="pt-PT"/>
        </w:rP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rPr/>
        <w:t>Funcionalmente, este módulo transforma a configuração de um ato momentâneo numa sequência acumulativa, na qual diferentes estados podem ser guardados, recuperados e comparados ao longo do processo</w:t>
      </w:r>
      <w:r>
        <w:rPr>
          <w:lang w:val="pt-PT"/>
        </w:rP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lang w:val="pt-PT"/>
        </w:rPr>
      </w:pPr>
      <w:r>
        <w:rPr>
          <w:lang w:val="pt-PT"/>
        </w:rPr>
        <w:t>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w:t>
      </w:r>
    </w:p>
    <w:p>
      <w:pPr>
        <w:pStyle w:val="Normal"/>
        <w:bidi w:val="0"/>
        <w:jc w:val="left"/>
        <w:rPr>
          <w:lang w:val="pt-PT"/>
        </w:rPr>
      </w:pPr>
      <w:r>
        <w:rPr/>
        <w:t>A sua presença confirma que a estrutura funcional da plataforma abrange a manipulação de parâmetros, a visualização de formas e a gestão das relações entre agentes, responsabilidades e níveis de intervenção. Neste sentido, a aplicação obtém sugestões paramétricas através do servidor, que comunica com serviços externos por intermédio de um proxy seguro</w:t>
      </w:r>
      <w:r>
        <w:rPr>
          <w:rStyle w:val="FootnoteReference"/>
        </w:rPr>
        <w:footnoteReference w:id="17"/>
      </w:r>
      <w:r>
        <w:rPr/>
        <w:t>, enquadrando essa capacidade numa estrutura funcional mais ampla, em que configuração, supervisão e persistência coexistem como partes de um mesmo sistema operativo.</w:t>
      </w:r>
    </w:p>
    <w:p>
      <w:pPr>
        <w:pStyle w:val="Normal"/>
        <w:bidi w:val="0"/>
        <w:jc w:val="left"/>
        <w:rPr>
          <w:lang w:val="pt-PT"/>
        </w:rPr>
      </w:pPr>
      <w:r>
        <w:rPr>
          <w:lang w:val="pt-PT"/>
        </w:rP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lang w:val="pt-PT"/>
        </w:rPr>
      </w:pPr>
      <w:commentRangeStart w:id="13"/>
      <w:r>
        <w:rPr>
          <w:lang w:val="pt-PT"/>
        </w:rPr>
        <w:t>No caso do Paraglider Hand, também conhecido como Flexible Flyer, a integração partiu de uma mão mecânica acionada pelo corpo, derivada da linhagem Phoenix e UnLimbited.</w:t>
      </w:r>
      <w:r>
        <w:rPr>
          <w:lang w:val="pt-PT"/>
        </w:rPr>
      </w:r>
      <w:commentRangeEnd w:id="13"/>
      <w:r>
        <w:commentReference w:id="13"/>
      </w:r>
      <w:r>
        <w:rPr>
          <w:lang w:val="pt-PT"/>
        </w:rP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lang w:val="pt-PT"/>
        </w:rPr>
      </w:pPr>
      <w:r>
        <w:rPr>
          <w:lang w:val="pt-PT"/>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lang w:val="pt-PT"/>
        </w:rPr>
      </w:pPr>
      <w:r>
        <w:rPr>
          <w:lang w:val="pt-PT"/>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commentRangeStart w:id="14"/>
      <w:r>
        <w:rPr>
          <w:lang w:val="pt-PT"/>
        </w:rPr>
        <w:t>parâmetros de hardware</w:t>
      </w:r>
      <w:r>
        <w:rPr>
          <w:lang w:val="pt-PT"/>
        </w:rPr>
      </w:r>
      <w:commentRangeEnd w:id="14"/>
      <w:r>
        <w:commentReference w:id="14"/>
      </w:r>
      <w:r>
        <w:rPr>
          <w:lang w:val="pt-PT"/>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lang w:val="pt-PT"/>
        </w:rPr>
      </w:pPr>
      <w:r>
        <w:rPr>
          <w:lang w:val="pt-PT"/>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Normal"/>
        <w:bidi w:val="0"/>
        <w:jc w:val="left"/>
        <w:rPr>
          <w:lang w:val="pt-PT"/>
        </w:rPr>
      </w:pPr>
      <w:r>
        <w:rPr>
          <w:lang w:val="pt-PT"/>
        </w:rPr>
      </w:r>
    </w:p>
    <w:p>
      <w:pPr>
        <w:pStyle w:val="Heading3"/>
        <w:bidi w:val="0"/>
        <w:jc w:val="left"/>
        <w:rPr>
          <w:lang w:val="pt-PT"/>
        </w:rPr>
      </w:pPr>
      <w:r>
        <w:rPr>
          <w:lang w:val="pt-PT"/>
        </w:rPr>
        <w:t>5.5 Gestão de parâmetros, versões e expansão</w:t>
      </w:r>
    </w:p>
    <w:p>
      <w:pPr>
        <w:pStyle w:val="Heading3"/>
        <w:bidi w:val="0"/>
        <w:jc w:val="left"/>
        <w:rPr>
          <w:lang w:val="pt-PT"/>
        </w:rPr>
      </w:pPr>
      <w:r>
        <w:rPr>
          <w:lang w:val="pt-PT"/>
        </w:rPr>
      </w:r>
    </w:p>
    <w:p>
      <w:pPr>
        <w:pStyle w:val="Normal"/>
        <w:bidi w:val="0"/>
        <w:jc w:val="left"/>
        <w:rPr>
          <w:lang w:val="pt-PT"/>
        </w:rPr>
      </w:pPr>
      <w:r>
        <w:rPr>
          <w:lang w:val="pt-PT"/>
        </w:rP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lang w:val="pt-PT"/>
        </w:rPr>
        <w:t xml:space="preserve">Ao descrever os parâmetros em estruturas independentes do código geométrico principal, a plataforma obtém duas vantagens. </w:t>
      </w:r>
      <w:r>
        <w:rPr/>
        <w:t>A primeira vantagem é a explicitação da estrutura paramétrica, uma vez que permite identificar quais variáveis são editáveis, quais são os seus intervalos válidos e de que modo se articulam com os controlos disponibilizados pela interface.</w:t>
      </w:r>
      <w:r>
        <w:rPr>
          <w:lang w:val="pt-PT"/>
        </w:rPr>
        <w:t xml:space="preserve"> </w:t>
      </w:r>
      <w:r>
        <w:rP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Normal"/>
        <w:bidi w:val="0"/>
        <w:jc w:val="left"/>
        <w:rPr/>
      </w:pPr>
      <w:r>
        <w:rPr>
          <w:lang w:val="pt-PT"/>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rP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rPr>
          <w:lang w:val="pt-PT"/>
        </w:rPr>
        <w:t xml:space="preserve"> </w:t>
      </w:r>
      <w:r>
        <w:rPr/>
        <w:t xml:space="preserve">Cada configuração registada pode, assim, ser entendida como uma instância documentada do processo de personalização, passível de recuperação, comparação e revisão, e não apenas como um ficheiro transitório. </w:t>
      </w:r>
      <w:r>
        <w:rPr>
          <w:lang w:val="pt-PT"/>
        </w:rPr>
        <w:t>Esta capacidade é particularmente importante num contexto em que a personalização não é um ato único, mas uma sequência de aproximações, testes e revisões.</w:t>
      </w:r>
    </w:p>
    <w:p>
      <w:pPr>
        <w:pStyle w:val="Normal"/>
        <w:bidi w:val="0"/>
        <w:jc w:val="left"/>
        <w:rPr>
          <w:lang w:val="pt-PT"/>
        </w:rPr>
      </w:pPr>
      <w:r>
        <w:rPr>
          <w:lang w:val="pt-PT"/>
        </w:rPr>
        <w:t>Do ponto de vista funcional, a persistência dessas configurações em estruturas JSON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BodyText"/>
        <w:bidi w:val="0"/>
        <w:jc w:val="left"/>
        <w:rPr/>
      </w:pPr>
      <w:r>
        <w:rPr>
          <w:lang w:val="pt-PT"/>
        </w:rP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rP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rPr>
          <w:lang w:val="pt-PT"/>
        </w:rP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lang w:val="pt-PT"/>
        </w:rPr>
      </w:pPr>
      <w:r>
        <w:rPr>
          <w:lang w:val="pt-PT"/>
        </w:rPr>
        <w:t>Todavia, esta lógica de expansão deve ser analisada criticamente.</w:t>
      </w:r>
    </w:p>
    <w:p>
      <w:pPr>
        <w:pStyle w:val="BodyText"/>
        <w:bidi w:val="0"/>
        <w:jc w:val="left"/>
        <w:rPr>
          <w:lang w:val="pt-PT"/>
        </w:rPr>
      </w:pPr>
      <w:r>
        <w:rPr>
          <w:lang w:val="pt-PT"/>
        </w:rPr>
        <w:t xml:space="preserve">O recurso ao </w:t>
      </w:r>
      <w:commentRangeStart w:id="15"/>
      <w:r>
        <w:rPr>
          <w:lang w:val="pt-PT"/>
        </w:rPr>
        <w:t>SQLite</w:t>
      </w:r>
      <w:r>
        <w:rPr>
          <w:lang w:val="pt-PT"/>
        </w:rPr>
      </w:r>
      <w:commentRangeEnd w:id="15"/>
      <w:r>
        <w:commentReference w:id="15"/>
      </w:r>
      <w:r>
        <w:rPr>
          <w:lang w:val="pt-PT"/>
        </w:rP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BodyText"/>
        <w:bidi w:val="0"/>
        <w:jc w:val="left"/>
        <w:rPr/>
      </w:pPr>
      <w:r>
        <w:rPr>
          <w:lang w:val="pt-PT"/>
        </w:rP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rP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BodyText"/>
        <w:bidi w:val="0"/>
        <w:jc w:val="left"/>
        <w:rPr/>
      </w:pPr>
      <w:r>
        <w:rP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Normal"/>
        <w:bidi w:val="0"/>
        <w:jc w:val="left"/>
        <w:rPr>
          <w:highlight w:val="none"/>
          <w:shd w:fill="FFFF00" w:val="clear"/>
          <w:lang w:val="pt-PT"/>
        </w:rPr>
      </w:pPr>
      <w:r>
        <w:rPr>
          <w:shd w:fill="FFFF00" w:val="clear"/>
          <w:lang w:val="pt-PT"/>
        </w:rPr>
      </w:r>
    </w:p>
    <w:p>
      <w:pPr>
        <w:pStyle w:val="Heading2"/>
        <w:bidi w:val="0"/>
        <w:jc w:val="left"/>
        <w:rPr>
          <w:lang w:val="pt-PT"/>
        </w:rPr>
      </w:pPr>
      <w:r>
        <w:rPr>
          <w:lang w:val="pt-PT"/>
        </w:rPr>
      </w:r>
    </w:p>
    <w:p>
      <w:pPr>
        <w:pStyle w:val="Heading2"/>
        <w:bidi w:val="0"/>
        <w:jc w:val="left"/>
        <w:rPr>
          <w:lang w:val="pt-PT"/>
        </w:rPr>
      </w:pPr>
      <w:r>
        <w:rPr>
          <w:lang w:val="pt-PT"/>
        </w:rPr>
        <w:t>Capítulo 6 — Integração da Inteligência Artificial</w:t>
      </w:r>
    </w:p>
    <w:p>
      <w:pPr>
        <w:pStyle w:val="Heading3"/>
        <w:bidi w:val="0"/>
        <w:jc w:val="left"/>
        <w:rPr>
          <w:lang w:val="pt-PT"/>
        </w:rPr>
      </w:pPr>
      <w:r>
        <w:rPr>
          <w:lang w:val="pt-PT"/>
        </w:rPr>
      </w:r>
    </w:p>
    <w:p>
      <w:pPr>
        <w:pStyle w:val="Heading3"/>
        <w:bidi w:val="0"/>
        <w:jc w:val="left"/>
        <w:rPr>
          <w:lang w:val="pt-PT"/>
        </w:rPr>
      </w:pPr>
      <w:r>
        <w:rPr>
          <w:lang w:val="pt-PT"/>
        </w:rPr>
        <w:t xml:space="preserve">6.1 Papel da </w:t>
      </w:r>
      <w:commentRangeStart w:id="16"/>
      <w:r>
        <w:rPr>
          <w:lang w:val="pt-PT"/>
        </w:rPr>
        <w:t>IA</w:t>
      </w:r>
      <w:r>
        <w:rPr>
          <w:lang w:val="pt-PT"/>
        </w:rPr>
      </w:r>
      <w:commentRangeEnd w:id="16"/>
      <w:r>
        <w:commentReference w:id="16"/>
      </w:r>
      <w:r>
        <w:rPr>
          <w:lang w:val="pt-PT"/>
        </w:rPr>
        <w:t xml:space="preserve"> no sistema proposto</w:t>
      </w:r>
    </w:p>
    <w:p>
      <w:pPr>
        <w:pStyle w:val="Normal"/>
        <w:bidi w:val="0"/>
        <w:jc w:val="left"/>
        <w:rPr>
          <w:lang w:val="pt-PT"/>
        </w:rPr>
      </w:pPr>
      <w:r>
        <w:rPr>
          <w:lang w:val="pt-PT"/>
        </w:rPr>
      </w:r>
    </w:p>
    <w:p>
      <w:pPr>
        <w:pStyle w:val="Normal"/>
        <w:bidi w:val="0"/>
        <w:jc w:val="left"/>
        <w:rPr>
          <w:lang w:val="pt-PT"/>
        </w:rPr>
      </w:pPr>
      <w:r>
        <w:rPr>
          <w:lang w:val="pt-PT"/>
        </w:rP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Normal"/>
        <w:bidi w:val="0"/>
        <w:jc w:val="left"/>
        <w:rPr>
          <w:lang w:val="pt-PT"/>
        </w:rPr>
      </w:pPr>
      <w:r>
        <w:rPr>
          <w:lang w:val="pt-PT"/>
        </w:rPr>
        <w:t xml:space="preserve">Os estudos consultados indicam que, no caso das próteses de membro superior, a aprendizagem automática tem sido aplicada sobretudo à classificação de sinais </w:t>
      </w:r>
      <w:commentRangeStart w:id="17"/>
      <w:r>
        <w:rPr>
          <w:lang w:val="pt-PT"/>
        </w:rPr>
        <w:t>EMG</w:t>
      </w:r>
      <w:r>
        <w:rPr>
          <w:lang w:val="pt-PT"/>
        </w:rPr>
      </w:r>
      <w:commentRangeEnd w:id="17"/>
      <w:r>
        <w:commentReference w:id="17"/>
      </w:r>
      <w:r>
        <w:rPr>
          <w:lang w:val="pt-PT"/>
        </w:rPr>
        <w:t>,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pStyle w:val="Normal"/>
        <w:bidi w:val="0"/>
        <w:jc w:val="left"/>
        <w:rPr/>
      </w:pPr>
      <w:r>
        <w:rPr>
          <w:lang w:val="pt-PT"/>
        </w:rPr>
        <w:t xml:space="preserve">Em contrapartida, continuam pouco consolidadas as abordagens que articulam, no mesmo sistema, a entrada antropométrica, o modelo paramétrico explícito, a sugestão assistida de parâmetros e a supervisão técnica. </w:t>
      </w:r>
      <w:r>
        <w:rPr/>
        <w:t>Esta lacuna é central para a presente investigação, pois permite situar a proposta como uma articulação entre componentes que os estudos consultados tendem a desenvolver de forma fragmentada.</w:t>
      </w:r>
    </w:p>
    <w:p>
      <w:pPr>
        <w:pStyle w:val="Normal"/>
        <w:bidi w:val="0"/>
        <w:jc w:val="left"/>
        <w:rPr>
          <w:lang w:val="pt-PT"/>
        </w:rPr>
      </w:pPr>
      <w:r>
        <w:rPr>
          <w:lang w:val="pt-PT"/>
        </w:rPr>
        <w:t xml:space="preserve">Neste enquadramento, a IA assume a função de camada complementar de apoio à configuração, operando sobre uma base paramétrica já definida e articulando-se com a lógica geométrica do modelo, a decisão de projeto e a validação técnica.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w:t>
      </w:r>
      <w:r>
        <w:rPr/>
        <w:t>Estudos sobre próteses paramétricas para diferentes níveis de amputação de membros superiores, sobre a personalização de dedos protésicos por modelação paramétrica e sobre encaixes protésicos personalizados para próteses transradiais demonstram que a personalização pode ser estruturada através de modelos explícitos e fluxos CAD/CAM ajustáveis.</w:t>
      </w:r>
      <w:r>
        <w:rPr>
          <w:lang w:val="pt-PT"/>
        </w:rPr>
        <w:t xml:space="preserve"> (da Silveira Romero et al., 2025 (#ref-da-silveira-romero-2025); Lim et al., 2018 (#ref-lim-2018); Saldarriaga et al., 2024 (#ref-saldarriaga-2024)). </w:t>
      </w:r>
      <w:commentRangeStart w:id="18"/>
      <w:r>
        <w:rPr>
          <w:shd w:fill="FFFF00" w:val="clear"/>
          <w:lang w:val="pt-PT"/>
        </w:rPr>
        <w:t>O sistema aqui proposto parte precisamente desta premissa: a geometria não é gerada de forma opaca por um modelo autónomo, mas sim por um modelo paramétrico explícito, definido em OpenSCAD e manipulável por meio de parâmetros rastreáveis.</w:t>
      </w:r>
      <w:commentRangeEnd w:id="18"/>
      <w:r>
        <w:commentReference w:id="18"/>
      </w:r>
      <w:r>
        <w:rPr>
          <w:shd w:fill="FFFF00" w:val="clear"/>
          <w:lang w:val="pt-PT"/>
        </w:rPr>
      </w:r>
    </w:p>
    <w:p>
      <w:pPr>
        <w:pStyle w:val="Normal"/>
        <w:bidi w:val="0"/>
        <w:jc w:val="left"/>
        <w:rPr>
          <w:lang w:val="pt-PT"/>
        </w:rPr>
      </w:pPr>
      <w:r>
        <w:rPr>
          <w:lang w:val="pt-PT"/>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w:t>
      </w:r>
      <w:r>
        <w:rPr>
          <w:shd w:fill="FFFF00" w:val="clear"/>
          <w:lang w:val="pt-PT"/>
        </w:rPr>
        <w:t xml:space="preserve">s </w:t>
      </w:r>
      <w:commentRangeStart w:id="19"/>
      <w:r>
        <w:rPr>
          <w:i/>
          <w:iCs/>
          <w:shd w:fill="FFFF00" w:val="clear"/>
          <w:lang w:val="pt-PT"/>
        </w:rPr>
        <w:t>data-driven</w:t>
      </w:r>
      <w:r>
        <w:rPr>
          <w:i/>
          <w:iCs/>
          <w:shd w:fill="FFFF00" w:val="clear"/>
          <w:lang w:val="pt-PT"/>
        </w:rPr>
      </w:r>
      <w:commentRangeEnd w:id="19"/>
      <w:r>
        <w:commentReference w:id="19"/>
      </w:r>
      <w:r>
        <w:rPr>
          <w:lang w:val="pt-PT"/>
        </w:rPr>
        <w:t xml:space="preserve"> orientadas a melhorar a adaptação, o conforto e a adequação estrutural, sem eliminar a necessidade de interpretação humana (Gu et al., 2024 (#ref-gu-2024)).</w:t>
      </w:r>
    </w:p>
    <w:p>
      <w:pPr>
        <w:pStyle w:val="Normal"/>
        <w:bidi w:val="0"/>
        <w:jc w:val="left"/>
        <w:rPr>
          <w:lang w:val="pt-PT"/>
        </w:rPr>
      </w:pPr>
      <w:r>
        <w:rPr>
          <w:lang w:val="pt-PT"/>
        </w:rPr>
        <w:t>No processo de desenvolvimento, a IA funciona como uma ferramenta de apoio à decisão e à iteração: propõe pontos de partida, ajuda a comparar cenários, acelera os ciclos de teste e permanece articulada com a estrutura técnica do sistema.</w:t>
      </w:r>
    </w:p>
    <w:p>
      <w:pPr>
        <w:pStyle w:val="Normal"/>
        <w:bidi w:val="0"/>
        <w:jc w:val="left"/>
        <w:rPr>
          <w:lang w:val="pt-PT"/>
        </w:rPr>
      </w:pPr>
      <w:r>
        <w:rPr>
          <w:lang w:val="pt-PT"/>
        </w:rPr>
        <w:t xml:space="preserve">Entre os antecedentes mais próximos desta lógica encontram-se trabalhos que combinam personalização anatómica, modelação paramétrica, fabrico aditivo e componentes inteligentes, como o estudo de Romero et al. (2025) (#ref-da-silveira-romero-2025), </w:t>
      </w:r>
      <w:r>
        <w:rPr/>
        <w:t>bem como modelos de otimização estrutural orientados por dados anatómicos e restrições de adaptação, como o proposto por Gu et al. (2024) (#ref-gu-2024).</w:t>
      </w:r>
    </w:p>
    <w:p>
      <w:pPr>
        <w:pStyle w:val="Normal"/>
        <w:bidi w:val="0"/>
        <w:jc w:val="left"/>
        <w:rPr>
          <w:lang w:val="pt-PT"/>
        </w:rPr>
      </w:pPr>
      <w:r>
        <w:rPr>
          <w:lang w:val="pt-PT"/>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uma continuidade verificável entre a entrada inicial, a sugestão produzida pela IA e o resultado geométrico gerado pelo modelo. Em vez de encerrar o processo num modelo generativo pouco transparente, o sistema mantém a IA supervisionado e num estado de apoio: sugere, mas não determina autonomamente; apoia, mas não valida; acelera, mas não substitui o julgamento técnico. Esta opção é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na sua capacidade de reforçar um processo de personalização já estruturado por lógica paramétrica explícita, por requisitos de fabrico e por responsabilidade humana e menos na promessa de automatização total.</w:t>
      </w:r>
    </w:p>
    <w:p>
      <w:pPr>
        <w:pStyle w:val="Normal"/>
        <w:bidi w:val="0"/>
        <w:jc w:val="left"/>
        <w:rPr>
          <w:lang w:val="pt-PT"/>
        </w:rPr>
      </w:pPr>
      <w:r>
        <w:rPr>
          <w:lang w:val="pt-PT"/>
        </w:rPr>
      </w:r>
    </w:p>
    <w:p>
      <w:pPr>
        <w:pStyle w:val="Heading3"/>
        <w:bidi w:val="0"/>
        <w:jc w:val="left"/>
        <w:rPr>
          <w:lang w:val="pt-PT"/>
        </w:rPr>
      </w:pPr>
      <w:r>
        <w:rPr>
          <w:lang w:val="pt-PT"/>
        </w:rPr>
        <w:t>6.2 IA na parametrização, personalização e apoio à decisão</w:t>
      </w:r>
    </w:p>
    <w:p>
      <w:pPr>
        <w:pStyle w:val="Heading3"/>
        <w:bidi w:val="0"/>
        <w:jc w:val="left"/>
        <w:rPr>
          <w:lang w:val="pt-PT"/>
        </w:rPr>
      </w:pPr>
      <w:r>
        <w:rPr>
          <w:lang w:val="pt-PT"/>
        </w:rPr>
      </w:r>
    </w:p>
    <w:p>
      <w:pPr>
        <w:pStyle w:val="Normal"/>
        <w:bidi w:val="0"/>
        <w:jc w:val="left"/>
        <w:rPr>
          <w:lang w:val="pt-PT"/>
        </w:rPr>
      </w:pPr>
      <w:r>
        <w:rPr>
          <w:lang w:val="pt-PT"/>
        </w:rPr>
        <w:t xml:space="preserve">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personalização eficaz depende de relações explícitas entre medidas, proporções e componentes geométricos, e não apenas da introdução isolada de valores numéricos (Saldarriaga et al., 2024 (#ref-saldarriaga-2024); da Silveira Romero et al., 2025 (#ref-da-silveira-romero-2025)). </w:t>
      </w:r>
      <w:r>
        <w:rPr/>
        <w:t>Neste enquadramento, a IA amplia a capacidade de utilização do modelo paramétrico, ajudando a propor intervalos plausíveis, combinações coerentes entre variáveis e pontos de partida mais ajustados ao caso específico.</w:t>
      </w:r>
    </w:p>
    <w:p>
      <w:pPr>
        <w:pStyle w:val="Normal"/>
        <w:bidi w:val="0"/>
        <w:jc w:val="left"/>
        <w:rPr>
          <w:lang w:val="pt-PT"/>
        </w:rPr>
      </w:pPr>
      <w:r>
        <w:rPr>
          <w:lang w:val="pt-PT"/>
        </w:rPr>
        <w:t xml:space="preserve">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w:t>
      </w:r>
      <w:r>
        <w:rPr/>
        <w:t>O estudo de Lim et al. (2018) (#ref-lim-2018),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Normal"/>
        <w:bidi w:val="0"/>
        <w:jc w:val="left"/>
        <w:rPr>
          <w:lang w:val="pt-PT"/>
        </w:rPr>
      </w:pPr>
      <w:r>
        <w:rPr>
          <w:lang w:val="pt-PT"/>
        </w:rPr>
      </w:r>
    </w:p>
    <w:p>
      <w:pPr>
        <w:pStyle w:val="Normal"/>
        <w:bidi w:val="0"/>
        <w:jc w:val="left"/>
        <w:rPr>
          <w:lang w:val="pt-PT"/>
        </w:rPr>
      </w:pPr>
      <w:r>
        <w:rPr>
          <w:lang w:val="pt-PT"/>
        </w:rPr>
        <w:t>De forma convergente, Gu et al. (2024) (#ref-gu-2024)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Normal"/>
        <w:bidi w:val="0"/>
        <w:jc w:val="left"/>
        <w:rPr>
          <w:lang w:val="pt-PT"/>
        </w:rPr>
      </w:pPr>
      <w:r>
        <w:rPr>
          <w:lang w:val="pt-PT"/>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lang w:val="pt-PT"/>
        </w:rPr>
      </w:pPr>
      <w:r>
        <w:rPr>
          <w:lang w:val="pt-PT"/>
        </w:rPr>
        <w:t>No protótipo implementado, esta separação é materializada pela construção dinâmica do pedido enviado ao modelo de linguagem. O pedido inclui a descrição livre do utilizador,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efetivamente implementada no protótipo e a sua relação com os modelos paramétricos disponibilizados na plataforma.</w:t>
      </w:r>
    </w:p>
    <w:p>
      <w:pPr/>
      <w:r>
        <w:t>Tabela 6.1 — Especificação técnica dos modelos de IA e do contrato de sugestão paramétrica</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r>
              <w:t>Elemento</w:t>
            </w:r>
          </w:p>
        </w:tc>
        <w:tc>
          <w:tcPr>
            <w:tcW w:w="0" w:type="auto"/>
          </w:tcPr>
          <w:p>
            <w:pPr/>
            <w:r>
              <w:t>Especificação no protótipo</w:t>
            </w:r>
          </w:p>
        </w:tc>
      </w:tr>
      <w:tr>
        <w:tc>
          <w:tcPr>
            <w:tcW w:w="0" w:type="auto"/>
          </w:tcPr>
          <w:p>
            <w:pPr/>
            <w:r>
              <w:t>Função da IA</w:t>
            </w:r>
          </w:p>
        </w:tc>
        <w:tc>
          <w:tcPr>
            <w:tcW w:w="0" w:type="auto"/>
          </w:tcPr>
          <w:p>
            <w:pPr/>
            <w:r>
              <w:t>Sugestão inicial de parâmetros antropométricos e geométricos a partir de descrições em linguagem natural; não gera autonomamente a geometria final nem valida clinicamente a prótese.</w:t>
            </w:r>
          </w:p>
        </w:tc>
      </w:tr>
      <w:tr>
        <w:tc>
          <w:tcPr>
            <w:tcW w:w="0" w:type="auto"/>
          </w:tcPr>
          <w:p>
            <w:pPr/>
            <w:r>
              <w:t>Endpoint de integração</w:t>
            </w:r>
          </w:p>
        </w:tc>
        <w:tc>
          <w:tcPr>
            <w:tcW w:w="0" w:type="auto"/>
          </w:tcPr>
          <w:p>
            <w:pPr/>
            <w:r>
              <w:rPr>
                <w:rFonts w:ascii="Consolas" w:hAnsi="Consolas"/>
              </w:rPr>
              <w:t>POST /api/ai/suggest</w:t>
            </w:r>
            <w:r>
              <w:t>, através de chamada autenticada e limitada por frequência, com as chaves de API mantidas no servidor.</w:t>
            </w:r>
          </w:p>
        </w:tc>
      </w:tr>
      <w:tr>
        <w:tc>
          <w:tcPr>
            <w:tcW w:w="0" w:type="auto"/>
          </w:tcPr>
          <w:p>
            <w:pPr/>
            <w:r>
              <w:t>Fornecedor e modelo usados na validação</w:t>
            </w:r>
          </w:p>
        </w:tc>
        <w:tc>
          <w:tcPr>
            <w:tcW w:w="0" w:type="auto"/>
          </w:tcPr>
          <w:p>
            <w:pPr/>
            <w:r>
              <w:t xml:space="preserve">Anthropic, com o modelo </w:t>
            </w:r>
            <w:r>
              <w:rPr>
                <w:rFonts w:ascii="Consolas" w:hAnsi="Consolas"/>
              </w:rPr>
              <w:t>claude-sonnet-4-6</w:t>
            </w:r>
            <w:r>
              <w:t>, definido como opção predefinida no backend do protótipo.</w:t>
            </w:r>
          </w:p>
        </w:tc>
      </w:tr>
      <w:tr>
        <w:tc>
          <w:tcPr>
            <w:tcW w:w="0" w:type="auto"/>
          </w:tcPr>
          <w:p>
            <w:pPr/>
            <w:r>
              <w:t>Modelo alternativo disponibilizado</w:t>
            </w:r>
          </w:p>
        </w:tc>
        <w:tc>
          <w:tcPr>
            <w:tcW w:w="0" w:type="auto"/>
          </w:tcPr>
          <w:p>
            <w:pPr/>
            <w:r>
              <w:t xml:space="preserve">OpenAI, com o modelo </w:t>
            </w:r>
            <w:r>
              <w:rPr>
                <w:rFonts w:ascii="Consolas" w:hAnsi="Consolas"/>
              </w:rPr>
              <w:t>gpt-4</w:t>
            </w:r>
            <w:r>
              <w:t>, acessível através da mesma rota de sugestão paramétrica.</w:t>
            </w:r>
          </w:p>
        </w:tc>
      </w:tr>
      <w:tr>
        <w:tc>
          <w:tcPr>
            <w:tcW w:w="0" w:type="auto"/>
          </w:tcPr>
          <w:p>
            <w:pPr/>
            <w:r>
              <w:t>Seleção do fornecedor</w:t>
            </w:r>
          </w:p>
        </w:tc>
        <w:tc>
          <w:tcPr>
            <w:tcW w:w="0" w:type="auto"/>
          </w:tcPr>
          <w:p>
            <w:pPr/>
            <w:r>
              <w:t xml:space="preserve">A interface permite escolher entre </w:t>
            </w:r>
            <w:r>
              <w:rPr>
                <w:rFonts w:ascii="Consolas" w:hAnsi="Consolas"/>
              </w:rPr>
              <w:t>Anthropic (Claude)</w:t>
            </w:r>
            <w:r>
              <w:t xml:space="preserve"> e </w:t>
            </w:r>
            <w:r>
              <w:rPr>
                <w:rFonts w:ascii="Consolas" w:hAnsi="Consolas"/>
              </w:rPr>
              <w:t>OpenAI (GPT-4)</w:t>
            </w:r>
            <w:r>
              <w:t xml:space="preserve">; o pedido enviado ao servidor identifica o fornecedor através do campo </w:t>
            </w:r>
            <w:r>
              <w:rPr>
                <w:rFonts w:ascii="Consolas" w:hAnsi="Consolas"/>
              </w:rPr>
              <w:t>provider</w:t>
            </w:r>
            <w:r>
              <w:t>.</w:t>
            </w:r>
          </w:p>
        </w:tc>
      </w:tr>
      <w:tr>
        <w:tc>
          <w:tcPr>
            <w:tcW w:w="0" w:type="auto"/>
          </w:tcPr>
          <w:p>
            <w:pPr/>
            <w:r>
              <w:t>Contrato de resposta</w:t>
            </w:r>
          </w:p>
        </w:tc>
        <w:tc>
          <w:tcPr>
            <w:tcW w:w="0" w:type="auto"/>
          </w:tcPr>
          <w:p>
            <w:pPr/>
            <w:r>
              <w:t>Objeto JSON simples no formato parâmetro-valor; chaves desconhecidas são rejeitadas ou ignoradas e apenas parâmetros pertencentes ao modelo ativo podem ser aplicados.</w:t>
            </w:r>
          </w:p>
        </w:tc>
      </w:tr>
      <w:tr>
        <w:tc>
          <w:tcPr>
            <w:tcW w:w="0" w:type="auto"/>
          </w:tcPr>
          <w:p>
            <w:pPr/>
            <w:r>
              <w:t>Enquadramento dos dados</w:t>
            </w:r>
          </w:p>
        </w:tc>
        <w:tc>
          <w:tcPr>
            <w:tcW w:w="0" w:type="auto"/>
          </w:tcPr>
          <w:p>
            <w:pPr/>
            <w:r>
              <w:t>O pedido inclui o esquema vivo do modelo, limites mínimos e máximos, valores correntes, legendas dos parâmetros e, quando disponível, médias de perfis antropométricos populacionais.</w:t>
            </w:r>
          </w:p>
        </w:tc>
      </w:tr>
      <w:tr>
        <w:tc>
          <w:tcPr>
            <w:tcW w:w="0" w:type="auto"/>
          </w:tcPr>
          <w:p>
            <w:pPr/>
            <w:r>
              <w:t>Modelos CAD parametrizados abrangidos</w:t>
            </w:r>
          </w:p>
        </w:tc>
        <w:tc>
          <w:tcPr>
            <w:tcW w:w="0" w:type="auto"/>
          </w:tcPr>
          <w:p>
            <w:pPr/>
            <w:r>
              <w:t>Flexy Beast, Paraglider Hand e UnLimbited Phoenix, cada um com parâmetros, limites e mecanismos de escala próprios.</w:t>
            </w:r>
          </w:p>
        </w:tc>
      </w:tr>
    </w:tbl>
    <w:p>
      <w:pPr>
        <w:pStyle w:val="Normal"/>
        <w:bidi w:val="0"/>
        <w:jc w:val="left"/>
        <w:rPr>
          <w:lang w:val="pt-PT"/>
        </w:rPr>
      </w:pPr>
      <w:r>
        <w:rPr>
          <w:lang w:val="pt-PT"/>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lang w:val="pt-PT"/>
        </w:rPr>
      </w:pPr>
      <w:r>
        <w:rPr>
          <w:lang w:val="pt-PT"/>
        </w:rPr>
        <w:t xml:space="preserve">É por isso que, nesta investigação, a personalização assistida por IA deve ser entendida como uma prática de </w:t>
      </w:r>
      <w:commentRangeStart w:id="20"/>
      <w:r>
        <w:rPr>
          <w:i/>
          <w:iCs/>
          <w:lang w:val="pt-PT"/>
        </w:rPr>
        <w:t>human-in-the-loop.</w:t>
      </w:r>
      <w:r>
        <w:rPr>
          <w:i/>
          <w:iCs/>
          <w:lang w:val="pt-PT"/>
        </w:rPr>
      </w:r>
      <w:commentRangeEnd w:id="20"/>
      <w:r>
        <w:commentReference w:id="20"/>
      </w:r>
      <w:r>
        <w:rPr/>
        <w:t xml:space="preserve"> 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projeto, </w:t>
      </w:r>
      <w:r>
        <w:rPr>
          <w:lang w:val="pt-PT"/>
        </w:rPr>
        <w:t xml:space="preserve">a aceitação final, porém, continua dependente de verificação técnica e de julgamento contextual. </w:t>
      </w:r>
      <w:r>
        <w:rPr/>
        <w:t>Deste modo, a parametrização assistida por IA não corresponde a uma automatização cega da personalização, mas a um mecanismo de apoio à decisão que atua sobre uma base geométrica explícita, documentada e tecnicamente verificável.</w:t>
      </w:r>
    </w:p>
    <w:p>
      <w:pPr>
        <w:pStyle w:val="Normal"/>
        <w:bidi w:val="0"/>
        <w:jc w:val="left"/>
        <w:rPr>
          <w:lang w:val="pt-PT"/>
        </w:rPr>
      </w:pPr>
      <w:r>
        <w:rPr>
          <w:lang w:val="pt-PT"/>
        </w:rPr>
      </w:r>
    </w:p>
    <w:p>
      <w:pPr>
        <w:pStyle w:val="Heading3"/>
        <w:bidi w:val="0"/>
        <w:jc w:val="left"/>
        <w:rPr>
          <w:lang w:val="pt-PT"/>
        </w:rPr>
      </w:pPr>
      <w:r>
        <w:rPr>
          <w:lang w:val="pt-PT"/>
        </w:rPr>
        <w:t>6.3 Validação antropométrica assistida por IA no sistema</w:t>
      </w:r>
    </w:p>
    <w:p>
      <w:pPr>
        <w:pStyle w:val="Heading3"/>
        <w:bidi w:val="0"/>
        <w:jc w:val="left"/>
        <w:rPr>
          <w:lang w:val="pt-PT"/>
        </w:rPr>
      </w:pPr>
      <w:r>
        <w:rPr>
          <w:lang w:val="pt-PT"/>
        </w:rPr>
      </w:r>
    </w:p>
    <w:p>
      <w:pPr>
        <w:pStyle w:val="Normal"/>
        <w:bidi w:val="0"/>
        <w:jc w:val="left"/>
        <w:rPr>
          <w:lang w:val="pt-PT"/>
        </w:rPr>
      </w:pPr>
      <w:r>
        <w:rPr>
          <w:lang w:val="pt-PT"/>
        </w:rPr>
        <w:t>A validação antropométrica assistida por IA realizada no sistema deve ser entendida como uma verificação interna da consistência numérica e da coerência paramétrica, e não como validação clínica da prótese final.</w:t>
      </w:r>
    </w:p>
    <w:p>
      <w:pPr>
        <w:pStyle w:val="Normal"/>
        <w:bidi w:val="0"/>
        <w:jc w:val="left"/>
        <w:rPr>
          <w:lang w:val="pt-PT"/>
        </w:rPr>
      </w:pPr>
      <w:r>
        <w:rPr/>
        <w:t>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pStyle w:val="Normal"/>
        <w:bidi w:val="0"/>
        <w:jc w:val="left"/>
        <w:rPr>
          <w:lang w:val="pt-PT"/>
        </w:rPr>
      </w:pPr>
      <w:r>
        <w:rPr>
          <w:lang w:val="pt-PT"/>
        </w:rPr>
        <w:t xml:space="preserve">O ensaio foi estruturado a partir da cadeia funcional implementada na plataforma: descrição livre do caso, construção do pedido no </w:t>
      </w:r>
      <w:r>
        <w:rPr>
          <w:i/>
          <w:iCs/>
          <w:lang w:val="pt-PT"/>
        </w:rPr>
        <w:t>frontend</w:t>
      </w:r>
      <w:r>
        <w:rPr>
          <w:lang w:val="pt-PT"/>
        </w:rPr>
        <w:t xml:space="preserve">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lang w:val="pt-PT"/>
        </w:rPr>
      </w:pPr>
      <w:r>
        <w:rPr>
          <w:lang w:val="pt-PT"/>
        </w:rPr>
        <w:t xml:space="preserve">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w:t>
      </w:r>
      <w:r>
        <w:rPr/>
        <w:t>O terceiro critério foi a coerência com intervalos antropométricos adultos, usando como referência os intervalos já adotados no sistema.</w:t>
      </w:r>
      <w:r>
        <w:rPr>
          <w:lang w:val="pt-PT"/>
        </w:rPr>
        <w:t xml:space="preserve"> O quarto foi a adequação etária, sobretudo em perfis infantis ou adolescentes. </w:t>
      </w:r>
      <w:r>
        <w:rPr/>
        <w:t>O quinto critério foi a lateralidade em casos de amputação unilateral, verificando se o parâmetro responsável pela inversão lateral gerava a mão correspondente ao lado amputado, e não uma réplica da mão medida.</w:t>
      </w:r>
    </w:p>
    <w:p>
      <w:pPr>
        <w:pStyle w:val="Normal"/>
        <w:bidi w:val="0"/>
        <w:jc w:val="left"/>
        <w:rPr>
          <w:lang w:val="pt-PT"/>
        </w:rPr>
      </w:pPr>
      <w:commentRangeStart w:id="21"/>
      <w:r>
        <w:rPr>
          <w:lang w:val="pt-PT"/>
        </w:rPr>
        <w:t>O primeiro conjunto experimental usou cinco perfis descritos apenas por indicadores populacionais indiretos, como idade, sexo, altura, peso, país, envergadura ou constituição física, sem qualquer medição direta da mão. E</w:t>
      </w:r>
      <w:r>
        <w:rPr>
          <w:lang w:val="pt-PT"/>
        </w:rPr>
      </w:r>
      <w:commentRangeEnd w:id="21"/>
      <w:r>
        <w:commentReference w:id="21"/>
      </w:r>
      <w:r>
        <w:rPr>
          <w:lang w:val="pt-PT"/>
        </w:rPr>
        <w:t xml:space="preserve">ste cenário corresponde ao caso de menor literacia técnica: o utilizador não sabe medir o membro superior e/ou mão com rigor, mas consegue fornecer informação demográfica geral. Nas cinco situações, a IA produziu valores dentro dos limites do modelo, manteve a ordem anatómica dos dedos e gerou dimensões compatíveis com a idade e a constituição descritas. </w:t>
      </w:r>
      <w:r>
        <w:rPr/>
        <w:t>A redução espontânea dos parâmetros relativos aos componentes mecânicos num perfil infantil também mostrou que o modelo de linguagem utilizou as legendas do esquema, e não apenas os nomes técnicos dos parâmetros.</w:t>
      </w:r>
    </w:p>
    <w:p>
      <w:pPr>
        <w:pStyle w:val="Normal"/>
        <w:bidi w:val="0"/>
        <w:jc w:val="left"/>
        <w:rPr>
          <w:lang w:val="pt-PT"/>
        </w:rPr>
      </w:pPr>
      <w:r>
        <w:rPr>
          <w:lang w:val="pt-PT"/>
        </w:rPr>
        <w:t>O segundo conjunto experimental avaliou três graus de detalhe dos dados de entrada em cenários de amputação unilateral. Num caso com medições completas da mão intacta, os valores fornecidos foram preservados e o sistema sugeriu a mão correspondente ao lado amputado.</w:t>
      </w:r>
    </w:p>
    <w:p>
      <w:pPr>
        <w:pStyle w:val="Normal"/>
        <w:bidi w:val="0"/>
        <w:jc w:val="left"/>
        <w:rPr>
          <w:lang w:val="pt-PT"/>
        </w:rPr>
      </w:pPr>
      <w:r>
        <w:rPr>
          <w:lang w:val="pt-PT"/>
        </w:rPr>
        <w:t xml:space="preserve">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w:t>
      </w:r>
      <w:r>
        <w:rPr/>
        <w:t>Este resultado é relevante porque mostra que a IA consegue ajustar a resposta à informação disponível: usa medições diretas quando existem, estima valores a partir de dados parciais e recorre a referências populacionais quando apenas existe uma descrição geral.</w:t>
      </w:r>
    </w:p>
    <w:p>
      <w:pPr>
        <w:pStyle w:val="Normal"/>
        <w:bidi w:val="0"/>
        <w:jc w:val="left"/>
        <w:rPr>
          <w:lang w:val="pt-PT"/>
        </w:rPr>
      </w:pPr>
      <w:r>
        <w:rPr>
          <w:lang w:val="pt-PT"/>
        </w:rPr>
        <w:t>Numa etapa posterior, a validação foi prolongada para além da resposta numérica, acompanhando o percurso completo até à exportação dos modelos nos formatos STL e 3MF, utilizados na preparação de ficheiros para impressão 3D.</w:t>
      </w:r>
    </w:p>
    <w:p>
      <w:pPr>
        <w:pStyle w:val="Normal"/>
        <w:bidi w:val="0"/>
        <w:jc w:val="left"/>
        <w:rPr>
          <w:lang w:val="pt-PT"/>
        </w:rPr>
      </w:pPr>
      <w:r>
        <w:rPr>
          <w:lang w:val="pt-PT"/>
        </w:rPr>
        <w:t>Nesta etapa, foram testadas descrições de utilizadores em três mãos ativas na plataforma — Flexy Beast, Paraglider Hand e UnLimbited Phoenix —, utilizando o fluxo real de sugestão por IA. O procedimento incluiu a aplicação dos parâmetros sugeridos, a exportação das geometrias e a medição das malhas resultantes.</w:t>
      </w:r>
    </w:p>
    <w:p>
      <w:pPr>
        <w:pStyle w:val="Normal"/>
        <w:bidi w:val="0"/>
        <w:jc w:val="left"/>
        <w:rPr>
          <w:lang w:val="pt-PT"/>
        </w:rPr>
      </w:pPr>
      <w:r>
        <w:rPr>
          <w:lang w:val="pt-PT"/>
        </w:rPr>
        <w:t>O objetivo d</w:t>
      </w:r>
      <w:r>
        <w:rPr/>
        <w:commentReference w:id="22"/>
      </w:r>
      <w:r>
        <w:rPr>
          <w:lang w:val="pt-PT"/>
        </w:rPr>
        <w:t>esta etapa foi confirmar se a coerência paramétrica observada no JSON chegava efetivamente à geometria imprimível e se diferentes modelos respondiam de forma previsível aos mesmos perfis antropométricos.</w:t>
      </w:r>
    </w:p>
    <w:p>
      <w:pPr>
        <w:pStyle w:val="Normal"/>
        <w:bidi w:val="0"/>
        <w:jc w:val="left"/>
        <w:rPr>
          <w:lang w:val="pt-PT"/>
        </w:rPr>
      </w:pPr>
      <w:r>
        <w:rPr>
          <w:lang w:val="pt-PT"/>
        </w:rPr>
        <w:t>Os resultados devem, contudo, ser lidos com cautela. A execução documentada corresponde a uma amostra representativa, não a uma caracterização estatística completa da distribuição de saídas.</w:t>
      </w:r>
    </w:p>
    <w:p>
      <w:pPr>
        <w:pStyle w:val="Normal"/>
        <w:bidi w:val="0"/>
        <w:jc w:val="left"/>
        <w:rPr>
          <w:lang w:val="pt-PT"/>
        </w:rPr>
      </w:pPr>
      <w:r>
        <w:rPr>
          <w:lang w:val="pt-PT"/>
        </w:rPr>
        <w:t>A repetição do mesmo perfil produziu pequenas variações, na ordem de poucos milímetros, preservando as relações anatómicas essenciais e os limites do modelo. Esta variação confirma a natureza estocástica da componente de IA: mesmo perante o mesmo perfil, o sistema pode produzir respostas ligeiramente diferentes entre execuções sucessivas.</w:t>
      </w:r>
    </w:p>
    <w:p>
      <w:pPr>
        <w:pStyle w:val="Normal"/>
        <w:bidi w:val="0"/>
        <w:jc w:val="left"/>
        <w:rPr>
          <w:lang w:val="pt-PT"/>
        </w:rPr>
      </w:pPr>
      <w:r>
        <w:rPr/>
        <w:t>Observou-se também uma forma de variabilidade estrutural: em algumas execuções, certos parâmetros relativos aos componentes mecânicos foram devolvidos explicitamente; noutras, foram omitidos, mantendo-se o valor corrente do modelo. Ambas as respostas são aceitáveis segundo a especificação atual do sistema, mas reforçam a necessidade de avaliar propriedades estáveis, e não valores exatos isolados.</w:t>
      </w:r>
    </w:p>
    <w:p>
      <w:pPr>
        <w:pStyle w:val="Normal"/>
        <w:bidi w:val="0"/>
        <w:jc w:val="left"/>
        <w:rPr>
          <w:lang w:val="pt-PT"/>
        </w:rPr>
      </w:pPr>
      <w:r>
        <w:rPr>
          <w:lang w:val="pt-PT"/>
        </w:rPr>
        <w:t>A principal fragilidade identificada nas validações posteriores relaciona-se com a lateralidade da configuração protésica. Nos primeiros testes, baseados em descrições de casos de amputação unilateral, o sistema gerou corretamente a mão correspondente à situação descrita. Contudo, numa verificação posterior centrada no utilizador, com pedidos explícitos para uma mão esquerda, observou-se que a IA tendia a devolver sistematicamente o valor correspondente à mão direita.</w:t>
      </w:r>
    </w:p>
    <w:p>
      <w:pPr>
        <w:pStyle w:val="Normal"/>
        <w:bidi w:val="0"/>
        <w:jc w:val="left"/>
        <w:rPr>
          <w:lang w:val="pt-PT"/>
        </w:rPr>
      </w:pPr>
      <w:r>
        <w:rPr>
          <w:lang w:val="pt-PT"/>
        </w:rPr>
        <w:t>Esta fragilidade foi tratada como um risco de configuração com implicações na adequação funcional do modelo. Para a corrigir, a lateralidade passou a ser definida diretamente pela interface como uma condição determinística do sistema. O parâmetro correspondente foi identificado no esquema com a função role: "laterality", retirado do conjunto de valores que a IA pode sugerir e incluído no pedido como informação fixa. Caso a resposta da IA inclua novamente esse parâmetro, o sistema ignora-o durante a validação da resposta. Desta forma, a lateralidade da configuração protésica passa a ser controlada pela plataforma, em vez de depender da interpretação textual realizada pelo modelo de linguagem.</w:t>
      </w:r>
      <w:r>
        <w:rPr/>
        <w:t>A principal conclusão desta validação é que a IA pode facilitar o acesso à configuração paramétrica, ao transformar descrições incompletas e não técnicas em pontos de partida editáveis, coerentes e passíveis de verificação. Esta função só se torna metodologicamente defensável quando a sugestão permanece ancorada no esquema do modelo, limitada por intervalos definidos, filtrada pela interface e sujeita a revisão humana.</w:t>
      </w:r>
    </w:p>
    <w:p>
      <w:pPr>
        <w:pStyle w:val="Normal"/>
        <w:bidi w:val="0"/>
        <w:jc w:val="left"/>
        <w:rPr>
          <w:lang w:val="pt-PT"/>
        </w:rPr>
      </w:pPr>
      <w:r>
        <w:rPr>
          <w:lang w:val="pt-PT"/>
        </w:rPr>
        <w:t>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Normal"/>
        <w:bidi w:val="0"/>
        <w:jc w:val="left"/>
        <w:rPr>
          <w:lang w:val="pt-PT"/>
        </w:rPr>
      </w:pPr>
      <w:r>
        <w:rPr>
          <w:lang w:val="pt-PT"/>
        </w:rPr>
      </w:r>
    </w:p>
    <w:p>
      <w:pPr>
        <w:pStyle w:val="Heading3"/>
        <w:bidi w:val="0"/>
        <w:jc w:val="left"/>
        <w:rPr>
          <w:lang w:val="pt-PT"/>
        </w:rPr>
      </w:pPr>
      <w:r>
        <w:rPr>
          <w:lang w:val="pt-PT"/>
        </w:rPr>
        <w:t>6.4 Ajuste, validação e limitações éticas e técnicas</w:t>
      </w:r>
    </w:p>
    <w:p>
      <w:pPr>
        <w:pStyle w:val="Heading3"/>
        <w:bidi w:val="0"/>
        <w:jc w:val="left"/>
        <w:rPr>
          <w:lang w:val="pt-PT"/>
        </w:rPr>
      </w:pPr>
      <w:r>
        <w:rPr>
          <w:lang w:val="pt-PT"/>
        </w:rPr>
      </w:r>
    </w:p>
    <w:p>
      <w:pPr>
        <w:pStyle w:val="Normal"/>
        <w:bidi w:val="0"/>
        <w:jc w:val="left"/>
        <w:rPr>
          <w:lang w:val="pt-PT"/>
        </w:rPr>
      </w:pPr>
      <w:r>
        <w:rPr>
          <w:lang w:val="pt-PT"/>
        </w:rPr>
        <w:t xml:space="preserve">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w:t>
      </w:r>
      <w:r>
        <w:rPr/>
        <w:t>Por essa razão, os valores sugeridos pela IA devem ser entendidos como hipóteses operativas sujeitas a validação posterior, e não como prescrições definitivas.</w:t>
      </w:r>
    </w:p>
    <w:p>
      <w:pPr>
        <w:pStyle w:val="Normal"/>
        <w:bidi w:val="0"/>
        <w:jc w:val="left"/>
        <w:rPr>
          <w:lang w:val="pt-PT"/>
        </w:rPr>
      </w:pPr>
      <w:r>
        <w:rPr>
          <w:lang w:val="pt-PT"/>
        </w:rPr>
        <w:t xml:space="preserve">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w:t>
      </w:r>
      <w:r>
        <w:rPr/>
        <w:t>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w:t>
      </w:r>
      <w:r>
        <w:rPr>
          <w:lang w:val="pt-PT"/>
        </w:rPr>
        <w:t>(Panchal et al., 2019 (#ref-panchal-2019); Yüksel et al., 2023 (#ref-yuksel-2023)).</w:t>
      </w:r>
    </w:p>
    <w:p>
      <w:pPr>
        <w:pStyle w:val="Normal"/>
        <w:bidi w:val="0"/>
        <w:jc w:val="left"/>
        <w:rPr>
          <w:lang w:val="pt-PT"/>
        </w:rPr>
      </w:pPr>
      <w:r>
        <w:rPr>
          <w:lang w:val="pt-PT"/>
        </w:rPr>
        <w:t xml:space="preserve">A Figura 6.1 sintetiza a relação entre os desafios de tornar os sistemas de IA compreensíveis e os princípios de IA responsável. </w:t>
      </w:r>
      <w:r>
        <w:rPr/>
        <w:t>No contexto desta investigação, a figura é útil porque evidencia que a responsabilidade em sistemas de IA resulta da articulação entre desempenho preditivo, transparência, possibilidade de verificação, privacidade, justiça e prestação de contas.</w:t>
      </w:r>
      <w:r>
        <w:rPr>
          <w:lang w:val="pt-PT"/>
        </w:rPr>
        <w:t xml:space="preserve"> Estes princípios reforçam a opção do sistema por uma IA  de apoio, limitada por regras e sujeita a revisão humana (Barredo Arrieta et al., 2020 (#ref-arrieta-2020)).</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2000250"/>
            <ns2:effectExtent l="0" t="0" r="0" b="0"/>
            <ns2:docPr id="18" name="Image 17" descr="Image 17"/>
            <ns2:cNvGraphicFramePr>
              <ns3:graphicFrameLocks noChangeAspect="1"/>
            </ns2:cNvGraphicFramePr>
            <ns3:graphic>
              <ns3:graphicData uri="http://schemas.openxmlformats.org/drawingml/2006/picture">
                <ns4:pic>
                  <ns4:nvPicPr>
                    <ns4:cNvPr id="18" name="Image 17" descr="Image 17"/>
                    <ns4:cNvPicPr>
                      <ns3:picLocks noChangeAspect="1" noChangeArrowheads="1"/>
                    </ns4:cNvPicPr>
                  </ns4:nvPicPr>
                  <ns4:blipFill>
                    <ns3:blip ns5:embed="rId29"/>
                    <ns3:stretch>
                      <ns3:fillRect/>
                    </ns3:stretch>
                  </ns4:blipFill>
                  <ns4:spPr bwMode="auto">
                    <ns3:xfrm>
                      <ns3:off x="0" y="0"/>
                      <ns3:ext cx="5715000" cy="2000250"/>
                    </ns3:xfrm>
                    <ns3:prstGeom prst="rect">
                      <ns3:avLst/>
                    </ns3:prstGeom>
                    <ns3:noFill/>
                  </ns4:spPr>
                </ns4:pic>
              </ns3:graphicData>
            </ns3:graphic>
          </ns2:inline>
        </w:drawing>
      </w:r>
    </w:p>
    <w:p>
      <w:pPr>
        <w:pStyle w:val="Normal"/>
        <w:bidi w:val="0"/>
        <w:jc w:val="left"/>
        <w:rPr>
          <w:lang w:val="pt-PT"/>
        </w:rPr>
      </w:pPr>
      <w:r>
        <w:rPr>
          <w:lang w:val="pt-PT"/>
        </w:rPr>
      </w:r>
    </w:p>
    <w:p>
      <w:pPr>
        <w:pStyle w:val="Normal"/>
        <w:bidi w:val="0"/>
        <w:jc w:val="left"/>
        <w:rPr>
          <w:lang w:val="pt-PT"/>
        </w:rPr>
      </w:pPr>
      <w:r>
        <w:rPr>
          <w:lang w:val="pt-PT"/>
        </w:rPr>
        <w:t>Figura 6.1 — Relação entre compreensão dos sistemas de IA e princípios de IA responsável.</w:t>
      </w:r>
    </w:p>
    <w:p>
      <w:pPr>
        <w:pStyle w:val="Normal"/>
        <w:bidi w:val="0"/>
        <w:jc w:val="left"/>
        <w:rPr>
          <w:lang w:val="pt-PT"/>
        </w:rPr>
      </w:pPr>
      <w:r>
        <w:rPr>
          <w:lang w:val="pt-PT"/>
        </w:rPr>
        <w:t xml:space="preserve">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ns5:id="rId30">
        <w:r>
          <w:rPr>
            <w:rStyle w:val="Hyperlink"/>
            <w:lang w:val="pt-PT"/>
          </w:rPr>
          <w:t>https://doi.org/10.1016/j.inffus.2019.12.012</w:t>
        </w:r>
      </w:hyperlink>
    </w:p>
    <w:p>
      <w:pPr>
        <w:pStyle w:val="Normal"/>
        <w:bidi w:val="0"/>
        <w:jc w:val="left"/>
        <w:rPr>
          <w:lang w:val="pt-PT"/>
        </w:rPr>
      </w:pPr>
      <w:r>
        <w:rPr>
          <w:lang w:val="pt-PT"/>
        </w:rPr>
      </w:r>
    </w:p>
    <w:p>
      <w:pPr>
        <w:pStyle w:val="Normal"/>
        <w:bidi w:val="0"/>
        <w:jc w:val="left"/>
        <w:rPr>
          <w:lang w:val="pt-PT"/>
        </w:rPr>
      </w:pPr>
      <w:r>
        <w:rPr>
          <w:lang w:val="pt-PT"/>
        </w:rP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Normal"/>
        <w:bidi w:val="0"/>
        <w:jc w:val="left"/>
        <w:rPr>
          <w:lang w:val="pt-PT"/>
        </w:rPr>
      </w:pPr>
      <w:r>
        <w:rPr>
          <w:lang w:val="pt-PT"/>
        </w:rPr>
        <w:t>Mesmo quando a plataforma utiliza apenas dados antropométricos não clínicos ou cenários experimentais, a sua arquitetura deve limitar a recolha ao necessário, controlar quem pode aceder às configurações e explicitar que a IA atua como apoio à configuração, e não como autoridade técnica ou clínica.</w:t>
      </w:r>
    </w:p>
    <w:p>
      <w:pPr>
        <w:pStyle w:val="Normal"/>
        <w:bidi w:val="0"/>
        <w:jc w:val="left"/>
        <w:rPr>
          <w:lang w:val="pt-PT"/>
        </w:rPr>
      </w:pPr>
      <w:r>
        <w:rPr>
          <w:lang w:val="pt-PT"/>
        </w:rPr>
        <w:t>A plataforma deve comunicar de forma clara que a IA desempenha uma função de apoio à decisão no processo de configuração, sem assumir autoridade clínica ou validar autonomamente a adequação da prótese. Esta delimitação é essencial para evitar deslocamentos indevidos de responsabilidade e para definir corretamente o âmbito da ferramenta</w:t>
      </w:r>
    </w:p>
    <w:p>
      <w:pPr>
        <w:pStyle w:val="Normal"/>
        <w:bidi w:val="0"/>
        <w:jc w:val="left"/>
        <w:rPr>
          <w:lang w:val="pt-PT"/>
        </w:rPr>
      </w:pPr>
      <w:r>
        <w:rPr>
          <w:lang w:val="pt-PT"/>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bidi w:val="0"/>
        <w:jc w:val="left"/>
        <w:rPr>
          <w:lang w:val="pt-PT"/>
        </w:rPr>
      </w:pPr>
      <w:r>
        <w:rPr>
          <w:lang w:val="pt-PT"/>
        </w:rPr>
      </w:r>
    </w:p>
    <w:p>
      <w:pPr>
        <w:pStyle w:val="Heading2"/>
        <w:bidi w:val="0"/>
        <w:jc w:val="left"/>
        <w:rPr>
          <w:lang w:val="pt-PT"/>
        </w:rPr>
      </w:pPr>
      <w:r>
        <w:rPr>
          <w:lang w:val="pt-PT"/>
        </w:rPr>
        <w:t>Capítulo 7 — Interface, Interação e Experiência de Utilização</w:t>
      </w:r>
    </w:p>
    <w:p>
      <w:pPr>
        <w:pStyle w:val="Heading3"/>
        <w:bidi w:val="0"/>
        <w:jc w:val="left"/>
        <w:rPr>
          <w:lang w:val="pt-PT"/>
        </w:rPr>
      </w:pPr>
      <w:r>
        <w:rPr>
          <w:lang w:val="pt-PT"/>
        </w:rPr>
      </w:r>
    </w:p>
    <w:p>
      <w:pPr>
        <w:pStyle w:val="Heading3"/>
        <w:bidi w:val="0"/>
        <w:jc w:val="left"/>
        <w:rPr>
          <w:lang w:val="pt-PT"/>
        </w:rPr>
      </w:pPr>
      <w:r>
        <w:rPr>
          <w:lang w:val="pt-PT"/>
        </w:rPr>
        <w:t>7.1 Estratégia de interação e decisões de UI/UX</w:t>
      </w:r>
    </w:p>
    <w:p>
      <w:pPr>
        <w:pStyle w:val="Heading3"/>
        <w:bidi w:val="0"/>
        <w:jc w:val="left"/>
        <w:rPr>
          <w:lang w:val="pt-PT"/>
        </w:rPr>
      </w:pPr>
      <w:r>
        <w:rPr>
          <w:lang w:val="pt-PT"/>
        </w:rPr>
      </w:r>
    </w:p>
    <w:p>
      <w:pPr>
        <w:pStyle w:val="Normal"/>
        <w:bidi w:val="0"/>
        <w:jc w:val="left"/>
        <w:rPr>
          <w:lang w:val="pt-PT"/>
        </w:rPr>
      </w:pPr>
      <w:r>
        <w:rPr>
          <w:lang w:val="pt-PT"/>
        </w:rPr>
        <w:t>O ponto de partida desta secção é a necessidade de tornar acessível, através da interface, um sistema de modelação paramétrica baseado em código. A plataforma procura traduzir essa complexidade técnica em operações compreensíveis, permitindo selecionar modelos, introduzir dados antropométricos, ajustar parâmetros, observar resultados e guardar configurações sem exigir contacto direto com a estrutura interna do código.</w:t>
      </w:r>
      <w:r>
        <w:rPr/>
        <w:t>Em vez de exigir contacto direto com a estrutura interna do modelo, a aplicação organiza a interação em torno de ações reconhecíveis e progressivas, como selecionar um modelo, introduzir dados antropométricos, ajustar parâmetros, observar o resultado e guardar configurações.</w:t>
      </w:r>
    </w:p>
    <w:p>
      <w:pPr>
        <w:pStyle w:val="Normal"/>
        <w:bidi w:val="0"/>
        <w:jc w:val="left"/>
        <w:rPr>
          <w:lang w:val="pt-PT"/>
        </w:rPr>
      </w:pPr>
      <w:r>
        <w:rPr>
          <w:lang w:val="pt-PT"/>
        </w:rP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(#ref-colombo-2015); Peixoto et al., 2025 (#ref-peixoto-2025)).</w:t>
      </w:r>
    </w:p>
    <w:p>
      <w:pPr>
        <w:pStyle w:val="Normal"/>
        <w:bidi w:val="0"/>
        <w:jc w:val="left"/>
        <w:rPr>
          <w:lang w:val="pt-PT"/>
        </w:rPr>
      </w:pPr>
      <w:r>
        <w:rPr>
          <w:lang w:val="pt-PT"/>
        </w:rPr>
        <w:t xml:space="preserve">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w:t>
      </w:r>
      <w:r>
        <w:rPr>
          <w:i/>
          <w:iCs/>
          <w:lang w:val="pt-PT"/>
        </w:rPr>
        <w:t>feedback</w:t>
      </w:r>
      <w:r>
        <w:rPr>
          <w:lang w:val="pt-PT"/>
        </w:rPr>
        <w:t xml:space="preserve">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w:t>
      </w:r>
      <w:r>
        <w:rPr/>
        <w:t>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(#ref-peixoto-2025); Quintero et al., 2018 (#ref-quintero-2018)).</w:t>
      </w:r>
    </w:p>
    <w:p>
      <w:pPr>
        <w:pStyle w:val="Normal"/>
        <w:bidi w:val="0"/>
        <w:jc w:val="left"/>
        <w:rPr>
          <w:lang w:val="pt-PT"/>
        </w:rPr>
      </w:pPr>
      <w:r>
        <w:rPr>
          <w:lang w:val="pt-PT"/>
        </w:rPr>
        <w:t xml:space="preserve">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w:t>
      </w:r>
      <w:commentRangeStart w:id="23"/>
      <w:r>
        <w:rPr>
          <w:lang w:val="pt-PT"/>
        </w:rPr>
        <w:t>UI/UX</w:t>
      </w:r>
      <w:r>
        <w:rPr>
          <w:lang w:val="pt-PT"/>
        </w:rPr>
      </w:r>
      <w:commentRangeEnd w:id="23"/>
      <w:r>
        <w:commentReference w:id="23"/>
      </w:r>
      <w:r>
        <w:rPr>
          <w:lang w:val="pt-PT"/>
        </w:rPr>
        <w:t>,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lang w:val="pt-PT"/>
        </w:rPr>
      </w:pPr>
      <w:r>
        <w:rPr>
          <w:lang w:val="pt-PT"/>
        </w:rP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Normal"/>
        <w:bidi w:val="0"/>
        <w:jc w:val="left"/>
        <w:rPr>
          <w:lang w:val="pt-PT"/>
        </w:rPr>
      </w:pPr>
      <w:r>
        <w:rPr>
          <w:lang w:val="pt-PT"/>
        </w:rP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lang w:val="pt-PT"/>
        </w:rPr>
      </w:pPr>
      <w:r>
        <w:rPr>
          <w:lang w:val="pt-PT"/>
        </w:rPr>
        <w:t>A interface privilegia a clareza operacional em relação à exuberância formal, em coerência com o contexto do projeto: trata-se de uma ferramenta de configuração protésica, e não de um configurador lúdico ou promocional.</w:t>
      </w:r>
    </w:p>
    <w:p>
      <w:pPr>
        <w:pStyle w:val="Normal"/>
        <w:bidi w:val="0"/>
        <w:jc w:val="left"/>
        <w:rPr>
          <w:lang w:val="pt-PT"/>
        </w:rPr>
      </w:pPr>
      <w:r>
        <w:rPr>
          <w:lang w:val="pt-PT"/>
        </w:rPr>
        <w:t>As decisões de desenho da interface procuram, assim, favorecer a clareza operacional, a consistência entre controlos, a compreensão dos efeitos de cada ação e o registo das alterações, mediando a passagem entre os dados do utilizador, as regras paramétricas, a assistência algorítmica e o resultado tridimensional.</w:t>
      </w:r>
    </w:p>
    <w:p>
      <w:pPr>
        <w:pStyle w:val="Normal"/>
        <w:bidi w:val="0"/>
        <w:jc w:val="left"/>
        <w:rPr>
          <w:lang w:val="pt-PT"/>
        </w:rPr>
      </w:pPr>
      <w:r>
        <w:rPr>
          <w:lang w:val="pt-PT"/>
        </w:rPr>
        <w:t>Esta clareza é particularmente relevante em sistemas protésicos inteligentes, nos quais importa equilibrar autonomia do utilizador, supervisão técnica e diferenciação de permissões entre utilizadores e profissionais (Bai et al., 2024 (#ref-bai-2024); Quintero et al., 2018 (#ref-quintero-2018)).</w:t>
      </w:r>
    </w:p>
    <w:p>
      <w:pPr>
        <w:pStyle w:val="Normal"/>
        <w:bidi w:val="0"/>
        <w:jc w:val="left"/>
        <w:rPr>
          <w:lang w:val="pt-PT"/>
        </w:rPr>
      </w:pPr>
      <w:r>
        <w:rPr>
          <w:lang w:val="pt-PT"/>
        </w:rP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Normal"/>
        <w:bidi w:val="0"/>
        <w:jc w:val="left"/>
        <w:rPr>
          <w:lang w:val="pt-PT"/>
        </w:rPr>
      </w:pPr>
      <w:r>
        <w:rPr>
          <w:lang w:val="pt-PT"/>
        </w:rP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Normal"/>
        <w:bidi w:val="0"/>
        <w:jc w:val="left"/>
        <w:rPr>
          <w:lang w:val="pt-PT"/>
        </w:rPr>
      </w:pPr>
      <w:r>
        <w:rPr>
          <w:lang w:val="pt-PT"/>
        </w:rPr>
      </w:r>
    </w:p>
    <w:p>
      <w:pPr>
        <w:pStyle w:val="Heading3"/>
        <w:bidi w:val="0"/>
        <w:jc w:val="left"/>
        <w:rPr>
          <w:lang w:val="pt-PT"/>
        </w:rPr>
      </w:pPr>
      <w:r>
        <w:rPr>
          <w:lang w:val="pt-PT"/>
        </w:rPr>
        <w:t>7.2 Experiência do designer e do utilizador final</w:t>
      </w:r>
    </w:p>
    <w:p>
      <w:pPr>
        <w:pStyle w:val="Normal"/>
        <w:bidi w:val="0"/>
        <w:jc w:val="left"/>
        <w:rPr>
          <w:lang w:val="pt-PT"/>
        </w:rPr>
      </w:pPr>
      <w:r>
        <w:rPr>
          <w:lang w:val="pt-PT"/>
        </w:rPr>
      </w:r>
    </w:p>
    <w:p>
      <w:pPr>
        <w:pStyle w:val="Normal"/>
        <w:bidi w:val="0"/>
        <w:jc w:val="left"/>
        <w:rPr>
          <w:lang w:val="pt-PT"/>
        </w:rPr>
      </w:pPr>
      <w:r>
        <w:rPr>
          <w:lang w:val="pt-PT"/>
        </w:rP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pStyle w:val="Normal"/>
        <w:bidi w:val="0"/>
        <w:jc w:val="left"/>
        <w:rPr>
          <w:lang w:val="pt-PT"/>
        </w:rPr>
      </w:pPr>
      <w:r>
        <w:rPr>
          <w:lang w:val="pt-PT"/>
        </w:rPr>
        <w:t xml:space="preserve">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w:t>
      </w:r>
      <w:r>
        <w:rPr/>
        <w:t>Em contrapartida, quando a configuração incide sobre preferências de controlo, clareza do sistema ou aspetos estéticos que o utilizador consegue avaliar diretamente, a sua participação torna-se mais substantiva.</w:t>
      </w:r>
    </w:p>
    <w:p>
      <w:pPr>
        <w:pStyle w:val="Normal"/>
        <w:bidi w:val="0"/>
        <w:jc w:val="left"/>
        <w:rPr>
          <w:lang w:val="pt-PT"/>
        </w:rPr>
      </w:pPr>
      <w:r>
        <w:rPr>
          <w:lang w:val="pt-PT"/>
        </w:rP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lang w:val="pt-PT"/>
        </w:rPr>
      </w:pPr>
      <w:r>
        <w:rPr>
          <w:lang w:val="pt-PT"/>
        </w:rPr>
        <w:t xml:space="preserve">Para o designer, técnico especialista de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w:t>
      </w:r>
      <w:r>
        <w:rPr/>
        <w:t>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p>
    <w:p>
      <w:pPr>
        <w:pStyle w:val="Normal"/>
        <w:bidi w:val="0"/>
        <w:jc w:val="left"/>
        <w:rPr>
          <w:lang w:val="pt-PT"/>
        </w:rPr>
      </w:pPr>
      <w:r>
        <w:rPr>
          <w:lang w:val="pt-PT"/>
        </w:rPr>
        <w:t xml:space="preserve">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w:t>
      </w:r>
      <w:r>
        <w:rPr/>
        <w:t>A interface contribui, assim, para tornar a adaptação menos distante do utilizador, apresentando-a como um processo parcialmente observável, compreensível e passível de acompanhamento.</w:t>
      </w:r>
    </w:p>
    <w:p>
      <w:pPr>
        <w:pStyle w:val="Normal"/>
        <w:bidi w:val="0"/>
        <w:jc w:val="left"/>
        <w:rPr>
          <w:lang w:val="pt-PT"/>
        </w:rPr>
      </w:pPr>
      <w:r>
        <w:rPr>
          <w:lang w:val="pt-PT"/>
        </w:rPr>
        <w:t xml:space="preserve">Quando a aceitação de uma prótese não depende apenas do desempenho funcional, mas também da perceção de adequação, de participação e de controlo sobre o resultado, este aspecto assume relevância. </w:t>
      </w:r>
      <w:r>
        <w:rPr/>
        <w:t>Os estudos analisados sugerem, de forma consistente, que a clareza com que o sistema comunica o seu funcionamento influencia a experiência de utilização.</w:t>
      </w:r>
    </w:p>
    <w:p>
      <w:pPr>
        <w:pStyle w:val="Normal"/>
        <w:bidi w:val="0"/>
        <w:jc w:val="left"/>
        <w:rPr>
          <w:lang w:val="pt-PT"/>
        </w:rPr>
      </w:pPr>
      <w:r>
        <w:rPr/>
        <w:t>Quando a plataforma torna mais visíveis os efeitos das ações, os limites das escolhas e a relação entre os dados introduzidos e o comportamento do modelo, reforça a facilidade de utilização e a confiança subjetiva.</w:t>
      </w:r>
    </w:p>
    <w:p>
      <w:pPr>
        <w:pStyle w:val="Normal"/>
        <w:bidi w:val="0"/>
        <w:jc w:val="left"/>
        <w:rPr>
          <w:lang w:val="pt-PT"/>
        </w:rPr>
      </w:pPr>
      <w:r>
        <w:rPr/>
        <w:t>As plataformas de personalização estética e os sistemas com visualização explícita do espaço de decisão sugerem que a participação ativa do utilizador aumenta quando as opções editáveis são claras, compreensíveis e associadas a consequências de baixo risco.</w:t>
      </w:r>
      <w:r>
        <w:rPr>
          <w:lang w:val="pt-PT"/>
        </w:rPr>
        <w:t xml:space="preserve"> (Peixoto et al., 2025 (#ref-peixoto-2025)).</w:t>
      </w:r>
    </w:p>
    <w:p>
      <w:pPr>
        <w:pStyle w:val="Normal"/>
        <w:bidi w:val="0"/>
        <w:jc w:val="left"/>
        <w:rPr>
          <w:lang w:val="pt-PT"/>
        </w:rPr>
      </w:pPr>
      <w:r>
        <w:rPr>
          <w:lang w:val="pt-PT"/>
        </w:rPr>
        <w:t xml:space="preserve">A diferença entre estes níveis de participação torna-se mais clara quando se consideram três domínios de personalização que os estudos analisados abordam de forma diferenciada. </w:t>
      </w:r>
      <w:r>
        <w:rPr/>
        <w:t>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pStyle w:val="Normal"/>
        <w:bidi w:val="0"/>
        <w:jc w:val="left"/>
        <w:rPr>
          <w:lang w:val="pt-PT"/>
        </w:rPr>
      </w:pPr>
      <w:r>
        <w:rPr>
          <w:lang w:val="pt-PT"/>
        </w:rPr>
        <w:t xml:space="preserve">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w:t>
      </w:r>
      <w:r>
        <w:rPr/>
        <w:t>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(#ref-bai-2024); Quintero et al., 2018 (#ref-quintero-2018)).</w:t>
      </w:r>
    </w:p>
    <w:p>
      <w:pPr>
        <w:pStyle w:val="Normal"/>
        <w:bidi w:val="0"/>
        <w:jc w:val="left"/>
        <w:rPr>
          <w:lang w:val="pt-PT"/>
        </w:rPr>
      </w:pPr>
      <w:r>
        <w:rPr>
          <w:lang w:val="pt-PT"/>
        </w:rP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 (#ref-silva-alcara-2018)).</w:t>
      </w:r>
    </w:p>
    <w:p>
      <w:pPr>
        <w:pStyle w:val="Normal"/>
        <w:bidi w:val="0"/>
        <w:jc w:val="left"/>
        <w:rPr>
          <w:lang w:val="pt-PT"/>
        </w:rPr>
      </w:pPr>
      <w:r>
        <w:rPr>
          <w:lang w:val="pt-PT"/>
        </w:rPr>
      </w:r>
    </w:p>
    <w:p>
      <w:pPr>
        <w:pStyle w:val="Normal"/>
        <w:bidi w:val="0"/>
        <w:jc w:val="left"/>
        <w:rPr>
          <w:lang w:val="pt-PT"/>
        </w:rPr>
      </w:pPr>
      <w:r>
        <w:rPr/>
        <w:drawing>
          <ns2:inline distT="0" distB="0" distL="0" distR="0">
            <ns2:extent cx="5038725" cy="4724400"/>
            <ns2:effectExtent l="0" t="0" r="0" b="0"/>
            <ns2:docPr id="19" name="Image 18" descr="Image 18"/>
            <ns2:cNvGraphicFramePr>
              <ns3:graphicFrameLocks noChangeAspect="1"/>
            </ns2:cNvGraphicFramePr>
            <ns3:graphic>
              <ns3:graphicData uri="http://schemas.openxmlformats.org/drawingml/2006/picture">
                <ns4:pic>
                  <ns4:nvPicPr>
                    <ns4:cNvPr id="19" name="Image 18" descr="Image 18"/>
                    <ns4:cNvPicPr>
                      <ns3:picLocks noChangeAspect="1" noChangeArrowheads="1"/>
                    </ns4:cNvPicPr>
                  </ns4:nvPicPr>
                  <ns4:blipFill>
                    <ns3:blip ns5:embed="rId31"/>
                    <ns3:stretch>
                      <ns3:fillRect/>
                    </ns3:stretch>
                  </ns4:blipFill>
                  <ns4:spPr bwMode="auto">
                    <ns3:xfrm>
                      <ns3:off x="0" y="0"/>
                      <ns3:ext cx="5038725" cy="4724400"/>
                    </ns3:xfrm>
                    <ns3:prstGeom prst="rect">
                      <ns3:avLst/>
                    </ns3:prstGeom>
                    <ns3:noFill/>
                  </ns4:spPr>
                </ns4:pic>
              </ns3:graphicData>
            </ns3:graphic>
          </ns2:inline>
        </w:drawing>
      </w:r>
    </w:p>
    <w:p>
      <w:pPr>
        <w:pStyle w:val="Normal"/>
        <w:bidi w:val="0"/>
        <w:jc w:val="left"/>
        <w:rPr>
          <w:lang w:val="pt-PT"/>
        </w:rPr>
      </w:pPr>
      <w:r>
        <w:rPr>
          <w:lang w:val="pt-PT"/>
        </w:rPr>
        <w:t>Figura 7.1 — Teste de uma prótese impressa em 3D com utilizador em contexto aplicado.</w:t>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r>
    </w:p>
    <w:p>
      <w:pPr>
        <w:pStyle w:val="Normal"/>
        <w:bidi w:val="0"/>
        <w:jc w:val="left"/>
        <w:rPr>
          <w:lang w:val="pt-PT"/>
        </w:rPr>
      </w:pPr>
      <w:r>
        <w:rPr>
          <w:lang w:val="pt-PT"/>
        </w:rPr>
        <w:t xml:space="preserve">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O sistema passa, assim, a articular de forma mais clara o conhecimento especializado e a necessidade individual. </w:t>
      </w:r>
      <w:r>
        <w:rPr/>
        <w:t>A utilização da plataforma deve ser entendida, por isso, como uma forma de organizar a intervenção dos diferentes participantes no processo de personalização, articulando decisões técnicas, acompanhamento pelo utilizador e mediação pela interface.</w:t>
      </w:r>
      <w:r>
        <w:rPr>
          <w:lang w:val="pt-PT"/>
        </w:rPr>
        <w:t xml:space="preserve">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w:t>
      </w:r>
      <w:r>
        <w:rPr/>
        <w:t>A distribuição diferenciada de acesso, interpretação e decisão conduz, assim, à questão seguinte: compreender de que modo a plataforma medeia o processo de design, para além de definir quem participa na sua utilização.</w:t>
      </w:r>
    </w:p>
    <w:p>
      <w:pPr>
        <w:pStyle w:val="Heading3"/>
        <w:bidi w:val="0"/>
        <w:jc w:val="left"/>
        <w:rPr>
          <w:lang w:val="pt-PT"/>
        </w:rPr>
      </w:pPr>
      <w:r>
        <w:rPr>
          <w:lang w:val="pt-PT"/>
        </w:rPr>
      </w:r>
    </w:p>
    <w:p>
      <w:pPr>
        <w:pStyle w:val="Heading3"/>
        <w:bidi w:val="0"/>
        <w:jc w:val="left"/>
        <w:rPr>
          <w:lang w:val="pt-PT"/>
        </w:rPr>
      </w:pPr>
      <w:r>
        <w:rPr>
          <w:lang w:val="pt-PT"/>
        </w:rPr>
        <w:t>7.3 Mediação do processo de design e reflexão crítica</w:t>
      </w:r>
    </w:p>
    <w:p>
      <w:pPr>
        <w:pStyle w:val="Heading3"/>
        <w:bidi w:val="0"/>
        <w:jc w:val="left"/>
        <w:rPr>
          <w:lang w:val="pt-PT"/>
        </w:rPr>
      </w:pPr>
      <w:r>
        <w:rPr>
          <w:lang w:val="pt-PT"/>
        </w:rPr>
      </w:r>
    </w:p>
    <w:p>
      <w:pPr>
        <w:pStyle w:val="Normal"/>
        <w:bidi w:val="0"/>
        <w:jc w:val="left"/>
        <w:rPr>
          <w:lang w:val="pt-PT"/>
        </w:rPr>
      </w:pPr>
      <w:r>
        <w:rPr>
          <w:lang w:val="pt-PT"/>
        </w:rPr>
        <w:t xml:space="preserve">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w:t>
      </w:r>
      <w:r>
        <w:rPr/>
        <w:t>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pStyle w:val="Normal"/>
        <w:bidi w:val="0"/>
        <w:jc w:val="left"/>
        <w:rPr>
          <w:lang w:val="pt-PT"/>
        </w:rPr>
      </w:pPr>
      <w:r>
        <w:rPr>
          <w:lang w:val="pt-PT"/>
        </w:rPr>
        <w:t>Neste sentido, a interface assume uma dimensão simultaneamente operacional e epistemológica, ao influenciar a forma como o problema é compreendido, como as alternativas são exploradas e como as decisões são justificadas.</w:t>
      </w:r>
    </w:p>
    <w:p>
      <w:pPr>
        <w:pStyle w:val="Normal"/>
        <w:bidi w:val="0"/>
        <w:jc w:val="left"/>
        <w:rPr>
          <w:lang w:val="pt-PT"/>
        </w:rPr>
      </w:pPr>
      <w:r>
        <w:rPr>
          <w:lang w:val="pt-PT"/>
        </w:rPr>
        <w:t xml:space="preserve">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w:t>
      </w:r>
      <w:r>
        <w:rPr/>
        <w:t>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pStyle w:val="Normal"/>
        <w:bidi w:val="0"/>
        <w:jc w:val="left"/>
        <w:rPr>
          <w:lang w:val="pt-PT"/>
        </w:rPr>
      </w:pPr>
      <w:r>
        <w:rPr>
          <w:lang w:val="pt-PT"/>
        </w:rP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(#ref-bai-2024); Alili et al., 2023 (#ref-alili-2023)).</w:t>
      </w:r>
    </w:p>
    <w:p>
      <w:pPr>
        <w:pStyle w:val="Normal"/>
        <w:bidi w:val="0"/>
        <w:jc w:val="left"/>
        <w:rPr>
          <w:lang w:val="pt-PT"/>
        </w:rPr>
      </w:pPr>
      <w:r>
        <w:rPr>
          <w:lang w:val="pt-PT"/>
        </w:rP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Normal"/>
        <w:bidi w:val="0"/>
        <w:jc w:val="left"/>
        <w:rPr>
          <w:lang w:val="pt-PT"/>
        </w:rPr>
      </w:pPr>
      <w:r>
        <w:rPr>
          <w:lang w:val="pt-PT"/>
        </w:rP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Normal"/>
        <w:bidi w:val="0"/>
        <w:jc w:val="left"/>
        <w:rPr>
          <w:highlight w:val="none"/>
          <w:shd w:fill="auto" w:val="clear"/>
          <w:lang w:val="pt-PT"/>
        </w:rPr>
      </w:pPr>
      <w:r>
        <w:rPr>
          <w:shd w:fill="auto" w:val="clear"/>
          <w:lang w:val="pt-PT"/>
        </w:rPr>
        <w:t>Nesta perspetiva, a mediação digital participa na forma como as decisões de projeto são preparadas, avaliadas e justificadas. Esta observação conduz a uma reflexão crítica sobre o papel da plataforma no próprio processo de design.</w:t>
      </w:r>
    </w:p>
    <w:p>
      <w:pPr>
        <w:pStyle w:val="Normal"/>
        <w:bidi w:val="0"/>
        <w:jc w:val="left"/>
        <w:rPr>
          <w:lang w:val="pt-PT"/>
        </w:rPr>
      </w:pPr>
      <w:r>
        <w:rPr>
          <w:lang w:val="pt-PT"/>
        </w:rPr>
        <w:t xml:space="preserve">Uma interface bem desenhada pode criar a sensação de evidência ou de neutralidade em decisões que continuam condicionadas por critérios de projeto, pressupostos técnicos e escolhas interpretativas. </w:t>
      </w:r>
      <w:r>
        <w:rPr/>
        <w:t>O facto de um parâmetro ser apresentado como controlo disponível, ou de uma sugestão aparentar coerência técnica, não significa que a solução esteja validada ou que represente a opção mais adequada em todos os contextos.</w:t>
      </w:r>
    </w:p>
    <w:p>
      <w:pPr>
        <w:pStyle w:val="Normal"/>
        <w:bidi w:val="0"/>
        <w:jc w:val="left"/>
        <w:rPr>
          <w:lang w:val="pt-PT"/>
        </w:rPr>
      </w:pPr>
      <w:r>
        <w:rPr>
          <w:lang w:val="pt-PT"/>
        </w:rPr>
        <w:t>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w:t>
      </w:r>
    </w:p>
    <w:p>
      <w:pPr>
        <w:pStyle w:val="Normal"/>
        <w:bidi w:val="0"/>
        <w:jc w:val="left"/>
        <w:rPr>
          <w:lang w:val="pt-PT"/>
        </w:rPr>
      </w:pPr>
      <w:r>
        <w:rPr>
          <w:lang w:val="pt-PT"/>
        </w:rPr>
        <w:t>A mediação do processo de design preserva a responsabilidade pelas decisões de projeto e a necessidade de validação técnica, reorganizando ambas num ambiente digital mais controlado e explícito.</w:t>
      </w:r>
    </w:p>
    <w:p>
      <w:pPr>
        <w:pStyle w:val="Normal"/>
        <w:bidi w:val="0"/>
        <w:jc w:val="left"/>
        <w:rPr>
          <w:lang w:val="pt-PT"/>
        </w:rPr>
      </w:pPr>
      <w:r>
        <w:rPr>
          <w:lang w:val="pt-PT"/>
        </w:rP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pStyle w:val="Normal"/>
        <w:bidi w:val="0"/>
        <w:jc w:val="left"/>
        <w:rPr>
          <w:lang w:val="pt-PT"/>
        </w:rPr>
      </w:pPr>
      <w:r>
        <w:rPr>
          <w:lang w:val="pt-PT"/>
        </w:rP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bidi w:val="0"/>
        <w:jc w:val="left"/>
        <w:rPr>
          <w:lang w:val="pt-PT"/>
        </w:rPr>
      </w:pPr>
      <w:r>
        <w:rPr>
          <w:lang w:val="pt-PT"/>
        </w:rPr>
      </w:r>
    </w:p>
    <w:p>
      <w:pPr>
        <w:pStyle w:val="Heading2"/>
        <w:bidi w:val="0"/>
        <w:jc w:val="left"/>
        <w:rPr>
          <w:lang w:val="pt-PT"/>
        </w:rPr>
      </w:pPr>
      <w:r>
        <w:rPr>
          <w:lang w:val="pt-PT"/>
        </w:rPr>
        <w:t>Capítulo 8 — Avaliação e Discussão</w:t>
      </w:r>
    </w:p>
    <w:p>
      <w:pPr>
        <w:pStyle w:val="Heading3"/>
        <w:bidi w:val="0"/>
        <w:jc w:val="left"/>
        <w:rPr>
          <w:lang w:val="pt-PT"/>
        </w:rPr>
      </w:pPr>
      <w:r>
        <w:rPr>
          <w:lang w:val="pt-PT"/>
        </w:rPr>
      </w:r>
    </w:p>
    <w:p>
      <w:pPr>
        <w:pStyle w:val="Heading3"/>
        <w:bidi w:val="0"/>
        <w:jc w:val="left"/>
        <w:rPr>
          <w:u w:val="double"/>
          <w:lang w:val="pt-PT"/>
        </w:rPr>
      </w:pPr>
      <w:r>
        <w:rPr>
          <w:lang w:val="pt-PT"/>
        </w:rPr>
        <w:t>8.1 Estratégia e critérios de avaliação</w:t>
      </w:r>
    </w:p>
    <w:p>
      <w:pPr>
        <w:pStyle w:val="Normal"/>
        <w:bidi w:val="0"/>
        <w:jc w:val="left"/>
        <w:rPr>
          <w:lang w:val="pt-PT"/>
        </w:rPr>
      </w:pPr>
      <w:r>
        <w:rPr>
          <w:lang w:val="pt-PT"/>
        </w:rPr>
      </w:r>
    </w:p>
    <w:p>
      <w:pPr>
        <w:pStyle w:val="Normal"/>
        <w:bidi w:val="0"/>
        <w:jc w:val="left"/>
        <w:rPr>
          <w:lang w:val="pt-PT"/>
        </w:rPr>
      </w:pPr>
      <w:r>
        <w:rPr>
          <w:lang w:val="pt-PT"/>
        </w:rPr>
        <w:t>A avaliação do sistema foi organizada em torno de três níveis complementares: a coerência técnica do modelo paramétrico, o funcionamento da plataforma digital e a consistência das sugestões assistidas por IA face aos critérios numéricos e paramétricos definidos.</w:t>
      </w:r>
    </w:p>
    <w:p>
      <w:pPr>
        <w:pStyle w:val="Normal"/>
        <w:bidi w:val="0"/>
        <w:jc w:val="left"/>
        <w:rPr>
          <w:lang w:val="pt-PT"/>
        </w:rPr>
      </w:pPr>
      <w:r>
        <w:rPr>
          <w:lang w:val="pt-PT"/>
        </w:rPr>
        <w:t>Esta separação demonstrou-se necessária pois o projeto combina componentes de natureza distinta.</w:t>
      </w:r>
    </w:p>
    <w:p>
      <w:pPr>
        <w:pStyle w:val="Normal"/>
        <w:bidi w:val="0"/>
        <w:jc w:val="left"/>
        <w:rPr>
          <w:lang w:val="pt-PT"/>
        </w:rPr>
      </w:pPr>
      <w:r>
        <w:rPr>
          <w:lang w:val="pt-PT"/>
        </w:rPr>
        <w:t>Um modelo OpenSCAD pode ser parametricamente consistente e, ainda assim, a interface pode não tornar essa consistência compreensível; do mesmo modo, uma sugestão de IA pode ser plausível como ponto de partida e continuar insuficiente como validação final da prótese. Os critérios usados procuram avaliar o encadeamento entre dados, parâmetros, renderização, exportação e revisão humana, em vez de tratar qualquer componente como solução autónoma.</w:t>
      </w:r>
    </w:p>
    <w:p>
      <w:pPr>
        <w:pStyle w:val="Normal"/>
        <w:bidi w:val="0"/>
        <w:jc w:val="left"/>
        <w:rPr>
          <w:lang w:val="pt-PT"/>
        </w:rPr>
      </w:pPr>
      <w:r>
        <w:rPr>
          <w:lang w:val="pt-PT"/>
        </w:rPr>
        <w:t xml:space="preserve">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w:t>
        <w:br/>
        <w:t>Estes critérios foram escolhidos porque são verificáveis dentro do sistema e correspondem a riscos diretamente relacionados com a personalização inicial.</w:t>
      </w:r>
    </w:p>
    <w:p>
      <w:pPr>
        <w:pStyle w:val="Normal"/>
        <w:bidi w:val="0"/>
        <w:jc w:val="left"/>
        <w:rPr>
          <w:lang w:val="pt-PT"/>
        </w:rPr>
      </w:pPr>
      <w:r>
        <w:rPr/>
        <w:t>Estas validações incidem sobre a coerência preliminar do processo, permitindo verificar se a cadeia entre descrição livre, sugestão paramétrica e modelo renderizado preserva critérios mínimos de consistência numérica, paramétrica e geométrica antes da preparação para fabrico.</w:t>
      </w:r>
    </w:p>
    <w:p>
      <w:pPr>
        <w:pStyle w:val="Normal"/>
        <w:bidi w:val="0"/>
        <w:jc w:val="left"/>
        <w:rPr>
          <w:lang w:val="pt-PT"/>
        </w:rPr>
      </w:pPr>
      <w:r>
        <w:rPr/>
        <w:t>A avaliação de conforto, desempenho funcional em uso e segurança clínica permanece dependente de testes posteriores com utilizadores e validação especializada.</w:t>
      </w:r>
    </w:p>
    <w:p>
      <w:pPr>
        <w:pStyle w:val="Normal"/>
        <w:bidi w:val="0"/>
        <w:jc w:val="left"/>
        <w:rPr>
          <w:lang w:val="pt-PT"/>
        </w:rPr>
      </w:pPr>
      <w:r>
        <w:rPr>
          <w:lang w:val="pt-PT"/>
        </w:rP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pStyle w:val="Normal"/>
        <w:bidi w:val="0"/>
        <w:jc w:val="left"/>
        <w:rPr>
          <w:lang w:val="pt-PT"/>
        </w:rPr>
      </w:pPr>
      <w:r>
        <w:rPr>
          <w:lang w:val="pt-PT"/>
        </w:rP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pStyle w:val="Normal"/>
        <w:bidi w:val="0"/>
        <w:jc w:val="left"/>
        <w:rPr>
          <w:lang w:val="pt-PT"/>
        </w:rPr>
      </w:pPr>
      <w:r>
        <w:rPr/>
        <w:t xml:space="preserve">A validação foi depois prolongada para prototipagem física. Com base nos resultados dos testes de perfil, foram selecionadas configurações representativas dos cenários avaliados, incluindo perfis de mão pequena, perfil adulto feminino e perfil adulto masculino. Nos testes de impressão, estas configurações foram geradas a partir do mesmo perfil de base criado na plataforma, alterando-se a idade como variável controlada para observar a forma como o sistema propagava essa alteração para a geometria exportada e para a viabilidade de impressão. Estas geometrias foram exportadas em STL/3MF, preparadas e impressas com os programas, materiais e equipamentos definidos na metodologia, para verificar a passagem do modelo exportado ao protótipo físico.</w:t>
      </w:r>
    </w:p>
    <w:p>
      <w:pPr>
        <w:pStyle w:val="Normal"/>
        <w:bidi w:val="0"/>
        <w:jc w:val="left"/>
        <w:rPr>
          <w:lang w:val="pt-PT"/>
        </w:rPr>
      </w:pPr>
      <w:r>
        <w:rPr/>
        <w:t>A validação física seguiu cinco verificações principais: compatibilidade do ficheiro exportado com o software de preparação para impressão, ausência de falhas críticas de malha ou escala, conclusão da impressão sem defeitos impeditivos, inspeção visual e dimensional das zonas críticas e, quando aplicável, teste de encaixe ou montagem entre componentes. Esta etapa não teve como objetivo demonstrar eficácia clínica, conforto de uso ou durabilidade prolongada; o seu objetivo foi confirmar que os resultados dos perfis testados podiam atravessar a cadeia completa perfil -&gt; parâmetros -&gt; OpenSCAD/WebAssembly -&gt; STL/3MF -&gt; impressão 3D, mantendo coerência geométrica e viabilidade produtiva.</w:t>
      </w:r>
    </w:p>
    <w:p>
      <w:pPr>
        <w:pStyle w:val="Normal"/>
        <w:rPr/>
      </w:pPr>
      <w:r>
        <w:rPr/>
      </w:r>
    </w:p>
    <w:p>
      <w:pPr>
        <w:pStyle w:val="Normal"/>
        <w:bidi w:val="0"/>
        <w:jc w:val="left"/>
        <w:rPr>
          <w:lang w:val="pt-PT"/>
        </w:rPr>
      </w:pPr>
      <w:r>
        <w:rPr/>
        <w:t>A Tabela 8.1 sintetiza os resultados observados nas impressões realizadas. A leitura deve ser entendida como registo técnico preliminar de produção e verificação material, e não como ensaio mecânico normalizado ou validação clínica.</w:t>
      </w:r>
    </w:p>
    <w:p>
      <w:pPr>
        <w:pStyle w:val="Normal"/>
        <w:rPr/>
      </w:pPr>
      <w:r>
        <w:rPr/>
      </w:r>
    </w:p>
    <w:p>
      <w:pPr>
        <w:pStyle w:val="Normal"/>
        <w:bidi w:val="0"/>
        <w:jc w:val="left"/>
        <w:rPr>
          <w:lang w:val="pt-PT"/>
        </w:rPr>
      </w:pPr>
      <w:r>
        <w:rPr/>
        <w:t>Tabela 8.1 — Síntese dos resultados da validação por impressão 3D</w:t>
      </w:r>
    </w:p>
    <w:p>
      <w:pPr>
        <w:pStyle w:val="Normal"/>
        <w:bidi w:val="0"/>
        <w:jc w:val="left"/>
        <w:rPr>
          <w:lang w:val="pt-PT"/>
        </w:rPr>
      </w:pPr>
      <w:r>
        <w:rPr>
          <w:lang w:val="pt-PT"/>
        </w:rPr>
      </w:r>
    </w:p>
    <w:tbl>
      <w:tblPr>
        <w:tblStyle w:val="TableGrid"/>
        <w:tblW w:w="5000" w:type="pct"/>
        <w:jc w:val="left"/>
        <w:tblInd w:w="103" w:type="dxa"/>
        <w:tblLayout w:type="fixed"/>
        <w:tblCellMar>
          <w:top w:w="0" w:type="dxa"/>
          <w:left w:w="108" w:type="dxa"/>
          <w:bottom w:w="0" w:type="dxa"/>
          <w:right w:w="108" w:type="dxa"/>
        </w:tblCellMar>
      </w:tblPr>
      <w:tblGrid>
        <w:gridCol w:w="1342"/>
        <w:gridCol w:w="894"/>
        <w:gridCol w:w="2835"/>
        <w:gridCol w:w="3955"/>
      </w:tblGrid>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Configuração testada</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Material</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Verificações realizadas</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Resultado observado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de mão pequena</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escala e zonas finas</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sem defeitos impeditivos; geometria imprimível, mantendo necessidade de atenção às espessuras nas zonas reduzidas.</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de mão pequena</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manipulação e encaixe preliminar</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comportamento material menos frágil na manipulação e no encaixe preliminar.</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feminino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escala e integridade formal</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proporções e escala mantiveram coerência com o modelo exportado.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feminino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zonas críticas e montagem preliminar</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zonas críticas e encaixes verificáveis no protótipo físico.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masculino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PLA</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e escala aumentada</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a escala maior não impediu a produção do protótipo.</w:t>
            </w:r>
          </w:p>
        </w:tc>
      </w:tr>
      <w:tr>
        <w:trPr/>
        <w:tc>
          <w:tcPr>
            <w:tcW w:w="1342" w:type="dxa"/>
            <w:tcBorders>
              <w:top w:val="single" w:sz="4" w:space="0" w:color="808080"/>
              <w:left w:val="single" w:sz="4" w:space="0" w:color="808080"/>
              <w:bottom w:val="single" w:sz="4" w:space="0" w:color="808080"/>
              <w:right w:val="single" w:sz="4" w:space="0" w:color="808080"/>
            </w:tcBorders>
          </w:tcPr>
          <w:p>
            <w:pPr>
              <w:pStyle w:val="Normal"/>
              <w:rPr/>
            </w:pPr>
            <w:r>
              <w:rPr/>
              <w:t>Perfil adulto masculino</w:t>
            </w:r>
          </w:p>
        </w:tc>
        <w:tc>
          <w:tcPr>
            <w:tcW w:w="894" w:type="dxa"/>
            <w:tcBorders>
              <w:top w:val="single" w:sz="4" w:space="0" w:color="808080"/>
              <w:left w:val="single" w:sz="4" w:space="0" w:color="808080"/>
              <w:bottom w:val="single" w:sz="4" w:space="0" w:color="808080"/>
              <w:right w:val="single" w:sz="4" w:space="0" w:color="808080"/>
            </w:tcBorders>
          </w:tcPr>
          <w:p>
            <w:pPr>
              <w:pStyle w:val="Normal"/>
              <w:rPr/>
            </w:pPr>
            <w:r>
              <w:rPr/>
              <w:t>PETG</w:t>
            </w:r>
          </w:p>
        </w:tc>
        <w:tc>
          <w:tcPr>
            <w:tcW w:w="2835" w:type="dxa"/>
            <w:tcBorders>
              <w:top w:val="single" w:sz="4" w:space="0" w:color="808080"/>
              <w:left w:val="single" w:sz="4" w:space="0" w:color="808080"/>
              <w:bottom w:val="single" w:sz="4" w:space="0" w:color="808080"/>
              <w:right w:val="single" w:sz="4" w:space="0" w:color="808080"/>
            </w:tcBorders>
          </w:tcPr>
          <w:p>
            <w:pPr>
              <w:pStyle w:val="Normal"/>
              <w:rPr/>
            </w:pPr>
            <w:r>
              <w:rPr/>
              <w:t>Geração do ficheiro de impressão, manipulação e montagem preliminar</w:t>
            </w:r>
          </w:p>
        </w:tc>
        <w:tc>
          <w:tcPr>
            <w:tcW w:w="3955" w:type="dxa"/>
            <w:tcBorders>
              <w:top w:val="single" w:sz="4" w:space="0" w:color="808080"/>
              <w:left w:val="single" w:sz="4" w:space="0" w:color="808080"/>
              <w:bottom w:val="single" w:sz="4" w:space="0" w:color="808080"/>
              <w:right w:val="single" w:sz="4" w:space="0" w:color="808080"/>
            </w:tcBorders>
          </w:tcPr>
          <w:p>
            <w:pPr>
              <w:pStyle w:val="Normal"/>
              <w:rPr/>
            </w:pPr>
            <w:r>
              <w:rPr/>
              <w:t>Impressão concluída; manipulação preliminar sem falhas impeditivas observadas.</w:t>
            </w:r>
          </w:p>
        </w:tc>
      </w:tr>
    </w:tbl>
    <w:p>
      <w:pPr>
        <w:pStyle w:val="Normal"/>
        <w:rPr/>
      </w:pPr>
      <w:r>
        <w:rPr/>
      </w:r>
    </w:p>
    <w:p>
      <w:pPr>
        <w:pStyle w:val="Normal"/>
        <w:bidi w:val="0"/>
        <w:jc w:val="left"/>
        <w:rPr>
          <w:lang w:val="pt-PT"/>
        </w:rPr>
      </w:pPr>
      <w:r>
        <w:rPr>
          <w:lang w:val="pt-PT"/>
        </w:rP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pPr>
        <w:pStyle w:val="Normal"/>
        <w:bidi w:val="0"/>
        <w:jc w:val="left"/>
        <w:rPr>
          <w:lang w:val="pt-PT"/>
        </w:rPr>
      </w:pPr>
      <w:r>
        <w:rPr>
          <w:lang w:val="pt-PT"/>
        </w:rPr>
      </w:r>
    </w:p>
    <w:p>
      <w:pPr>
        <w:pStyle w:val="Normal"/>
        <w:bidi w:val="0"/>
        <w:jc w:val="left"/>
        <w:rPr>
          <w:lang w:val="pt-PT"/>
        </w:rPr>
      </w:pPr>
      <w:r>
        <w:rPr/>
        <w:drawing>
          <ns2:inline distT="0" distB="0" distL="0" distR="0">
            <ns2:extent cx="5715000" cy="3571875"/>
            <ns2:effectExtent l="0" t="0" r="0" b="0"/>
            <ns2:docPr id="20" name="Image 19" descr="Image 19"/>
            <ns2:cNvGraphicFramePr>
              <ns3:graphicFrameLocks noChangeAspect="1"/>
            </ns2:cNvGraphicFramePr>
            <ns3:graphic>
              <ns3:graphicData uri="http://schemas.openxmlformats.org/drawingml/2006/picture">
                <ns4:pic>
                  <ns4:nvPicPr>
                    <ns4:cNvPr id="20" name="Image 19" descr="Image 19"/>
                    <ns4:cNvPicPr>
                      <ns3:picLocks noChangeAspect="1" noChangeArrowheads="1"/>
                    </ns4:cNvPicPr>
                  </ns4:nvPicPr>
                  <ns4:blipFill>
                    <ns3:blip ns5:embed="rId32"/>
                    <ns3:stretch>
                      <ns3:fillRect/>
                    </ns3:stretch>
                  </ns4:blipFill>
                  <ns4:spPr bwMode="auto">
                    <ns3:xfrm>
                      <ns3:off x="0" y="0"/>
                      <ns3:ext cx="5715000" cy="3571875"/>
                    </ns3:xfrm>
                    <ns3:prstGeom prst="rect">
                      <ns3:avLst/>
                    </ns3:prstGeom>
                    <ns3:noFill/>
                  </ns4:spPr>
                </ns4:pic>
              </ns3:graphicData>
            </ns3:graphic>
          </ns2:inline>
        </w:drawing>
      </w:r>
    </w:p>
    <w:p>
      <w:pPr>
        <w:pStyle w:val="Normal"/>
        <w:bidi w:val="0"/>
        <w:jc w:val="left"/>
        <w:rPr>
          <w:lang w:val="pt-PT"/>
        </w:rPr>
      </w:pPr>
      <w:r>
        <w:rPr>
          <w:lang w:val="pt-PT"/>
        </w:rPr>
        <w:t>Figura 8.1 — Tarefas funcionais usadas em avaliação de prótese personalizada de membro superior.</w:t>
      </w:r>
    </w:p>
    <w:p>
      <w:pPr>
        <w:pStyle w:val="Normal"/>
        <w:bidi w:val="0"/>
        <w:jc w:val="left"/>
        <w:rPr>
          <w:lang w:val="pt-PT"/>
        </w:rPr>
      </w:pPr>
      <w:r>
        <w:rPr>
          <w:lang w:val="pt-PT"/>
        </w:rPr>
        <w:t xml:space="preserve">Fonte original: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lang w:val="pt-PT"/>
        </w:rPr>
      </w:pPr>
      <w:r>
        <w:rPr>
          <w:lang w:val="pt-PT"/>
        </w:rPr>
      </w:r>
    </w:p>
    <w:p>
      <w:pPr>
        <w:pStyle w:val="Heading3"/>
        <w:bidi w:val="0"/>
        <w:jc w:val="left"/>
        <w:rPr>
          <w:lang w:val="pt-PT"/>
        </w:rPr>
      </w:pPr>
      <w:r>
        <w:rPr>
          <w:lang w:val="pt-PT"/>
        </w:rPr>
        <w:t>8.2 Validação antropométrica das sugestões de IA</w:t>
      </w:r>
    </w:p>
    <w:p>
      <w:pPr>
        <w:pStyle w:val="Heading3"/>
        <w:bidi w:val="0"/>
        <w:jc w:val="left"/>
        <w:rPr>
          <w:lang w:val="pt-PT"/>
        </w:rPr>
      </w:pPr>
      <w:r>
        <w:rPr>
          <w:lang w:val="pt-PT"/>
        </w:rPr>
      </w:r>
    </w:p>
    <w:p>
      <w:pPr>
        <w:pStyle w:val="Normal"/>
        <w:bidi w:val="0"/>
        <w:jc w:val="left"/>
        <w:rPr>
          <w:lang w:val="pt-PT"/>
        </w:rPr>
      </w:pPr>
      <w:r>
        <w:rPr>
          <w:lang w:val="pt-PT"/>
        </w:rPr>
        <w:t>O primeiro conjunto experimental incidiu sobre cinco perfis antropométricos simulados,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pStyle w:val="Normal"/>
        <w:bidi w:val="0"/>
        <w:jc w:val="left"/>
        <w:rPr>
          <w:lang w:val="pt-PT"/>
        </w:rPr>
      </w:pPr>
      <w:r>
        <w:rPr>
          <w:lang w:val="pt-PT"/>
        </w:rP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pStyle w:val="Normal"/>
        <w:bidi w:val="0"/>
        <w:jc w:val="left"/>
        <w:rPr>
          <w:lang w:val="pt-PT"/>
        </w:rPr>
      </w:pPr>
      <w:r>
        <w:rPr>
          <w:lang w:val="pt-PT"/>
        </w:rPr>
        <w:t>Nas cinco situações, a IA produziu JSON válido, usou apenas parâmetros existentes, respeitou os limites declarados do modelo e manteve a ordenação anatómica esperada entre os dedos.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8.2 — Entradas/prompt utilizadas para criação dos perfis de validação antropométrica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1907"/>
        <w:gridCol w:w="1927"/>
        <w:gridCol w:w="2597"/>
        <w:gridCol w:w="2595"/>
      </w:tblGrid>
      <w:tr>
        <w:trPr>
          <w:tblHeader w:val="true"/>
        </w:trPr>
        <w:tc>
          <w:tcPr>
            <w:tcW w:w="1907" w:type="dxa"/>
            <w:tcBorders/>
            <w:vAlign w:val="center"/>
          </w:tcPr>
          <w:p>
            <w:pPr>
              <w:pStyle w:val="TableHeading"/>
              <w:rPr/>
            </w:pPr>
            <w:r>
              <w:rPr/>
              <w:t>Conjunto experimental</w:t>
            </w:r>
          </w:p>
        </w:tc>
        <w:tc>
          <w:tcPr>
            <w:tcW w:w="1927" w:type="dxa"/>
            <w:tcBorders/>
            <w:vAlign w:val="center"/>
          </w:tcPr>
          <w:p>
            <w:pPr>
              <w:pStyle w:val="TableHeading"/>
              <w:rPr/>
            </w:pPr>
            <w:r>
              <w:rPr/>
              <w:t>Tipo de perfil criado</w:t>
            </w:r>
          </w:p>
        </w:tc>
        <w:tc>
          <w:tcPr>
            <w:tcW w:w="2597" w:type="dxa"/>
            <w:tcBorders/>
            <w:vAlign w:val="center"/>
          </w:tcPr>
          <w:p>
            <w:pPr>
              <w:pStyle w:val="TableHeading"/>
              <w:rPr/>
            </w:pPr>
            <w:r>
              <w:rPr/>
              <w:t>Descrição usada como entrada</w:t>
            </w:r>
          </w:p>
        </w:tc>
        <w:tc>
          <w:tcPr>
            <w:tcW w:w="2595" w:type="dxa"/>
            <w:tcBorders/>
            <w:vAlign w:val="center"/>
          </w:tcPr>
          <w:p>
            <w:pPr>
              <w:pStyle w:val="TableHeading"/>
              <w:rPr/>
            </w:pPr>
            <w:r>
              <w:rPr/>
              <w:t>Finalidade da validação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dados demográficos e regionais</w:t>
            </w:r>
          </w:p>
        </w:tc>
        <w:tc>
          <w:tcPr>
            <w:tcW w:w="2597" w:type="dxa"/>
            <w:tcBorders/>
            <w:vAlign w:val="center"/>
          </w:tcPr>
          <w:p>
            <w:pPr>
              <w:pStyle w:val="TableContents"/>
              <w:rPr/>
            </w:pPr>
            <w:r>
              <w:rPr/>
              <w:t>man, 28 years old, 82 kg, 180 cm height, Brazil, arm length 70 cm</w:t>
            </w:r>
          </w:p>
        </w:tc>
        <w:tc>
          <w:tcPr>
            <w:tcW w:w="2595" w:type="dxa"/>
            <w:tcBorders/>
            <w:vAlign w:val="center"/>
          </w:tcPr>
          <w:p>
            <w:pPr>
              <w:pStyle w:val="TableContents"/>
              <w:rPr/>
            </w:pPr>
            <w:r>
              <w:rPr/>
              <w:t>Testar a inferência paramétrica sem medições diretas da mão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Criança do sexo feminino, com estrutura corporal pequena</w:t>
            </w:r>
          </w:p>
        </w:tc>
        <w:tc>
          <w:tcPr>
            <w:tcW w:w="2597" w:type="dxa"/>
            <w:tcBorders/>
            <w:vAlign w:val="center"/>
          </w:tcPr>
          <w:p>
            <w:pPr>
              <w:pStyle w:val="TableContents"/>
              <w:rPr/>
            </w:pPr>
            <w:r>
              <w:rPr/>
              <w:t>girl, 10 years old, 32 kg, 138 cm height, Japan, small frame</w:t>
            </w:r>
          </w:p>
        </w:tc>
        <w:tc>
          <w:tcPr>
            <w:tcW w:w="2595" w:type="dxa"/>
            <w:tcBorders/>
            <w:vAlign w:val="center"/>
          </w:tcPr>
          <w:p>
            <w:pPr>
              <w:pStyle w:val="TableContents"/>
              <w:rPr/>
            </w:pPr>
            <w:r>
              <w:rPr/>
              <w:t>Verificar o ajuste à idade e a redução das dimensões e dos componentes mecânicos</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Mulher idosa com dados demográficos e regionais</w:t>
            </w:r>
          </w:p>
        </w:tc>
        <w:tc>
          <w:tcPr>
            <w:tcW w:w="2597" w:type="dxa"/>
            <w:tcBorders/>
            <w:vAlign w:val="center"/>
          </w:tcPr>
          <w:p>
            <w:pPr>
              <w:pStyle w:val="TableContents"/>
              <w:rPr/>
            </w:pPr>
            <w:r>
              <w:rPr/>
              <w:t>woman, 65 years old, 68 kg, 160 cm height, Nigeria, arm length 62 cm</w:t>
            </w:r>
          </w:p>
        </w:tc>
        <w:tc>
          <w:tcPr>
            <w:tcW w:w="2595" w:type="dxa"/>
            <w:tcBorders/>
            <w:vAlign w:val="center"/>
          </w:tcPr>
          <w:p>
            <w:pPr>
              <w:pStyle w:val="TableContents"/>
              <w:rPr/>
            </w:pPr>
            <w:r>
              <w:rPr/>
              <w:t>Avaliar a consistência numérica e paramétrica das sugestões num perfil adulto feminino e sénior.</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indicação qualitativa de mãos largas</w:t>
            </w:r>
          </w:p>
        </w:tc>
        <w:tc>
          <w:tcPr>
            <w:tcW w:w="2597" w:type="dxa"/>
            <w:tcBorders/>
            <w:vAlign w:val="center"/>
          </w:tcPr>
          <w:p>
            <w:pPr>
              <w:pStyle w:val="TableContents"/>
              <w:rPr/>
            </w:pPr>
            <w:r>
              <w:rPr/>
              <w:t>man, 50 years old, 95 kg, 175 cm height, Germany, broad hands, arm length 66 cm</w:t>
            </w:r>
          </w:p>
        </w:tc>
        <w:tc>
          <w:tcPr>
            <w:tcW w:w="2595" w:type="dxa"/>
            <w:tcBorders/>
            <w:vAlign w:val="center"/>
          </w:tcPr>
          <w:p>
            <w:pPr>
              <w:pStyle w:val="TableContents"/>
              <w:rPr/>
            </w:pPr>
            <w:r>
              <w:rPr/>
              <w:t>Verificar a resposta do sistema a uma característica anatómica descrita qualitativamente</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Adolescente masculino alto e magro</w:t>
            </w:r>
          </w:p>
        </w:tc>
        <w:tc>
          <w:tcPr>
            <w:tcW w:w="2597" w:type="dxa"/>
            <w:tcBorders/>
            <w:vAlign w:val="center"/>
          </w:tcPr>
          <w:p>
            <w:pPr>
              <w:pStyle w:val="TableContents"/>
              <w:rPr/>
            </w:pPr>
            <w:r>
              <w:rPr/>
              <w:t>teenage boy, 15 years old, 60 kg, 168 cm height, India, slim build, arm length 67 cm</w:t>
            </w:r>
          </w:p>
        </w:tc>
        <w:tc>
          <w:tcPr>
            <w:tcW w:w="2595" w:type="dxa"/>
            <w:tcBorders/>
            <w:vAlign w:val="center"/>
          </w:tcPr>
          <w:p>
            <w:pPr>
              <w:pStyle w:val="TableContents"/>
              <w:rPr/>
            </w:pPr>
            <w:r>
              <w:rPr/>
              <w:t>Testar a fronteira entre perfil pediátrico e dimensões próximas de adulto</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completa com medições da mão intacta</w:t>
            </w:r>
          </w:p>
        </w:tc>
        <w:tc>
          <w:tcPr>
            <w:tcW w:w="2597" w:type="dxa"/>
            <w:tcBorders/>
            <w:vAlign w:val="center"/>
          </w:tcPr>
          <w:p>
            <w:pPr>
              <w:pStyle w:val="TableContents"/>
              <w:rPr/>
            </w:pPr>
            <w:r>
              <w:rPr/>
              <w:t>Medições completas da mão esquerda intacta: palma 84 mm; indicador 72 mm; médio 78 mm; anelar 75 mm; mínimo 58 mm; polegar 64 mm; prótese necessária para a mão direita</w:t>
            </w:r>
          </w:p>
        </w:tc>
        <w:tc>
          <w:tcPr>
            <w:tcW w:w="2595" w:type="dxa"/>
            <w:tcBorders/>
            <w:vAlign w:val="center"/>
          </w:tcPr>
          <w:p>
            <w:pPr>
              <w:pStyle w:val="TableContents"/>
              <w:rPr/>
            </w:pPr>
            <w:r>
              <w:rPr/>
              <w:t>Confirmar a preservação dos valores fornecidos e a geração contralateral</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parcial com dados demográficos e uma medição direta</w:t>
            </w:r>
          </w:p>
        </w:tc>
        <w:tc>
          <w:tcPr>
            <w:tcW w:w="2597" w:type="dxa"/>
            <w:tcBorders/>
            <w:vAlign w:val="center"/>
          </w:tcPr>
          <w:p>
            <w:pPr>
              <w:pStyle w:val="TableContents"/>
              <w:rPr/>
            </w:pPr>
            <w:r>
              <w:rPr/>
              <w:t>Homem, 40 anos; mão direita intacta; largura da palma 90 mm; prótese necessária para a mão esquerda</w:t>
            </w:r>
          </w:p>
        </w:tc>
        <w:tc>
          <w:tcPr>
            <w:tcW w:w="2595" w:type="dxa"/>
            <w:tcBorders/>
            <w:vAlign w:val="center"/>
          </w:tcPr>
          <w:p>
            <w:pPr>
              <w:pStyle w:val="TableContents"/>
              <w:rPr/>
            </w:pPr>
            <w:r>
              <w:rPr/>
              <w:t>Confirmar a manutenção da medida fornecida e a estimativa proporcional dos campos em falta</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apenas demográfica</w:t>
            </w:r>
          </w:p>
        </w:tc>
        <w:tc>
          <w:tcPr>
            <w:tcW w:w="2597" w:type="dxa"/>
            <w:tcBorders/>
            <w:vAlign w:val="center"/>
          </w:tcPr>
          <w:p>
            <w:pPr>
              <w:pStyle w:val="TableContents"/>
              <w:rPr/>
            </w:pPr>
            <w:r>
              <w:rPr/>
              <w:t>Mulher, 30 anos, asiática oriental, 158 cm; prótese necessária para a mão direita</w:t>
            </w:r>
          </w:p>
        </w:tc>
        <w:tc>
          <w:tcPr>
            <w:tcW w:w="2595" w:type="dxa"/>
            <w:tcBorders/>
            <w:vAlign w:val="center"/>
          </w:tcPr>
          <w:p>
            <w:pPr>
              <w:pStyle w:val="TableContents"/>
              <w:rPr/>
            </w:pPr>
            <w:r>
              <w:rPr/>
              <w:t>Verificar a adaptação do sistema quando não existem medições diretas da mão</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Fonte: elaboração própria a partir dos prompts registados no protocolo de validação antropométrica assistida por IA (</w:t>
      </w:r>
      <w:r>
        <w:rPr>
          <w:rFonts w:ascii="Consolas" w:hAnsi="Consolas"/>
          <w:sz w:val="20"/>
          <w:lang w:val="pt-PT"/>
        </w:rPr>
        <w:t>docs/ai</w:t>
      </w:r>
      <w:r>
        <w:rPr>
          <w:i/>
          <w:lang w:val="pt-PT"/>
        </w:rPr>
        <w:t>anthropometric</w:t>
      </w:r>
      <w:r>
        <w:rPr>
          <w:lang w:val="pt-PT"/>
        </w:rPr>
        <w:t>validation.md</w:t>
      </w:r>
      <w:r>
        <w:rPr>
          <w:rFonts w:ascii="Consolas" w:hAnsi="Consolas"/>
          <w:sz w:val="20"/>
          <w:lang w:val="pt-PT"/>
        </w:rPr>
        <w:t>) e nos metadados de execução dos ensaios (</w:t>
      </w:r>
      <w:r>
        <w:rPr>
          <w:lang w:val="pt-PT"/>
        </w:rPr>
        <w:t>docs/</w:t>
      </w:r>
      <w:r>
        <w:rPr>
          <w:i/>
          <w:lang w:val="pt-PT"/>
        </w:rPr>
        <w:t>-ai-sim/run-metadata.json</w:t>
      </w:r>
      <w:r>
        <w:rPr>
          <w:rFonts w:ascii="Consolas" w:hAnsi="Consolas"/>
          <w:sz w:val="20"/>
          <w:lang w:val="pt-PT"/>
        </w:rPr>
        <w:t>). A coluna apresenta a entrada de paciente usada no prompt; o prompt completo incluía ainda o schema vivo do modelo, os intervalos permitidos e a instrução de devolver apenas JSON válido.</w:t>
      </w:r>
    </w:p>
    <w:p>
      <w:pPr>
        <w:pStyle w:val="Normal"/>
        <w:bidi w:val="0"/>
        <w:jc w:val="left"/>
        <w:rPr>
          <w:lang w:val="pt-PT"/>
        </w:rPr>
      </w:pPr>
      <w:r>
        <w:rPr>
          <w:lang w:val="pt-PT"/>
        </w:rPr>
      </w:r>
    </w:p>
    <w:p>
      <w:pPr>
        <w:pStyle w:val="Normal"/>
        <w:bidi w:val="0"/>
        <w:jc w:val="left"/>
        <w:rPr>
          <w:lang w:val="pt-PT"/>
        </w:rPr>
      </w:pPr>
      <w:r>
        <w:rPr>
          <w:lang w:val="pt-PT"/>
        </w:rPr>
        <w:t>A leitura dos resultados mostra uma adaptação coerente ao grau de detalhe da informação disponível. Nos perfis adultos, as dimensões sugeridas permaneceram dentro dos intervalos antropométricos usados como referência no sistema. No perfil infantil, as dimensões foram reduzidas de forma consistente e os parâmetros relativos aos componentes mecânicos das articulações flexíveis foram também ajustados, com base na informação presente nas legendas do esquema.</w:t>
      </w:r>
    </w:p>
    <w:p>
      <w:pPr>
        <w:pStyle w:val="Normal"/>
        <w:bidi w:val="0"/>
        <w:jc w:val="left"/>
        <w:rPr>
          <w:lang w:val="pt-PT"/>
        </w:rPr>
      </w:pPr>
      <w:r>
        <w:rPr>
          <w:lang w:val="pt-PT"/>
        </w:rPr>
        <w:t>No perfil adolescente, um critério preliminar de verificação assinalou a dimensão da palma como potencialmente excessiva. Contudo, a análise posterior mostrou que o valor era compatível com um adolescente alto em fase intermédia da adolescência.</w:t>
      </w:r>
    </w:p>
    <w:p>
      <w:pPr>
        <w:pStyle w:val="Normal"/>
        <w:bidi w:val="0"/>
        <w:jc w:val="left"/>
        <w:rPr>
          <w:lang w:val="pt-PT"/>
        </w:rPr>
      </w:pPr>
      <w:r>
        <w:rPr>
          <w:lang w:val="pt-PT"/>
        </w:rPr>
        <w:t>A falha, neste caso, estava na regra de teste demasiado rígida, e não na sugestão da IA.</w:t>
      </w:r>
    </w:p>
    <w:p>
      <w:pPr>
        <w:pStyle w:val="Normal"/>
        <w:bidi w:val="0"/>
        <w:jc w:val="left"/>
        <w:rPr>
          <w:lang w:val="pt-PT"/>
        </w:rPr>
      </w:pPr>
      <w:r>
        <w:rPr>
          <w:lang w:val="pt-PT"/>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lang w:val="pt-PT"/>
        </w:rPr>
      </w:pPr>
      <w:r>
        <w:rPr>
          <w:lang w:val="pt-PT"/>
        </w:rPr>
      </w:r>
      <w:r>
        <w:br w:type="page"/>
      </w:r>
    </w:p>
    <w:p>
      <w:pPr>
        <w:pStyle w:val="Normal"/>
        <w:bidi w:val="0"/>
        <w:spacing w:before="0" w:after="0"/>
        <w:jc w:val="left"/>
        <w:rPr>
          <w:lang w:val="pt-PT"/>
        </w:rPr>
      </w:pPr>
      <w:r>
        <w:rPr/>
        <w:t>Tabela 8.3 — Síntese da validação antropométrica assistida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2298"/>
        <w:gridCol w:w="3719"/>
        <w:gridCol w:w="3009"/>
      </w:tblGrid>
      <w:tr>
        <w:trPr>
          <w:tblHeader w:val="true"/>
        </w:trPr>
        <w:tc>
          <w:tcPr>
            <w:tcW w:w="2298" w:type="dxa"/>
            <w:tcBorders/>
            <w:vAlign w:val="center"/>
          </w:tcPr>
          <w:p>
            <w:pPr>
              <w:pStyle w:val="TableHeading"/>
              <w:rPr/>
            </w:pPr>
            <w:r>
              <w:rPr/>
              <w:t>Eixo avaliado</w:t>
            </w:r>
          </w:p>
        </w:tc>
        <w:tc>
          <w:tcPr>
            <w:tcW w:w="3719" w:type="dxa"/>
            <w:tcBorders/>
            <w:vAlign w:val="center"/>
          </w:tcPr>
          <w:p>
            <w:pPr>
              <w:pStyle w:val="TableHeading"/>
              <w:rPr/>
            </w:pPr>
            <w:r>
              <w:rPr/>
              <w:t>Resultado observado</w:t>
            </w:r>
          </w:p>
        </w:tc>
        <w:tc>
          <w:tcPr>
            <w:tcW w:w="3009" w:type="dxa"/>
            <w:tcBorders/>
            <w:vAlign w:val="center"/>
          </w:tcPr>
          <w:p>
            <w:pPr>
              <w:pStyle w:val="TableHeading"/>
              <w:rPr/>
            </w:pPr>
            <w:r>
              <w:rPr/>
              <w:t>Interpretação</w:t>
            </w:r>
          </w:p>
        </w:tc>
      </w:tr>
      <w:tr>
        <w:trPr/>
        <w:tc>
          <w:tcPr>
            <w:tcW w:w="2298" w:type="dxa"/>
            <w:tcBorders/>
            <w:vAlign w:val="center"/>
          </w:tcPr>
          <w:p>
            <w:pPr>
              <w:pStyle w:val="TableContents"/>
              <w:rPr/>
            </w:pPr>
            <w:r>
              <w:rPr/>
              <w:t>Conformidade com o esquema</w:t>
            </w:r>
          </w:p>
        </w:tc>
        <w:tc>
          <w:tcPr>
            <w:tcW w:w="3719" w:type="dxa"/>
            <w:tcBorders/>
            <w:vAlign w:val="center"/>
          </w:tcPr>
          <w:p>
            <w:pPr>
              <w:pStyle w:val="TableContents"/>
              <w:rPr/>
            </w:pPr>
            <w:r>
              <w:rPr/>
              <w:t>Respostas interpretáveis, campos previstos e valores dentro dos limites definidos</w:t>
            </w:r>
          </w:p>
        </w:tc>
        <w:tc>
          <w:tcPr>
            <w:tcW w:w="3009" w:type="dxa"/>
            <w:tcBorders/>
            <w:vAlign w:val="center"/>
          </w:tcPr>
          <w:p>
            <w:pPr>
              <w:pStyle w:val="TableContents"/>
              <w:rPr/>
            </w:pPr>
            <w:r>
              <w:rPr/>
              <w:t>O esquema de parâmetros reduziu a ocorrência de sugestões inválidas</w:t>
            </w:r>
          </w:p>
        </w:tc>
      </w:tr>
      <w:tr>
        <w:trPr/>
        <w:tc>
          <w:tcPr>
            <w:tcW w:w="2298" w:type="dxa"/>
            <w:tcBorders/>
            <w:vAlign w:val="center"/>
          </w:tcPr>
          <w:p>
            <w:pPr>
              <w:pStyle w:val="TableContents"/>
              <w:rPr/>
            </w:pPr>
            <w:r>
              <w:rPr/>
              <w:t>Proporcionalidade digital</w:t>
            </w:r>
          </w:p>
        </w:tc>
        <w:tc>
          <w:tcPr>
            <w:tcW w:w="3719" w:type="dxa"/>
            <w:tcBorders/>
            <w:vAlign w:val="center"/>
          </w:tcPr>
          <w:p>
            <w:pPr>
              <w:pStyle w:val="TableContents"/>
              <w:rPr/>
            </w:pPr>
            <w:r>
              <w:rPr/>
              <w:t>Dedo médio mais longo, dedo mínimo mais curto e polegar inferior ao dedo médio</w:t>
            </w:r>
          </w:p>
        </w:tc>
        <w:tc>
          <w:tcPr>
            <w:tcW w:w="3009" w:type="dxa"/>
            <w:tcBorders/>
            <w:vAlign w:val="center"/>
          </w:tcPr>
          <w:p>
            <w:pPr>
              <w:pStyle w:val="TableContents"/>
              <w:rPr/>
            </w:pPr>
            <w:r>
              <w:rPr/>
              <w:t>As principais relações anatómicas entre os dedos foram preservadas</w:t>
            </w:r>
          </w:p>
        </w:tc>
      </w:tr>
      <w:tr>
        <w:trPr/>
        <w:tc>
          <w:tcPr>
            <w:tcW w:w="2298" w:type="dxa"/>
            <w:tcBorders/>
            <w:vAlign w:val="center"/>
          </w:tcPr>
          <w:p>
            <w:pPr>
              <w:pStyle w:val="TableContents"/>
              <w:rPr/>
            </w:pPr>
            <w:r>
              <w:rPr/>
              <w:t>Entradas completas</w:t>
            </w:r>
          </w:p>
        </w:tc>
        <w:tc>
          <w:tcPr>
            <w:tcW w:w="3719" w:type="dxa"/>
            <w:tcBorders/>
            <w:vAlign w:val="center"/>
          </w:tcPr>
          <w:p>
            <w:pPr>
              <w:pStyle w:val="TableContents"/>
              <w:rPr/>
            </w:pPr>
            <w:r>
              <w:rPr/>
              <w:t>Medições fornecidas mantidas sem alteração</w:t>
            </w:r>
          </w:p>
        </w:tc>
        <w:tc>
          <w:tcPr>
            <w:tcW w:w="3009" w:type="dxa"/>
            <w:tcBorders/>
            <w:vAlign w:val="center"/>
          </w:tcPr>
          <w:p>
            <w:pPr>
              <w:pStyle w:val="TableContents"/>
              <w:rPr/>
            </w:pPr>
            <w:r>
              <w:rPr/>
              <w:t>A IA preservou os valores diretamente declarados pelo utilizador</w:t>
            </w:r>
          </w:p>
        </w:tc>
      </w:tr>
      <w:tr>
        <w:trPr/>
        <w:tc>
          <w:tcPr>
            <w:tcW w:w="2298" w:type="dxa"/>
            <w:tcBorders/>
            <w:vAlign w:val="center"/>
          </w:tcPr>
          <w:p>
            <w:pPr>
              <w:pStyle w:val="TableContents"/>
              <w:rPr/>
            </w:pPr>
            <w:r>
              <w:rPr/>
              <w:t>Entradas parciais</w:t>
            </w:r>
          </w:p>
        </w:tc>
        <w:tc>
          <w:tcPr>
            <w:tcW w:w="3719" w:type="dxa"/>
            <w:tcBorders/>
            <w:vAlign w:val="center"/>
          </w:tcPr>
          <w:p>
            <w:pPr>
              <w:pStyle w:val="TableContents"/>
              <w:rPr/>
            </w:pPr>
            <w:r>
              <w:rPr/>
              <w:t>Campos em falta estimados a partir da medida fornecida</w:t>
            </w:r>
          </w:p>
        </w:tc>
        <w:tc>
          <w:tcPr>
            <w:tcW w:w="3009" w:type="dxa"/>
            <w:tcBorders/>
            <w:vAlign w:val="center"/>
          </w:tcPr>
          <w:p>
            <w:pPr>
              <w:pStyle w:val="TableContents"/>
              <w:rPr/>
            </w:pPr>
            <w:r>
              <w:rPr/>
              <w:t>O sistema combinou dados explícitos com referências populacionais</w:t>
            </w:r>
          </w:p>
        </w:tc>
      </w:tr>
      <w:tr>
        <w:trPr/>
        <w:tc>
          <w:tcPr>
            <w:tcW w:w="2298" w:type="dxa"/>
            <w:tcBorders/>
            <w:vAlign w:val="center"/>
          </w:tcPr>
          <w:p>
            <w:pPr>
              <w:pStyle w:val="TableContents"/>
              <w:rPr/>
            </w:pPr>
            <w:r>
              <w:rPr/>
              <w:t>Entradas apenas demográficas</w:t>
            </w:r>
          </w:p>
        </w:tc>
        <w:tc>
          <w:tcPr>
            <w:tcW w:w="3719" w:type="dxa"/>
            <w:tcBorders/>
            <w:vAlign w:val="center"/>
          </w:tcPr>
          <w:p>
            <w:pPr>
              <w:pStyle w:val="TableContents"/>
              <w:rPr/>
            </w:pPr>
            <w:r>
              <w:rPr/>
              <w:t>Conjunto completo e plausível de parâmetros</w:t>
            </w:r>
          </w:p>
        </w:tc>
        <w:tc>
          <w:tcPr>
            <w:tcW w:w="3009" w:type="dxa"/>
            <w:tcBorders/>
            <w:vAlign w:val="center"/>
          </w:tcPr>
          <w:p>
            <w:pPr>
              <w:pStyle w:val="TableContents"/>
              <w:rPr/>
            </w:pPr>
            <w:r>
              <w:rPr/>
              <w:t>O fluxo gerou um ponto de partida para utilizadores sem domínio técnico</w:t>
            </w:r>
          </w:p>
        </w:tc>
      </w:tr>
      <w:tr>
        <w:trPr/>
        <w:tc>
          <w:tcPr>
            <w:tcW w:w="2298" w:type="dxa"/>
            <w:tcBorders/>
            <w:vAlign w:val="center"/>
          </w:tcPr>
          <w:p>
            <w:pPr>
              <w:pStyle w:val="TableContents"/>
              <w:rPr/>
            </w:pPr>
            <w:r>
              <w:rPr/>
              <w:t>Lateralidade</w:t>
            </w:r>
          </w:p>
        </w:tc>
        <w:tc>
          <w:tcPr>
            <w:tcW w:w="3719" w:type="dxa"/>
            <w:tcBorders/>
            <w:vAlign w:val="center"/>
          </w:tcPr>
          <w:p>
            <w:pPr>
              <w:pStyle w:val="TableContents"/>
              <w:rPr/>
            </w:pPr>
            <w:r>
              <w:rPr/>
              <w:t>Correta nos cenários iniciais, mas inconsistente em pedidos explícitos de mão esquerda na avaliação centrada no utilizador</w:t>
            </w:r>
          </w:p>
        </w:tc>
        <w:tc>
          <w:tcPr>
            <w:tcW w:w="3009" w:type="dxa"/>
            <w:tcBorders/>
            <w:vAlign w:val="center"/>
          </w:tcPr>
          <w:p>
            <w:pPr>
              <w:pStyle w:val="TableContents"/>
              <w:rPr/>
            </w:pPr>
            <w:r>
              <w:rPr/>
              <w:t>A lateralidade passou a ser controlada pela interface e excluída das sugestões da IA</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 xml:space="preserve">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w:t>
      </w:r>
      <w:r>
        <w:rPr/>
        <w:t>Esta variação entre execuções confirma que a avaliação deve privilegiar propriedades estáveis do sistema, taxas de aceitação das sugestões e comportamento em cenários com informação antropométrica limitada, reduzindo a centralidade de valores absolutos isolados.</w:t>
      </w:r>
    </w:p>
    <w:p>
      <w:pPr>
        <w:pStyle w:val="Heading3"/>
        <w:bidi w:val="0"/>
        <w:jc w:val="left"/>
        <w:rPr>
          <w:lang w:val="pt-PT"/>
        </w:rPr>
      </w:pPr>
      <w:r>
        <w:rPr>
          <w:lang w:val="pt-PT"/>
        </w:rPr>
      </w:r>
    </w:p>
    <w:p>
      <w:pPr>
        <w:pStyle w:val="Heading3"/>
        <w:bidi w:val="0"/>
        <w:jc w:val="left"/>
        <w:rPr>
          <w:lang w:val="pt-PT"/>
        </w:rPr>
      </w:pPr>
      <w:r>
        <w:rPr>
          <w:lang w:val="pt-PT"/>
        </w:rPr>
        <w:t>8.3 Validação geométrica entre modelos</w:t>
      </w:r>
    </w:p>
    <w:p>
      <w:pPr>
        <w:pStyle w:val="Heading3"/>
        <w:bidi w:val="0"/>
        <w:jc w:val="left"/>
        <w:rPr>
          <w:lang w:val="pt-PT"/>
        </w:rPr>
      </w:pPr>
      <w:r>
        <w:rPr>
          <w:lang w:val="pt-PT"/>
        </w:rPr>
      </w:r>
    </w:p>
    <w:p>
      <w:pPr>
        <w:pStyle w:val="Normal"/>
        <w:bidi w:val="0"/>
        <w:jc w:val="left"/>
        <w:rPr>
          <w:lang w:val="pt-PT"/>
        </w:rPr>
      </w:pPr>
      <w:r>
        <w:rPr>
          <w:lang w:val="pt-PT"/>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8.4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Fiel ao modelo original, mas inadequado para mãos pequenas</w:t>
            </w:r>
          </w:p>
        </w:tc>
      </w:tr>
    </w:tbl>
    <w:p>
      <w:pPr>
        <w:pStyle w:val="Normal"/>
        <w:bidi w:val="0"/>
        <w:jc w:val="left"/>
        <w:rPr>
          <w:lang w:val="pt-PT"/>
        </w:rPr>
      </w:pPr>
      <w:r>
        <w:rPr>
          <w:lang w:val="pt-PT"/>
        </w:rPr>
      </w:r>
    </w:p>
    <w:p>
      <w:pPr>
        <w:pStyle w:val="Normal"/>
        <w:bidi w:val="0"/>
        <w:jc w:val="left"/>
        <w:rPr>
          <w:lang w:val="pt-PT"/>
        </w:rPr>
      </w:pPr>
      <w:r>
        <w:rPr>
          <w:lang w:val="pt-PT"/>
        </w:rPr>
        <w:t>Nota: os rácios apresentados são adimensionais. Um valor de 1,000 corresponde à dimensão do baseline; valores inferiores indicam redução e valores superiores indicam aumento face ao modelo de referência.</w:t>
      </w:r>
    </w:p>
    <w:p>
      <w:pPr>
        <w:pStyle w:val="Normal"/>
        <w:bidi w:val="0"/>
        <w:jc w:val="left"/>
        <w:rPr>
          <w:lang w:val="pt-PT"/>
        </w:rPr>
      </w:pPr>
      <w:r>
        <w:rPr>
          <w:lang w:val="pt-PT"/>
        </w:rPr>
      </w:r>
    </w:p>
    <w:p>
      <w:pPr>
        <w:pStyle w:val="Normal"/>
        <w:bidi w:val="0"/>
        <w:jc w:val="left"/>
        <w:rPr>
          <w:lang w:val="pt-PT"/>
        </w:rPr>
      </w:pPr>
      <w:r>
        <w:rPr>
          <w:lang w:val="pt-PT"/>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lang w:val="pt-PT"/>
        </w:rPr>
      </w:pPr>
      <w:r>
        <w:rPr>
          <w:lang w:val="pt-PT"/>
        </w:rPr>
      </w:r>
    </w:p>
    <w:p>
      <w:pPr>
        <w:pStyle w:val="Normal"/>
        <w:bidi w:val="0"/>
        <w:jc w:val="left"/>
        <w:rPr>
          <w:lang w:val="pt-PT"/>
        </w:rPr>
      </w:pPr>
      <w:r>
        <w:rPr/>
        <w:t>Tabela 8.5 — Rácio adimensional da maior dimensão da palma exportada face ao baseline</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1,171</w:t>
            </w:r>
          </w:p>
        </w:tc>
      </w:tr>
    </w:tbl>
    <w:p>
      <w:pPr>
        <w:pStyle w:val="Normal"/>
        <w:bidi w:val="0"/>
        <w:jc w:val="left"/>
        <w:rPr>
          <w:lang w:val="pt-PT"/>
        </w:rPr>
      </w:pPr>
      <w:r>
        <w:rPr>
          <w:lang w:val="pt-PT"/>
        </w:rPr>
      </w:r>
    </w:p>
    <w:p>
      <w:pPr>
        <w:pStyle w:val="Normal"/>
        <w:bidi w:val="0"/>
        <w:jc w:val="left"/>
        <w:rPr>
          <w:lang w:val="pt-PT"/>
        </w:rPr>
      </w:pPr>
      <w:r>
        <w:rPr>
          <w:lang w:val="pt-PT"/>
        </w:rPr>
        <w:t>Esta validação revelou três fragilidades técnicas que não eram visíveis na análise numérica isolada. A primeira estava no mecanismo de correspondência populacional: a análise inicial de género e idade era demasiado frágil, e certas abreviaturas presentes no texto de entrada podiam ser interpretadas incorretamente, confundindo unidades de medida com indicação de sexo masculino.</w:t>
      </w:r>
    </w:p>
    <w:p>
      <w:pPr>
        <w:pStyle w:val="Normal"/>
        <w:bidi w:val="0"/>
        <w:jc w:val="left"/>
        <w:rPr>
          <w:lang w:val="pt-PT"/>
        </w:rPr>
      </w:pPr>
      <w:r>
        <w:rPr>
          <w:lang w:val="pt-PT"/>
        </w:rPr>
        <w:t>A correção passou por uma análise mais robusta do texto de entrada, capaz de reconhecer termos em diferentes línguas, respeitar fronteiras de palavra e classificar de forma mais fiável os grupos etários.</w:t>
      </w:r>
    </w:p>
    <w:p>
      <w:pPr>
        <w:pStyle w:val="Normal"/>
        <w:bidi w:val="0"/>
        <w:jc w:val="left"/>
        <w:rPr>
          <w:lang w:val="pt-PT"/>
        </w:rPr>
      </w:pPr>
      <w:r>
        <w:rPr>
          <w:lang w:val="pt-PT"/>
        </w:rPr>
        <w:t>A segunda fragilidade foi identificada no modelo Paraglider. Neste caso, a dimensão da palma da mão protésica não estava a responder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Normal"/>
        <w:bidi w:val="0"/>
        <w:jc w:val="left"/>
        <w:rPr>
          <w:lang w:val="pt-PT"/>
        </w:rPr>
      </w:pPr>
      <w:r>
        <w:rPr>
          <w:lang w:val="pt-PT"/>
        </w:rPr>
        <w:t>Esta etapa confirmou que a validação das sugestões de IA deve prolongar-se para além da resposta em JSON, pois a geometria exportada e a sua materialização por impressão 3D podem revelar dependências internas, limites de escala, problemas de espessura, folgas insuficientes e heranças de código invisíveis na análise numérica. Evidenciou ainda que os modelos integrados não são intercambiáveis, uma vez que cada um responde de forma distinta aos mesmos perfis antropométricos: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lang w:val="pt-PT"/>
        </w:rPr>
      </w:pPr>
      <w:r>
        <w:rPr>
          <w:lang w:val="pt-PT"/>
        </w:rPr>
      </w:r>
    </w:p>
    <w:p>
      <w:pPr>
        <w:pStyle w:val="Heading3"/>
        <w:bidi w:val="0"/>
        <w:jc w:val="left"/>
        <w:rPr>
          <w:lang w:val="pt-PT"/>
        </w:rPr>
      </w:pPr>
      <w:r>
        <w:rPr>
          <w:lang w:val="pt-PT"/>
        </w:rPr>
        <w:t>8.4 Discussão dos resultados face aos objetivos</w:t>
      </w:r>
    </w:p>
    <w:p>
      <w:pPr>
        <w:pStyle w:val="Heading3"/>
        <w:bidi w:val="0"/>
        <w:jc w:val="left"/>
        <w:rPr>
          <w:lang w:val="pt-PT"/>
        </w:rPr>
      </w:pPr>
      <w:r>
        <w:rPr>
          <w:lang w:val="pt-PT"/>
        </w:rPr>
      </w:r>
    </w:p>
    <w:p>
      <w:pPr>
        <w:pStyle w:val="Normal"/>
        <w:bidi w:val="0"/>
        <w:jc w:val="left"/>
        <w:rPr>
          <w:lang w:val="pt-PT"/>
        </w:rPr>
      </w:pPr>
      <w:r>
        <w:rPr>
          <w:lang w:val="pt-PT"/>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de dimensões plausíveis, editável, visualizável e passível de revisão crítica.</w:t>
      </w:r>
    </w:p>
    <w:p>
      <w:pPr>
        <w:pStyle w:val="Normal"/>
        <w:bidi w:val="0"/>
        <w:jc w:val="left"/>
        <w:rPr>
          <w:lang w:val="pt-PT"/>
        </w:rPr>
      </w:pPr>
      <w:r>
        <w:rPr>
          <w:lang w:val="pt-PT"/>
        </w:rP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lang w:val="pt-PT"/>
        </w:rPr>
      </w:pPr>
      <w:r>
        <w:rPr>
          <w:lang w:val="pt-PT"/>
        </w:rPr>
        <w:t>A avaliação também delimita com clareza os limites do sistema.</w:t>
      </w:r>
    </w:p>
    <w:p>
      <w:pPr>
        <w:pStyle w:val="Normal"/>
        <w:bidi w:val="0"/>
        <w:jc w:val="left"/>
        <w:rPr>
          <w:lang w:val="pt-PT"/>
        </w:rPr>
      </w:pPr>
      <w:r>
        <w:rPr>
          <w:lang w:val="pt-PT"/>
        </w:rPr>
        <w:t>A variação entre execuções produzida pela IA impede tratar uma saída isolada como prescrição fixa; a ausência de uma referência clínica direta limita a afirmação de precisão individual; e a lateralidade revelou-se um parâmetro crítico que deve permanecer sob controlo determinístico da plataforma.</w:t>
      </w:r>
    </w:p>
    <w:p>
      <w:pPr>
        <w:pStyle w:val="Normal"/>
        <w:bidi w:val="0"/>
        <w:jc w:val="left"/>
        <w:rPr>
          <w:lang w:val="pt-PT"/>
        </w:rPr>
      </w:pPr>
      <w:r>
        <w:rPr>
          <w:lang w:val="pt-PT"/>
        </w:rPr>
        <w:t>A correção implementada resolve esse risco ao deslocar a decisão para a interface, mas exige ainda reforço de UX para tornar a escolha do lado suficientemente visível e obrigatória. Do mesmo modo, a validação geométrica e física demonstra que cada modelo transporta constrangimentos próprios: alguns aceitam escalas pequenas, outros impõem pisos mínimos ou preservam proporções globais herdadas do desenho original. A prototipagem física confirmou a viabilidade das configurações selecionadas, mas também reforçou que a passagem para o objeto físico deve ser tratada como etapa de verificação material e não como prova clínica. Consequentemente, os resultados são promissores enquanto validação de coerência interna, acessibilidade paramétrica e viabilidade de prototipagem, mas permanecem preliminares enquanto validação protésica.</w:t>
      </w:r>
    </w:p>
    <w:p>
      <w:pPr>
        <w:pStyle w:val="Normal"/>
        <w:bidi w:val="0"/>
        <w:jc w:val="left"/>
        <w:rPr>
          <w:lang w:val="pt-PT"/>
        </w:rPr>
      </w:pPr>
      <w:r>
        <w:rPr>
          <w:lang w:val="pt-PT"/>
        </w:rPr>
        <w:t>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pStyle w:val="Normal"/>
        <w:bidi w:val="0"/>
        <w:jc w:val="left"/>
        <w:rPr>
          <w:lang w:val="pt-PT"/>
        </w:rPr>
      </w:pPr>
      <w:r>
        <w:rPr/>
        <w:t>A principal conclusão metodológica é que a robustez do sistema depende menos da presença isolada da IA do que da qualidade das regras, limites e mecanismos de validação que enquadram a sua atuação. O esquema de parâmetros do modelo, os limites declarados, a filtragem dos campos devolvidos, a ancoragem em dados populacionais, a renderização por OpenSCAD/WebAssembly, a exportação em STL/3MF, a preparação para impressão e a impressão 3D formam uma cadeia de verificações sucessivas.</w:t>
      </w:r>
    </w:p>
    <w:p>
      <w:pPr>
        <w:pStyle w:val="Normal"/>
        <w:bidi w:val="0"/>
        <w:jc w:val="left"/>
        <w:rPr>
          <w:lang w:val="pt-PT"/>
        </w:rPr>
      </w:pPr>
      <w:r>
        <w:rPr>
          <w:lang w:val="pt-PT"/>
        </w:rPr>
        <w:t>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Normal"/>
        <w:bidi w:val="0"/>
        <w:jc w:val="left"/>
        <w:rPr>
          <w:lang w:val="pt-PT"/>
        </w:rPr>
      </w:pPr>
      <w:r>
        <w:rPr>
          <w:lang w:val="pt-PT"/>
        </w:rPr>
      </w:r>
    </w:p>
    <w:p>
      <w:pPr>
        <w:pStyle w:val="Heading2"/>
        <w:bidi w:val="0"/>
        <w:jc w:val="left"/>
        <w:rPr>
          <w:lang w:val="pt-PT"/>
        </w:rPr>
      </w:pPr>
      <w:r>
        <w:rPr>
          <w:lang w:val="pt-PT"/>
        </w:rPr>
        <w:t>Capítulo 9 — Conclusões e Trabalhos Futuros</w:t>
      </w:r>
    </w:p>
    <w:p>
      <w:pPr>
        <w:pStyle w:val="Heading3"/>
        <w:bidi w:val="0"/>
        <w:jc w:val="left"/>
        <w:rPr>
          <w:lang w:val="pt-PT"/>
        </w:rPr>
      </w:pPr>
      <w:r>
        <w:rPr>
          <w:lang w:val="pt-PT"/>
        </w:rPr>
      </w:r>
    </w:p>
    <w:p>
      <w:pPr>
        <w:pStyle w:val="Heading3"/>
        <w:bidi w:val="0"/>
        <w:jc w:val="left"/>
        <w:rPr>
          <w:lang w:val="pt-PT"/>
        </w:rPr>
      </w:pPr>
      <w:r>
        <w:rPr>
          <w:lang w:val="pt-PT"/>
        </w:rPr>
        <w:t>9.1 Síntese dos principais contributos</w:t>
      </w:r>
    </w:p>
    <w:p>
      <w:pPr>
        <w:pStyle w:val="Normal"/>
        <w:bidi w:val="0"/>
        <w:jc w:val="left"/>
        <w:rPr>
          <w:lang w:val="pt-PT"/>
        </w:rPr>
      </w:pPr>
      <w:r>
        <w:rPr>
          <w:lang w:val="pt-PT"/>
        </w:rPr>
      </w:r>
    </w:p>
    <w:p>
      <w:pPr>
        <w:pStyle w:val="Normal"/>
        <w:bidi w:val="0"/>
        <w:jc w:val="left"/>
        <w:rPr>
          <w:lang w:val="pt-PT"/>
        </w:rPr>
      </w:pPr>
      <w:r>
        <w:rPr>
          <w:lang w:val="pt-PT"/>
        </w:rPr>
        <w:t xml:space="preserve">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w:t>
      </w:r>
      <w:r>
        <w:rPr/>
        <w:t>O contributo metodológico da investigação reside no desenvolvimento de uma infraestrutura de apoio à configuração protésica, capaz de tornar mais explícita, documentável e acessível a passagem entre dados do utilizador, parâmetros geométricos e geometria exportável, sem reivindicar validação clínica da prótese resultante.</w:t>
      </w:r>
    </w:p>
    <w:p>
      <w:pPr>
        <w:pStyle w:val="Normal"/>
        <w:bidi w:val="0"/>
        <w:jc w:val="left"/>
        <w:rPr>
          <w:lang w:val="pt-PT"/>
        </w:rPr>
      </w:pPr>
      <w:r>
        <w:rPr>
          <w:lang w:val="pt-PT"/>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e 3MF.</w:t>
      </w:r>
    </w:p>
    <w:p>
      <w:pPr>
        <w:pStyle w:val="Normal"/>
        <w:bidi w:val="0"/>
        <w:jc w:val="left"/>
        <w:rPr>
          <w:lang w:val="pt-PT"/>
        </w:rPr>
      </w:pPr>
      <w:r>
        <w:rPr>
          <w:lang w:val="pt-PT"/>
        </w:rPr>
        <w:t>A integração da IA acrescentou uma camada de apoio à decisão, capaz de transformar descrições incompletas em pontos de partida plausíveis, desde que as sugestões sejam enquadradas pelo esquema de parâmetros do modelo, pelos limites definidos e por validação posterior.</w:t>
      </w:r>
    </w:p>
    <w:p>
      <w:pPr>
        <w:pStyle w:val="Normal"/>
        <w:bidi w:val="0"/>
        <w:jc w:val="left"/>
        <w:rPr>
          <w:lang w:val="pt-PT"/>
        </w:rPr>
      </w:pPr>
      <w:r>
        <w:rPr>
          <w:lang w:val="pt-PT"/>
        </w:rP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w:t>
      </w:r>
    </w:p>
    <w:p>
      <w:pPr>
        <w:pStyle w:val="Normal"/>
        <w:bidi w:val="0"/>
        <w:jc w:val="left"/>
        <w:rPr>
          <w:lang w:val="pt-PT"/>
        </w:rPr>
      </w:pPr>
      <w:r>
        <w:rPr/>
        <w:t>Terceiro, a validação geométrica entre modelos demonstrou que a exportação em STL/3MF é indispensável para identificar constrangimentos que a resposta numérica não revela, como limites mínimos de escala, dependências herdadas do código original e diferenças efetivas entre modelos.</w:t>
      </w:r>
    </w:p>
    <w:p>
      <w:pPr>
        <w:pStyle w:val="Normal"/>
        <w:bidi w:val="0"/>
        <w:jc w:val="left"/>
        <w:rPr>
          <w:lang w:val="pt-PT"/>
        </w:rPr>
      </w:pPr>
      <w:r>
        <w:rPr/>
        <w:t>Quarto, a prototipagem física confirmou que as configurações selecionadas a partir dos testes de perfil podiam ser preparadas para impressão e impressas, permitindo verificar escala, integridade formal, zonas críticas e montagem preliminar. Esta etapa validou a viabilidade produtiva do fluxo, mas não constitui validação clínica ou biomecânica completa.</w:t>
      </w:r>
    </w:p>
    <w:p>
      <w:pPr>
        <w:pStyle w:val="Normal"/>
        <w:bidi w:val="0"/>
        <w:jc w:val="left"/>
        <w:rPr>
          <w:lang w:val="pt-PT"/>
        </w:rPr>
      </w:pPr>
      <w:r>
        <w:rPr/>
        <w:t>Quinto, a avaliação centrada no utilizador revelou que a acessibilidade paramétrica depende tanto da qualidade da inferência - entendida como o processo através do qual a IA transforma informação incompleta, indireta ou descritiva em sugestões paramétricas plausíveis - como das salvaguardas incorporadas na interface: entradas vagas e formuladas em diferentes línguas foram tratadas com robustez, mas a lateralidade, a adequação do modelo escolhido e a proveniência das estimativas exigem controlos explícitos para evitar confiança excessiva no resultado.</w:t>
      </w:r>
    </w:p>
    <w:p>
      <w:pPr>
        <w:pStyle w:val="Normal"/>
        <w:bidi w:val="0"/>
        <w:jc w:val="left"/>
        <w:rPr>
          <w:lang w:val="pt-PT"/>
        </w:rPr>
      </w:pPr>
      <w:r>
        <w:rPr>
          <w:lang w:val="pt-PT"/>
        </w:rPr>
        <w:t>A mesma lógica sugere a possibilidade de extensão da arquitetura a outros segmentos corporais. A plataforma deixa de depender exclusivamente de pressupostos específicos da mão quando propriedades como lateralidade, tipo de membro e orientação antropométrica passam a ser declaradas no ficheiro de configuração do modelo.</w:t>
      </w:r>
    </w:p>
    <w:p>
      <w:pPr>
        <w:pStyle w:val="Normal"/>
        <w:bidi w:val="0"/>
        <w:jc w:val="left"/>
        <w:rPr>
          <w:lang w:val="pt-PT"/>
        </w:rPr>
      </w:pPr>
      <w:r>
        <w:rPr>
          <w:lang w:val="pt-PT"/>
        </w:rPr>
        <w:t>Este passo não valida automaticamente a plataforma para dispositivos destinados ao pé, à perna ou ao braço, uma vez que essa extensão exigiria novos conjuntos de dados, novos mapeamentos antropométricos e validação geométrica específica. Ainda assim, demonstra que a estrutura técnica pode evoluir de um configurador de membros superiores e mãos para uma plataforma paramétrica organizada por tipo de membro, desde que cada modelo declare a sua lógica dimensional, os parâmetros relevantes e os respetivos limites de fabrico.</w:t>
      </w:r>
    </w:p>
    <w:p>
      <w:pPr>
        <w:pStyle w:val="Normal"/>
        <w:bidi w:val="0"/>
        <w:jc w:val="left"/>
        <w:rPr>
          <w:lang w:val="pt-PT"/>
        </w:rPr>
      </w:pPr>
      <w:r>
        <w:rPr>
          <w:lang w:val="pt-PT"/>
        </w:rPr>
      </w:r>
    </w:p>
    <w:p>
      <w:pPr>
        <w:pStyle w:val="Heading3"/>
        <w:bidi w:val="0"/>
        <w:jc w:val="left"/>
        <w:rPr>
          <w:lang w:val="pt-PT"/>
        </w:rPr>
      </w:pPr>
      <w:r>
        <w:rPr>
          <w:lang w:val="pt-PT"/>
        </w:rPr>
        <w:t>9.2 Contributos para o Design Industrial</w:t>
      </w:r>
    </w:p>
    <w:p>
      <w:pPr>
        <w:pStyle w:val="Heading3"/>
        <w:bidi w:val="0"/>
        <w:jc w:val="left"/>
        <w:rPr>
          <w:lang w:val="pt-PT"/>
        </w:rPr>
      </w:pPr>
      <w:r>
        <w:rPr>
          <w:lang w:val="pt-PT"/>
        </w:rPr>
      </w:r>
    </w:p>
    <w:p>
      <w:pPr>
        <w:pStyle w:val="Normal"/>
        <w:bidi w:val="0"/>
        <w:jc w:val="left"/>
        <w:rPr>
          <w:lang w:val="pt-PT"/>
        </w:rPr>
      </w:pPr>
      <w:r>
        <w:rPr>
          <w:lang w:val="pt-PT"/>
        </w:rPr>
        <w:t>O contributo principal reside na demonstração de um processo em que o artefacto, a interface e a lógica paramétrica funcionam como instrumentos de investigação. A prótese é aqui entendida como sistema configurável, no qual requisitos anatómicos, funcionais, produtivos e de utilização são traduzidos em parâmetros passíveis de análise crítica.</w:t>
      </w:r>
    </w:p>
    <w:p>
      <w:pPr>
        <w:pStyle w:val="Normal"/>
        <w:bidi w:val="0"/>
        <w:jc w:val="left"/>
        <w:rPr>
          <w:lang w:val="pt-PT"/>
        </w:rPr>
      </w:pPr>
      <w:r>
        <w:rPr>
          <w:lang w:val="pt-PT"/>
        </w:rPr>
        <w:t>Esta abordagem reforça o papel do designer como mediador entre dados, tecnologia, fabrico e experiência humana.</w:t>
      </w:r>
    </w:p>
    <w:p>
      <w:pPr>
        <w:pStyle w:val="Normal"/>
        <w:bidi w:val="0"/>
        <w:jc w:val="left"/>
        <w:rPr>
          <w:lang w:val="pt-PT"/>
        </w:rPr>
      </w:pPr>
      <w:r>
        <w:rPr>
          <w:lang w:val="pt-PT"/>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de apoio, nos quais a acessibilidade da configuração deve ser equilibrada com responsabilidade, segurança e coerência funcional.</w:t>
      </w:r>
    </w:p>
    <w:p>
      <w:pPr>
        <w:pStyle w:val="Normal"/>
        <w:bidi w:val="0"/>
        <w:jc w:val="left"/>
        <w:rPr>
          <w:lang w:val="pt-PT"/>
        </w:rPr>
      </w:pPr>
      <w:r>
        <w:rPr>
          <w:lang w:val="pt-PT"/>
        </w:rPr>
        <w:t xml:space="preserve">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w:t>
      </w:r>
      <w:r>
        <w:rPr>
          <w:i/>
          <w:iCs/>
          <w:lang w:val="pt-PT"/>
        </w:rPr>
        <w:t>human-in-the-loop</w:t>
      </w:r>
      <w:r>
        <w:rPr>
          <w:lang w:val="pt-PT"/>
        </w:rPr>
        <w:t>, articulada com regras explícitas, dados antropométricos, visualização, exportação e revisão técnica.</w:t>
      </w:r>
    </w:p>
    <w:p>
      <w:pPr>
        <w:pStyle w:val="Heading3"/>
        <w:bidi w:val="0"/>
        <w:jc w:val="left"/>
        <w:rPr>
          <w:lang w:val="pt-PT"/>
        </w:rPr>
      </w:pPr>
      <w:r>
        <w:rPr>
          <w:lang w:val="pt-PT"/>
        </w:rPr>
      </w:r>
    </w:p>
    <w:p>
      <w:pPr>
        <w:pStyle w:val="Heading3"/>
        <w:bidi w:val="0"/>
        <w:jc w:val="left"/>
        <w:rPr>
          <w:lang w:val="pt-PT"/>
        </w:rPr>
      </w:pPr>
      <w:r>
        <w:rPr>
          <w:lang w:val="pt-PT"/>
        </w:rPr>
        <w:t>9.3 Limitações e perspetivas de desenvolvimento futuro</w:t>
      </w:r>
    </w:p>
    <w:p>
      <w:pPr>
        <w:pStyle w:val="Heading3"/>
        <w:bidi w:val="0"/>
        <w:jc w:val="left"/>
        <w:rPr>
          <w:lang w:val="pt-PT"/>
        </w:rPr>
      </w:pPr>
      <w:r>
        <w:rPr>
          <w:lang w:val="pt-PT"/>
        </w:rPr>
      </w:r>
    </w:p>
    <w:p>
      <w:pPr>
        <w:pStyle w:val="Normal"/>
        <w:bidi w:val="0"/>
        <w:jc w:val="left"/>
        <w:rPr>
          <w:lang w:val="pt-PT"/>
        </w:rPr>
      </w:pPr>
      <w:r>
        <w:rPr>
          <w:lang w:val="pt-PT"/>
        </w:rPr>
        <w:t xml:space="preserve">O alcance das conclusões deve ser entendido a partir do caráter metodológico e técnico da validação realizada. </w:t>
      </w:r>
      <w:r>
        <w:rPr/>
        <w:t>A avaliação incidiu sobre perfis simulados, dados secundários e critérios internos de verificação numérica e coerência paramétrica, deixando para investigação futura os testes com utilizadores reais, as avaliações clínicas, as medições diretas de conforto, os ensaios funcionais prolongados e a validação biomecânica completa.</w:t>
      </w:r>
    </w:p>
    <w:p>
      <w:pPr>
        <w:pStyle w:val="Normal"/>
        <w:bidi w:val="0"/>
        <w:jc w:val="left"/>
        <w:rPr>
          <w:lang w:val="pt-PT"/>
        </w:rPr>
      </w:pPr>
      <w:r>
        <w:rPr>
          <w:lang w:val="pt-PT"/>
        </w:rPr>
        <w:t>Assim, os resultados sustentam a validação do fluxo de personalização, sem constituírem demonstração de eficácia protésica em contexto de uso.</w:t>
      </w:r>
    </w:p>
    <w:p>
      <w:pPr>
        <w:pStyle w:val="Normal"/>
        <w:bidi w:val="0"/>
        <w:jc w:val="left"/>
        <w:rPr>
          <w:lang w:val="pt-PT"/>
        </w:rPr>
      </w:pPr>
      <w:r>
        <w:rPr>
          <w:lang w:val="pt-PT"/>
        </w:rPr>
        <w:t>A componente de IA exige desenvolvimento adicional, mesmo após a correção determinística da lateralidade. A saída deve ser validada por esquema JSON no servidor, prevendo-se a repetição automática do pedido sempre que a resposta se afaste da estrutura definida.</w:t>
      </w:r>
    </w:p>
    <w:p>
      <w:pPr>
        <w:pStyle w:val="Normal"/>
        <w:bidi w:val="0"/>
        <w:jc w:val="left"/>
        <w:rPr>
          <w:lang w:val="pt-PT"/>
        </w:rPr>
      </w:pPr>
      <w:r>
        <w:rPr>
          <w:lang w:val="pt-PT"/>
        </w:rPr>
        <w:t>O carácter probabilístico das respostas da IA deve ser avaliado através de múltiplas extrações por perfil, reportando valores médios, dispersão e taxas de aprovação das propriedades estáveis do sistema.</w:t>
      </w:r>
    </w:p>
    <w:p>
      <w:pPr>
        <w:pStyle w:val="Normal"/>
        <w:bidi w:val="0"/>
        <w:jc w:val="left"/>
        <w:rPr>
          <w:lang w:val="pt-PT"/>
        </w:rPr>
      </w:pPr>
      <w:r>
        <w:rPr>
          <w:lang w:val="pt-PT"/>
        </w:rPr>
        <w:t>A comparação com bases de dados antropométricas ou medições reais permitiria evoluir de uma verificação interna de coerência para uma estimativa mais rigorosa do erro.Do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lang w:val="pt-PT"/>
        </w:rPr>
      </w:pPr>
      <w:r>
        <w:rPr>
          <w:lang w:val="pt-PT"/>
        </w:rPr>
        <w:t>Do ponto de vista geométrico e produtivo, a validação física inicial deve ser aprofundada através de ensaios mais sistemáticos de montagem, controlo de tolerâncias, resistência, desgaste, consistência entre impressões sucessivas e adequação ao uso.</w:t>
      </w:r>
    </w:p>
    <w:p>
      <w:pPr>
        <w:pStyle w:val="Normal"/>
        <w:bidi w:val="0"/>
        <w:jc w:val="left"/>
        <w:rPr>
          <w:lang w:val="pt-PT"/>
        </w:rPr>
      </w:pPr>
      <w:r>
        <w:rPr>
          <w:lang w:val="pt-PT"/>
        </w:rPr>
        <w:t>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ao material e ao objetivo de fabrico.</w:t>
      </w:r>
    </w:p>
    <w:p>
      <w:pPr>
        <w:pStyle w:val="Normal"/>
        <w:bidi w:val="0"/>
        <w:jc w:val="left"/>
        <w:rPr>
          <w:lang w:val="pt-PT"/>
        </w:rPr>
      </w:pPr>
      <w:r>
        <w:rPr>
          <w:lang w:val="pt-PT"/>
        </w:rPr>
        <w:t>Por fim, a investigação abre espaço para estudos com utilizadores, técnicos e designers, avaliando não apenas a geometria exportada, mas também a clareza com que a interface comunica o processo de configuração, a confiança nas sugestões, a distribuição de responsabilidade e a utilidade real do fluxo em contextos de prototipagem.</w:t>
      </w:r>
    </w:p>
    <w:p>
      <w:pPr>
        <w:pStyle w:val="Normal"/>
        <w:bidi w:val="0"/>
        <w:jc w:val="left"/>
        <w:rPr>
          <w:lang w:val="pt-PT"/>
        </w:rPr>
      </w:pPr>
      <w:r>
        <w:rPr>
          <w:lang w:val="pt-PT"/>
        </w:rPr>
        <w:t>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lang w:val="pt-PT"/>
        </w:rPr>
      </w:pPr>
      <w:r>
        <w:rPr>
          <w:lang w:val="pt-PT"/>
        </w:rPr>
      </w:r>
      <w:r>
        <w:br w:type="page"/>
      </w:r>
    </w:p>
    <w:p>
      <w:pPr>
        <w:pStyle w:val="Heading2"/>
        <w:bidi w:val="0"/>
        <w:spacing w:before="0" w:after="0"/>
        <w:jc w:val="left"/>
        <w:rPr>
          <w:lang w:val="pt-PT"/>
        </w:rPr>
      </w:pPr>
      <w:r>
        <w:rPr>
          <w:lang w:val="pt-PT"/>
        </w:rPr>
        <w:t>Bibliografia</w:t>
      </w:r>
    </w:p>
    <w:p>
      <w:pPr>
        <w:pStyle w:val="Normal"/>
        <w:bidi w:val="0"/>
        <w:jc w:val="left"/>
        <w:rPr>
          <w:lang w:val="pt-PT"/>
        </w:rPr>
      </w:pPr>
      <w:r>
        <w:rPr>
          <w:lang w:val="pt-PT"/>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lang w:val="pt-PT"/>
        </w:rPr>
      </w:pPr>
      <w:r>
        <w:rPr>
          <w:lang w:val="pt-PT"/>
        </w:rPr>
        <w:t>&lt;a id="ref-albin-2023"&gt;&lt;/a&gt; Albin, T., &amp; Molenbroek, J. F. M. (2023). Introduction to the special issue, anthropometry in design. https://repository.tudelft.nl/file/Fileda5bfdc9-98bc-41d3-a402-553d5f0d0a63</w:t>
      </w:r>
    </w:p>
    <w:p>
      <w:pPr>
        <w:pStyle w:val="Normal"/>
        <w:bidi w:val="0"/>
        <w:jc w:val="left"/>
        <w:rPr>
          <w:lang w:val="pt-PT"/>
        </w:rPr>
      </w:pPr>
      <w:r>
        <w:rPr>
          <w:lang w:val="pt-PT"/>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lang w:val="pt-PT"/>
        </w:rPr>
      </w:pPr>
      <w:r>
        <w:rPr>
          <w:lang w:val="pt-PT"/>
        </w:rPr>
        <w:t>&lt;a id="ref-astm-international-2024"&gt;&lt;/a&gt; ASTM International. (2024). Standard guide for assessing fit accommodation of exoskeletons for manufacturers and designers. https://www.astm.org/f3661-24.html</w:t>
      </w:r>
    </w:p>
    <w:p>
      <w:pPr>
        <w:pStyle w:val="Normal"/>
        <w:bidi w:val="0"/>
        <w:jc w:val="left"/>
        <w:rPr>
          <w:lang w:val="pt-PT"/>
        </w:rPr>
      </w:pPr>
      <w:r>
        <w:rPr>
          <w:lang w:val="pt-PT"/>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lang w:val="pt-PT"/>
        </w:rPr>
      </w:pPr>
      <w:r>
        <w:rPr>
          <w:lang w:val="pt-PT"/>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lang w:val="pt-PT"/>
        </w:rPr>
      </w:pPr>
      <w:r>
        <w:rPr>
          <w:lang w:val="pt-PT"/>
        </w:rPr>
        <w:t>&lt;a id="ref-bradtmiller-2022"&gt;&lt;/a&gt; Bradtmiller, B. (2022). Design for all, design for disabled: How important is anthropometry? https://researchonline.jcu.edu.au/76898/</w:t>
      </w:r>
    </w:p>
    <w:p>
      <w:pPr>
        <w:pStyle w:val="Normal"/>
        <w:bidi w:val="0"/>
        <w:jc w:val="left"/>
        <w:rPr>
          <w:lang w:val="pt-PT"/>
        </w:rPr>
      </w:pPr>
      <w:r>
        <w:rPr>
          <w:lang w:val="pt-PT"/>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lang w:val="pt-PT"/>
        </w:rPr>
      </w:pPr>
      <w:r>
        <w:rPr>
          <w:lang w:val="pt-PT"/>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lang w:val="pt-PT"/>
        </w:rPr>
      </w:pPr>
      <w:r>
        <w:rPr>
          <w:lang w:val="pt-PT"/>
        </w:rPr>
        <w:t>&lt;a id="ref-colombo-2015"&gt;&lt;/a&gt; Colombo, G., Facoetti, G., Rizzi, C., &amp; Vitali, A. (2015). Low cost hand-tracking devices to design customized medical devices. Interacción. https://doi.org/10.1007/978-3-319-21067-436</w:t>
      </w:r>
    </w:p>
    <w:p>
      <w:pPr>
        <w:pStyle w:val="Normal"/>
        <w:bidi w:val="0"/>
        <w:jc w:val="left"/>
        <w:rPr>
          <w:lang w:val="pt-PT"/>
        </w:rPr>
      </w:pPr>
      <w:r>
        <w:rPr>
          <w:lang w:val="pt-PT"/>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lang w:val="pt-PT"/>
        </w:rPr>
      </w:pPr>
      <w:r>
        <w:rPr>
          <w:lang w:val="pt-PT"/>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lang w:val="pt-PT"/>
        </w:rPr>
      </w:pPr>
      <w:r>
        <w:rPr>
          <w:lang w:val="pt-PT"/>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lang w:val="pt-PT"/>
        </w:rPr>
      </w:pPr>
      <w:r>
        <w:rPr>
          <w:lang w:val="pt-PT"/>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lang w:val="pt-PT"/>
        </w:rPr>
      </w:pPr>
      <w:r>
        <w:rPr>
          <w:lang w:val="pt-PT"/>
        </w:rPr>
        <w:t>&lt;a id="ref-fink-2023"&gt;&lt;/a&gt; Fink, C., &amp; Diamond, Y. (2023). Prosthesis options and management in upper extremity amputation. https://www.semanticscholar.org/paper/3532a770446eb6144ef25a6b0162d1f98b61e0ff</w:t>
      </w:r>
    </w:p>
    <w:p>
      <w:pPr>
        <w:pStyle w:val="Normal"/>
        <w:bidi w:val="0"/>
        <w:jc w:val="left"/>
        <w:rPr>
          <w:lang w:val="pt-PT"/>
        </w:rPr>
      </w:pPr>
      <w:r>
        <w:rPr>
          <w:lang w:val="pt-PT"/>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lang w:val="pt-PT"/>
        </w:rPr>
      </w:pPr>
      <w:r>
        <w:rPr>
          <w:lang w:val="pt-PT"/>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lang w:val="pt-PT"/>
        </w:rPr>
      </w:pPr>
      <w:r>
        <w:rPr>
          <w:lang w:val="pt-PT"/>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lang w:val="pt-PT"/>
        </w:rPr>
      </w:pPr>
      <w:r>
        <w:rPr>
          <w:lang w:val="pt-PT"/>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lang w:val="pt-PT"/>
        </w:rPr>
      </w:pPr>
      <w:r>
        <w:rPr>
          <w:lang w:val="pt-PT"/>
        </w:rPr>
        <w:t>&lt;a id="ref-lindell-2021"&gt;&lt;/a&gt; Lindell, E., Tingsvik, H., Guo, L., &amp; Peterson, J. (2021). 3D body scan as anthropometric tool for individualized prosthetic socks. https://sciendo.com/pdf/10.2478/aut-2021-0007</w:t>
      </w:r>
    </w:p>
    <w:p>
      <w:pPr>
        <w:pStyle w:val="Normal"/>
        <w:bidi w:val="0"/>
        <w:jc w:val="left"/>
        <w:rPr>
          <w:lang w:val="pt-PT"/>
        </w:rPr>
      </w:pPr>
      <w:r>
        <w:rPr>
          <w:lang w:val="pt-PT"/>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lang w:val="pt-PT"/>
        </w:rPr>
      </w:pPr>
      <w:r>
        <w:rPr>
          <w:lang w:val="pt-PT"/>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lang w:val="pt-PT"/>
        </w:rPr>
      </w:pPr>
      <w:r>
        <w:rPr>
          <w:lang w:val="pt-PT"/>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lang w:val="pt-PT"/>
        </w:rPr>
      </w:pPr>
      <w:r>
        <w:rPr>
          <w:lang w:val="pt-PT"/>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lang w:val="pt-PT"/>
        </w:rPr>
      </w:pPr>
      <w:r>
        <w:rPr>
          <w:lang w:val="pt-PT"/>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lang w:val="pt-PT"/>
        </w:rPr>
      </w:pPr>
      <w:r>
        <w:rPr>
          <w:lang w:val="pt-PT"/>
        </w:rPr>
        <w:t>&lt;a id="ref-clarkson-2010"&gt;&lt;/a&gt; Clarkson, J., &amp; Coleman, R. (2010). Inclusive design. Design Studies. https://doi.org/10.1080/09544821003693689</w:t>
      </w:r>
    </w:p>
    <w:p>
      <w:pPr>
        <w:pStyle w:val="Normal"/>
        <w:bidi w:val="0"/>
        <w:jc w:val="left"/>
        <w:rPr>
          <w:lang w:val="pt-PT"/>
        </w:rPr>
      </w:pPr>
      <w:r>
        <w:rPr>
          <w:lang w:val="pt-PT"/>
        </w:rPr>
        <w:t>&lt;a id="ref-chtioui-2023"&gt;&lt;/a&gt; Chtioui, N., Gaha, R., &amp; Benamara, A. (2023). Design for additive manufacturing: Review and framework proposal. https://sei.ardascience.com/index.php/journal/article/download/185/169</w:t>
      </w:r>
    </w:p>
    <w:p>
      <w:pPr>
        <w:pStyle w:val="Normal"/>
        <w:bidi w:val="0"/>
        <w:jc w:val="left"/>
        <w:rPr>
          <w:lang w:val="pt-PT"/>
        </w:rPr>
      </w:pPr>
      <w:r>
        <w:rPr>
          <w:lang w:val="pt-PT"/>
        </w:rPr>
        <w:t>&lt;a id="ref-fisher-2020"&gt;&lt;/a&gt; Fisher, M., &amp; Johansen, E. (2020). Human-centered design for medical devices and diagnostics in global health. https://www.semanticscholar.org/paper/89c3c6bd56f4d0b54f5da3e3c96f18e815d9f5d4</w:t>
      </w:r>
    </w:p>
    <w:p>
      <w:pPr>
        <w:pStyle w:val="Normal"/>
        <w:bidi w:val="0"/>
        <w:jc w:val="left"/>
        <w:rPr>
          <w:lang w:val="pt-PT"/>
        </w:rPr>
      </w:pPr>
      <w:r>
        <w:rPr>
          <w:lang w:val="pt-PT"/>
        </w:rPr>
        <w:t>&lt;a id="ref-millet-2018"&gt;&lt;/a&gt; Millet, A., Akle, A. A., &amp; Legardeur, J. (2018). Human centred criteria for healthcare design. https://www.semanticscholar.org/paper/267b655f123f4f167f1f9e7e6c8a1f17f73a73d0</w:t>
      </w:r>
    </w:p>
    <w:p>
      <w:pPr>
        <w:pStyle w:val="Normal"/>
        <w:bidi w:val="0"/>
        <w:jc w:val="left"/>
        <w:rPr>
          <w:lang w:val="pt-PT"/>
        </w:rPr>
      </w:pPr>
      <w:r>
        <w:rPr>
          <w:lang w:val="pt-PT"/>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lang w:val="pt-PT"/>
        </w:rPr>
      </w:pPr>
      <w:r>
        <w:rPr>
          <w:lang w:val="pt-PT"/>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lang w:val="pt-PT"/>
        </w:rPr>
      </w:pPr>
      <w:r>
        <w:rPr>
          <w:lang w:val="pt-PT"/>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lang w:val="pt-PT"/>
        </w:rPr>
      </w:pPr>
      <w:r>
        <w:rPr>
          <w:lang w:val="pt-PT"/>
        </w:rPr>
        <w:t xml:space="preserve">&lt;a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lang w:val="pt-PT"/>
        </w:rPr>
      </w:pPr>
      <w:r>
        <w:rPr>
          <w:lang w:val="pt-PT"/>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lang w:val="pt-PT"/>
        </w:rPr>
      </w:pPr>
      <w:r>
        <w:rPr>
          <w:lang w:val="pt-PT"/>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lang w:val="pt-PT"/>
        </w:rPr>
      </w:pPr>
      <w:r>
        <w:rPr>
          <w:lang w:val="pt-PT"/>
        </w:rPr>
        <w:t>&lt;a id="ref-soyer-2016"&gt;&lt;/a&gt; Soyer, K., Unver, B., Tamer, S., &amp; Ulger, O. (2016). The importance of rehabilitation concerning upper extremity amputees: A systematic review. https://pjms.com.pk/index.php/pjms/article/view/9922/4660</w:t>
      </w:r>
    </w:p>
    <w:p>
      <w:pPr>
        <w:pStyle w:val="Normal"/>
        <w:bidi w:val="0"/>
        <w:jc w:val="left"/>
        <w:rPr>
          <w:lang w:val="pt-PT"/>
        </w:rPr>
      </w:pPr>
      <w:r>
        <w:rPr>
          <w:lang w:val="pt-PT"/>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lang w:val="pt-PT"/>
        </w:rPr>
      </w:pPr>
      <w:r>
        <w:rPr>
          <w:lang w:val="pt-PT"/>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lang w:val="pt-PT"/>
        </w:rPr>
      </w:pPr>
      <w:r>
        <w:rPr>
          <w:lang w:val="pt-PT"/>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lang w:val="pt-PT"/>
        </w:rPr>
      </w:pPr>
      <w:r>
        <w:rPr>
          <w:lang w:val="pt-PT"/>
        </w:rPr>
        <w:t>&lt;a id="ref-story-2006"&gt;&lt;/a&gt; Story, M. (2006). Applying the principles of universal design to medical devices. https://www.semanticscholar.org/paper/d0d84425d517331607c9120290ed26d1bf2e1862</w:t>
      </w:r>
    </w:p>
    <w:p>
      <w:pPr>
        <w:pStyle w:val="Normal"/>
        <w:bidi w:val="0"/>
        <w:jc w:val="left"/>
        <w:rPr>
          <w:lang w:val="pt-PT"/>
        </w:rPr>
      </w:pPr>
      <w:r>
        <w:rPr>
          <w:lang w:val="pt-PT"/>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lang w:val="pt-PT"/>
        </w:rPr>
      </w:pPr>
      <w:r>
        <w:rPr>
          <w:lang w:val="pt-PT"/>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lang w:val="pt-PT"/>
        </w:rPr>
      </w:pPr>
      <w:r>
        <w:rPr>
          <w:lang w:val="pt-PT"/>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lang w:val="pt-PT"/>
        </w:rPr>
      </w:pPr>
      <w:r>
        <w:rPr>
          <w:lang w:val="pt-PT"/>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lang w:val="pt-PT"/>
        </w:rPr>
      </w:pPr>
      <w:r>
        <w:rPr>
          <w:lang w:val="pt-PT"/>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lang w:val="pt-PT"/>
        </w:rPr>
      </w:pPr>
      <w:r>
        <w:rPr>
          <w:lang w:val="pt-PT"/>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lang w:val="pt-PT"/>
        </w:rPr>
      </w:pPr>
      <w:r>
        <w:rPr>
          <w:lang w:val="pt-PT"/>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lang w:val="pt-PT"/>
        </w:rPr>
      </w:pPr>
      <w:r>
        <w:rPr>
          <w:lang w:val="pt-PT"/>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lang w:val="pt-PT"/>
        </w:rPr>
      </w:pPr>
      <w:r>
        <w:rPr>
          <w:lang w:val="pt-PT"/>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lang w:val="pt-PT"/>
        </w:rPr>
      </w:pPr>
      <w:r>
        <w:rPr>
          <w:lang w:val="pt-PT"/>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lang w:val="pt-PT"/>
        </w:rPr>
      </w:pPr>
      <w:r>
        <w:rPr>
          <w:lang w:val="pt-PT"/>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lang w:val="pt-PT"/>
        </w:rPr>
      </w:pPr>
      <w:r>
        <w:rPr>
          <w:lang w:val="pt-PT"/>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lang w:val="pt-PT"/>
        </w:rPr>
      </w:pPr>
      <w:r>
        <w:rPr>
          <w:lang w:val="pt-PT"/>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lang w:val="pt-PT"/>
        </w:rPr>
      </w:pPr>
      <w:r>
        <w:rPr>
          <w:lang w:val="pt-PT"/>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lang w:val="pt-PT"/>
        </w:rPr>
      </w:pPr>
      <w:r>
        <w:rPr>
          <w:lang w:val="pt-PT"/>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lang w:val="pt-PT"/>
        </w:rPr>
      </w:pPr>
      <w:r>
        <w:rPr>
          <w:lang w:val="pt-PT"/>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lang w:val="pt-PT"/>
        </w:rPr>
      </w:pPr>
      <w:r>
        <w:rPr>
          <w:lang w:val="pt-PT"/>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lang w:val="pt-PT"/>
        </w:rPr>
      </w:pPr>
      <w:r>
        <w:rPr>
          <w:lang w:val="pt-PT"/>
        </w:rPr>
        <w:t>&lt;a id="ref-krahe-2020"&gt;&lt;/a&gt; Krahe, C., Bräunche, A., Jacob, A., Stricker, N., &amp; Lanza, G. (2020). Deep learning for automated product design. https://www.semanticscholar.org/paper/a5b9b4f63805f2b1773bc8214b29e38dbac27975</w:t>
      </w:r>
    </w:p>
    <w:p>
      <w:pPr>
        <w:pStyle w:val="Normal"/>
        <w:bidi w:val="0"/>
        <w:jc w:val="left"/>
        <w:rPr>
          <w:lang w:val="pt-PT"/>
        </w:rPr>
      </w:pPr>
      <w:r>
        <w:rPr>
          <w:lang w:val="pt-PT"/>
        </w:rPr>
        <w:t>&lt;a id="ref-li-2021"&gt;&lt;/a&gt; Li, X., Demirel, H., Goldstein, M., &amp; Sha, Z. (2021). Exploring generative design thinking for engineering design and design education. https://peer.asee.org/38349.pdf</w:t>
      </w:r>
    </w:p>
    <w:p>
      <w:pPr>
        <w:pStyle w:val="Normal"/>
        <w:bidi w:val="0"/>
        <w:jc w:val="left"/>
        <w:rPr>
          <w:lang w:val="pt-PT"/>
        </w:rPr>
      </w:pPr>
      <w:r>
        <w:rPr>
          <w:lang w:val="pt-PT"/>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lang w:val="pt-PT"/>
        </w:rPr>
      </w:pPr>
      <w:r>
        <w:rPr>
          <w:lang w:val="pt-PT"/>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lang w:val="pt-PT"/>
        </w:rPr>
      </w:pPr>
      <w:r>
        <w:rPr>
          <w:lang w:val="pt-PT"/>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lang w:val="pt-PT"/>
        </w:rPr>
      </w:pPr>
      <w:r>
        <w:rPr>
          <w:lang w:val="pt-PT"/>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lang w:val="pt-PT"/>
        </w:rPr>
      </w:pPr>
      <w:r>
        <w:rPr>
          <w:lang w:val="pt-PT"/>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lang w:val="pt-PT"/>
        </w:rPr>
      </w:pPr>
      <w:r>
        <w:rPr>
          <w:lang w:val="pt-PT"/>
        </w:rPr>
        <w:t>&lt;a id="ref-verganti-2020"&gt;&lt;/a&gt; Verganti, R., Vendraminelli, L., &amp; Iansiti, M. (2020). Innovation and design in the age of artificial intelligence. https://onlinelibrary.wiley.com/doi/pdfdirect/10.1111/jpim.12523</w:t>
      </w:r>
    </w:p>
    <w:p>
      <w:pPr>
        <w:pStyle w:val="Normal"/>
        <w:bidi w:val="0"/>
        <w:jc w:val="left"/>
        <w:rPr>
          <w:lang w:val="pt-PT"/>
        </w:rPr>
      </w:pPr>
      <w:r>
        <w:rPr>
          <w:lang w:val="pt-PT"/>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lang w:val="pt-PT"/>
        </w:rPr>
      </w:pPr>
      <w:r>
        <w:rPr>
          <w:lang w:val="pt-PT"/>
        </w:rPr>
        <w:t>&lt;a id="ref-wang-2024"&gt;&lt;/a&gt; Wang, X., &amp; Hu, B. (2024). Machine learning algorithms for improved product design user experience. https://www.semanticscholar.org/paper/717e7ad25dcafec12f01b6732773bdf9c5a49661</w:t>
      </w:r>
    </w:p>
    <w:p>
      <w:pPr>
        <w:pStyle w:val="Normal"/>
        <w:bidi w:val="0"/>
        <w:jc w:val="left"/>
        <w:rPr>
          <w:lang w:val="pt-PT"/>
        </w:rPr>
      </w:pPr>
      <w:r>
        <w:rPr>
          <w:lang w:val="pt-PT"/>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lang w:val="pt-PT"/>
        </w:rPr>
      </w:pPr>
      <w:r>
        <w:rPr>
          <w:lang w:val="pt-PT"/>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lang w:val="pt-PT"/>
        </w:rPr>
      </w:pPr>
      <w:r>
        <w:rPr>
          <w:lang w:val="pt-PT"/>
        </w:rPr>
        <w:t xml:space="preserve">&lt;a id="ref-cole-2011"&gt;&lt;/a&gt; Cole, E. (2011). Patient-centered design: Interface personalization for individuals with brain injury.</w:t>
      </w:r>
    </w:p>
    <w:p>
      <w:pPr>
        <w:pStyle w:val="Normal"/>
        <w:bidi w:val="0"/>
        <w:jc w:val="left"/>
        <w:rPr>
          <w:lang w:val="pt-PT"/>
        </w:rPr>
      </w:pPr>
      <w:r>
        <w:rPr>
          <w:lang w:val="pt-PT"/>
        </w:rPr>
        <w:t>&lt;a id="ref-costabile-2007"&gt;&lt;/a&gt; Costabile, M. F., Fogli, D., Lanzilotti, R., Marcante, A., Mussio, P., Provenza, L. P., &amp; Piccinno, A. (2007). Meta-design to face co-evolution and communication gaps between users and designers.</w:t>
      </w:r>
    </w:p>
    <w:p>
      <w:pPr>
        <w:pStyle w:val="Normal"/>
        <w:bidi w:val="0"/>
        <w:jc w:val="left"/>
        <w:rPr>
          <w:lang w:val="pt-PT"/>
        </w:rPr>
      </w:pPr>
      <w:r>
        <w:rPr>
          <w:lang w:val="pt-PT"/>
        </w:rPr>
        <w:t>&lt;a id="ref-dechev-2023"&gt;&lt;/a&gt; Dechev, N., Penner, A., Barlow, I., Vukovic, G., &amp; Lalji, M. (2023). Accessible prosthetic arms: Victoria Hand Project and the impact of 3D printing.</w:t>
      </w:r>
    </w:p>
    <w:p>
      <w:pPr>
        <w:pStyle w:val="Normal"/>
        <w:bidi w:val="0"/>
        <w:jc w:val="left"/>
        <w:rPr>
          <w:lang w:val="pt-PT"/>
        </w:rPr>
      </w:pPr>
      <w:r>
        <w:rPr>
          <w:lang w:val="pt-PT"/>
        </w:rPr>
        <w:t>&lt;a id="ref-dexter-2013"&gt;&lt;/a&gt; Dexter, M., Crooks, E., Davies, P., &amp; Simm, W. (2013). Open design and cystic fibrosis: Enabling participation in the design process.</w:t>
      </w:r>
    </w:p>
    <w:p>
      <w:pPr>
        <w:pStyle w:val="Normal"/>
        <w:bidi w:val="0"/>
        <w:jc w:val="left"/>
        <w:rPr>
          <w:lang w:val="pt-PT"/>
        </w:rPr>
      </w:pPr>
      <w:r>
        <w:rPr>
          <w:lang w:val="pt-PT"/>
        </w:rPr>
        <w:t>&lt;a id="ref-fischer-2004"&gt;&lt;/a&gt; Fischer, G., Giaccardi, E., Ye, Y., Sutcliffe, A. G., &amp; Mehandjiev, N. (2004). Meta-design.</w:t>
      </w:r>
    </w:p>
    <w:p>
      <w:pPr>
        <w:pStyle w:val="Normal"/>
        <w:bidi w:val="0"/>
        <w:jc w:val="left"/>
        <w:rPr>
          <w:lang w:val="pt-PT"/>
        </w:rPr>
      </w:pPr>
      <w:r>
        <w:rPr>
          <w:lang w:val="pt-PT"/>
        </w:rPr>
        <w:t>&lt;a id="ref-fischer-2017"&gt;&lt;/a&gt; Fischer, G., Fogli, D., &amp; Piccinno, A. (2017). Revisiting and broadening the meta-design framework for end-user development.</w:t>
      </w:r>
    </w:p>
    <w:p>
      <w:pPr>
        <w:pStyle w:val="Normal"/>
        <w:bidi w:val="0"/>
        <w:jc w:val="left"/>
        <w:rPr>
          <w:lang w:val="pt-PT"/>
        </w:rPr>
      </w:pPr>
      <w:r>
        <w:rPr>
          <w:lang w:val="pt-PT"/>
        </w:rPr>
        <w:t>&lt;a id="ref-frangos-2016"&gt;&lt;/a&gt; Frangos, P., Mierdel, S., &amp; Koirala, S. (2016). Democratising design in scientific innovation: Application of an open value network to open source hardware design.</w:t>
      </w:r>
    </w:p>
    <w:p>
      <w:pPr>
        <w:pStyle w:val="Normal"/>
        <w:bidi w:val="0"/>
        <w:jc w:val="left"/>
        <w:rPr>
          <w:lang w:val="pt-PT"/>
        </w:rPr>
      </w:pPr>
      <w:r>
        <w:rPr>
          <w:lang w:val="pt-PT"/>
        </w:rPr>
        <w:t>&lt;a id="ref-franke-2002"&gt;&lt;/a&gt; Franke, N., &amp; von Hippel, E. (2002). Satisfying heterogeneous user needs via innovation toolkits: The case of Apache security software.</w:t>
      </w:r>
    </w:p>
    <w:p>
      <w:pPr>
        <w:pStyle w:val="Normal"/>
        <w:bidi w:val="0"/>
        <w:jc w:val="left"/>
        <w:rPr>
          <w:lang w:val="pt-PT"/>
        </w:rPr>
      </w:pPr>
      <w:r>
        <w:rPr>
          <w:lang w:val="pt-PT"/>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lang w:val="pt-PT"/>
        </w:rPr>
      </w:pPr>
      <w:r>
        <w:rPr>
          <w:lang w:val="pt-PT"/>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lang w:val="pt-PT"/>
        </w:rPr>
      </w:pPr>
      <w:r>
        <w:rPr>
          <w:lang w:val="pt-PT"/>
        </w:rPr>
        <w:t>&lt;a id="ref-hippel-2002"&gt;&lt;/a&gt; Hippel, E. von, &amp; Katz, R. (2002). Shifting innovation to users via toolkits. Management Science, 48(7).</w:t>
      </w:r>
    </w:p>
    <w:p>
      <w:pPr>
        <w:pStyle w:val="Normal"/>
        <w:bidi w:val="0"/>
        <w:jc w:val="left"/>
        <w:rPr>
          <w:lang w:val="pt-PT"/>
        </w:rPr>
      </w:pPr>
      <w:r>
        <w:rPr>
          <w:lang w:val="pt-PT"/>
        </w:rPr>
        <w:t>&lt;a id="ref-hussaini-2023"&gt;&lt;/a&gt; Hussaini, A., Kyberd, P., Mulindwa, B., Ssekitoleko, R., Keeble, W., Kenney, L., &amp; Howard, D. (2023). 3D printing in LMICs: Functional design for upper limb prosthetics in Uganda.</w:t>
      </w:r>
    </w:p>
    <w:p>
      <w:pPr>
        <w:pStyle w:val="Normal"/>
        <w:bidi w:val="0"/>
        <w:jc w:val="left"/>
        <w:rPr>
          <w:lang w:val="pt-PT"/>
        </w:rPr>
      </w:pPr>
      <w:r>
        <w:rPr>
          <w:lang w:val="pt-PT"/>
        </w:rPr>
        <w:t>&lt;a id="ref-kerr-2024"&gt;&lt;/a&gt; Kerr, A., Del Din, S., Clarkson, P. J., &amp; Rochester, L. (2024). A participatory model for cocreating accessible rehabilitation technology for stroke survivors: User-centered design approach.</w:t>
      </w:r>
    </w:p>
    <w:p>
      <w:pPr>
        <w:pStyle w:val="Normal"/>
        <w:bidi w:val="0"/>
        <w:jc w:val="left"/>
        <w:rPr>
          <w:lang w:val="pt-PT"/>
        </w:rPr>
      </w:pPr>
      <w:r>
        <w:rPr>
          <w:lang w:val="pt-PT"/>
        </w:rPr>
        <w:t xml:space="preserve">&lt;a id="ref-kuhl-2020"&gt;&lt;/a&gt; Kuhl, M., Lutz, J., Krause, D., &amp; Vielhaber, M. (2020). Design of personalized devices: The tradeoff between individual value and personalization workload. Applied Sciences.</w:t>
      </w:r>
    </w:p>
    <w:p>
      <w:pPr>
        <w:pStyle w:val="Normal"/>
        <w:bidi w:val="0"/>
        <w:jc w:val="left"/>
        <w:rPr>
          <w:lang w:val="pt-PT"/>
        </w:rPr>
      </w:pPr>
      <w:r>
        <w:rPr>
          <w:lang w:val="pt-PT"/>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lang w:val="pt-PT"/>
        </w:rPr>
      </w:pPr>
      <w:r>
        <w:rPr>
          <w:lang w:val="pt-PT"/>
        </w:rPr>
        <w:t>&lt;a id="ref-peters-2023"&gt;&lt;/a&gt; Peters, C., &amp; Richter, P. (2023). Individualizing patient pathways through modularization: Design and evaluation of healthcare-specific modularization parameters.</w:t>
      </w:r>
    </w:p>
    <w:p>
      <w:pPr>
        <w:pStyle w:val="Normal"/>
        <w:bidi w:val="0"/>
        <w:jc w:val="left"/>
        <w:rPr>
          <w:lang w:val="pt-PT"/>
        </w:rPr>
      </w:pPr>
      <w:r>
        <w:rPr>
          <w:lang w:val="pt-PT"/>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lang w:val="pt-PT"/>
        </w:rPr>
      </w:pPr>
      <w:r>
        <w:rPr>
          <w:lang w:val="pt-PT"/>
        </w:rPr>
        <w:t>&lt;a id="ref-sims-2017"&gt;&lt;/a&gt; Sims, T., Cranny, A., Metcalf, C., Chappell, P., &amp; Donovan-Hall, M. (2017). Participatory design of pediatric upper limb prostheses: Qualitative methods and prototyping.</w:t>
      </w:r>
    </w:p>
    <w:p>
      <w:pPr>
        <w:pStyle w:val="Normal"/>
        <w:bidi w:val="0"/>
        <w:jc w:val="left"/>
        <w:rPr>
          <w:lang w:val="pt-PT"/>
        </w:rPr>
      </w:pPr>
      <w:r>
        <w:rPr>
          <w:lang w:val="pt-PT"/>
        </w:rPr>
        <w:t>&lt;a id="ref-thorsen-2023"&gt;&lt;/a&gt; Thorsen, R., Hansen, A. H., &amp; Nilsen, E. R. (2023). From patient to maker: A workflow including people with cerebral palsy in co-creating assistive devices using 3D printing technologies.</w:t>
      </w:r>
    </w:p>
    <w:p>
      <w:pPr>
        <w:pStyle w:val="Normal"/>
        <w:bidi w:val="0"/>
        <w:jc w:val="left"/>
        <w:rPr>
          <w:lang w:val="pt-PT"/>
        </w:rPr>
      </w:pPr>
      <w:r>
        <w:rPr>
          <w:lang w:val="pt-PT"/>
        </w:rPr>
        <w:t>&lt;a id="ref-zhu-2022"&gt;&lt;/a&gt; Zhu, Z., &amp; Zhong, R. Y. (2022). A digital twin enabled wearable device for customized healthcare.</w:t>
      </w:r>
    </w:p>
    <w:p>
      <w:pPr>
        <w:pStyle w:val="Normal"/>
        <w:bidi w:val="0"/>
        <w:jc w:val="left"/>
        <w:rPr>
          <w:lang w:val="pt-PT"/>
        </w:rPr>
      </w:pPr>
      <w:r>
        <w:rPr>
          <w:lang w:val="pt-PT"/>
        </w:rPr>
        <w:t>&lt;a id="ref-alluhydan-2023"&gt;&lt;/a&gt; Alluhydan, A., Alsaadi, S., Almutairi, A., &amp; Alharbi, A. (2023). Functionality and comfort design of lower-limb prosthetics: A review.</w:t>
      </w:r>
    </w:p>
    <w:p>
      <w:pPr>
        <w:pStyle w:val="Normal"/>
        <w:bidi w:val="0"/>
        <w:jc w:val="left"/>
        <w:rPr>
          <w:lang w:val="pt-PT"/>
        </w:rPr>
      </w:pPr>
      <w:r>
        <w:rPr>
          <w:lang w:val="pt-PT"/>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lang w:val="pt-PT"/>
        </w:rPr>
      </w:pPr>
      <w:r>
        <w:rPr>
          <w:lang w:val="pt-PT"/>
        </w:rPr>
        <w:t>&lt;a id="ref-andrysek-2010"&gt;&lt;/a&gt; Andrysek, J. (2010). Lower-limb prosthetic technologies in the developing world: A review of literature from 1994-2010.</w:t>
      </w:r>
    </w:p>
    <w:p>
      <w:pPr>
        <w:pStyle w:val="Normal"/>
        <w:bidi w:val="0"/>
        <w:jc w:val="left"/>
        <w:rPr>
          <w:lang w:val="pt-PT"/>
        </w:rPr>
      </w:pPr>
      <w:r>
        <w:rPr>
          <w:lang w:val="pt-PT"/>
        </w:rPr>
        <w:t>&lt;a id="ref-baldock-2023"&gt;&lt;/a&gt; Baldock, C., Greaves, M., Chockalingam, N., &amp; Kark, L. (2023). Adjustable prosthetic sockets: A systematic review of industrial and research design characteristics and their justifications.</w:t>
      </w:r>
    </w:p>
    <w:p>
      <w:pPr>
        <w:pStyle w:val="Normal"/>
        <w:bidi w:val="0"/>
        <w:jc w:val="left"/>
        <w:rPr>
          <w:lang w:val="pt-PT"/>
        </w:rPr>
      </w:pPr>
      <w:r>
        <w:rPr>
          <w:lang w:val="pt-PT"/>
        </w:rPr>
        <w:t>&lt;a id="ref-baumann-2023"&gt;&lt;/a&gt; Baumann, C., &amp; Maria, P. (2023). Improving access to prosthetic limbs in Germany: An explorative review.</w:t>
      </w:r>
    </w:p>
    <w:p>
      <w:pPr>
        <w:pStyle w:val="Normal"/>
        <w:bidi w:val="0"/>
        <w:jc w:val="left"/>
        <w:rPr>
          <w:lang w:val="pt-PT"/>
        </w:rPr>
      </w:pPr>
      <w:r>
        <w:rPr>
          <w:lang w:val="pt-PT"/>
        </w:rPr>
        <w:t>&lt;a id="ref-chadwell-2020"&gt;&lt;/a&gt; Chadwell, A., Kenney, L., Thies, S., Galpin, A., &amp; Head, J. (2020). Technology for monitoring everyday prosthesis use: A systematic review.</w:t>
      </w:r>
    </w:p>
    <w:p>
      <w:pPr>
        <w:pStyle w:val="Normal"/>
        <w:bidi w:val="0"/>
        <w:jc w:val="left"/>
        <w:rPr>
          <w:lang w:val="pt-PT"/>
        </w:rPr>
      </w:pPr>
      <w:r>
        <w:rPr>
          <w:lang w:val="pt-PT"/>
        </w:rPr>
        <w:t>&lt;a id="ref-cordella-2016"&gt;&lt;/a&gt; Cordella, F., Ciancio, A. L., Sacchetti, R., Davalli, A., Cutti, A. G., Guglielmelli, E., &amp; Zollo, L. (2016). Literature review on needs of upper limb prosthesis users.</w:t>
      </w:r>
    </w:p>
    <w:p>
      <w:pPr>
        <w:pStyle w:val="Normal"/>
        <w:bidi w:val="0"/>
        <w:jc w:val="left"/>
        <w:rPr>
          <w:lang w:val="pt-PT"/>
        </w:rPr>
      </w:pPr>
      <w:r>
        <w:rPr>
          <w:lang w:val="pt-PT"/>
        </w:rPr>
        <w:t>&lt;a id="ref-dominguez-ruiz-2023"&gt;&lt;/a&gt; Domínguez-Ruiz, M., Ráez-Ballesteros, E., &amp; Castillo-Castañeda, E. (2023). Low limb prostheses and complex human prosthetic interaction: A systematic literature review.</w:t>
      </w:r>
    </w:p>
    <w:p>
      <w:pPr>
        <w:pStyle w:val="Normal"/>
        <w:bidi w:val="0"/>
        <w:jc w:val="left"/>
        <w:rPr>
          <w:lang w:val="pt-PT"/>
        </w:rPr>
      </w:pPr>
      <w:r>
        <w:rPr>
          <w:lang w:val="pt-PT"/>
        </w:rPr>
        <w:t>&lt;a id="ref-ghillebert-2019"&gt;&lt;/a&gt; Ghillebert, J., Schoukens, J., &amp; Vanderborght, B. (2019). Guidelines and recommendations to investigate the efficacy of a lower-limb prosthetic device: A systematic review.</w:t>
      </w:r>
    </w:p>
    <w:p>
      <w:pPr>
        <w:pStyle w:val="Normal"/>
        <w:bidi w:val="0"/>
        <w:jc w:val="left"/>
        <w:rPr>
          <w:lang w:val="pt-PT"/>
        </w:rPr>
      </w:pPr>
      <w:r>
        <w:rPr>
          <w:lang w:val="pt-PT"/>
        </w:rPr>
        <w:t>&lt;a id="ref-hafner-2016"&gt;&lt;/a&gt; Hafner, B. J., &amp; Sawers, A. B. (2016). Issues affecting the level of prosthetics research evidence: Secondary analysis of a systematic review.</w:t>
      </w:r>
    </w:p>
    <w:p>
      <w:pPr>
        <w:pStyle w:val="Normal"/>
        <w:bidi w:val="0"/>
        <w:jc w:val="left"/>
        <w:rPr>
          <w:lang w:val="pt-PT"/>
        </w:rPr>
      </w:pPr>
      <w:r>
        <w:rPr>
          <w:lang w:val="pt-PT"/>
        </w:rPr>
        <w:t>&lt;a id="ref-manz-2022"&gt;&lt;/a&gt; Manz, S. M., Menges, M. M., Schaffernicht, E., Mattes, K., &amp; Kannenberg, A. (2022). A review of user needs to inform the development of lower-limb prostheses.</w:t>
      </w:r>
    </w:p>
    <w:p>
      <w:pPr>
        <w:pStyle w:val="Normal"/>
        <w:bidi w:val="0"/>
        <w:jc w:val="left"/>
        <w:rPr>
          <w:lang w:val="pt-PT"/>
        </w:rPr>
      </w:pPr>
      <w:r>
        <w:rPr>
          <w:lang w:val="pt-PT"/>
        </w:rPr>
        <w:t>&lt;a id="ref-marinelli-2022"&gt;&lt;/a&gt; Marinelli, M., Putrino, D., Stella, F., &amp; Guglielmelli, E. (2022). Active upper limb prostheses: A review on current state and upcoming breakthroughs.</w:t>
      </w:r>
    </w:p>
    <w:p>
      <w:pPr>
        <w:pStyle w:val="Normal"/>
        <w:bidi w:val="0"/>
        <w:jc w:val="left"/>
        <w:rPr>
          <w:lang w:val="pt-PT"/>
        </w:rPr>
      </w:pPr>
      <w:r>
        <w:rPr>
          <w:lang w:val="pt-PT"/>
        </w:rPr>
        <w:t>&lt;a id="ref-richardson-2017"&gt;&lt;/a&gt; Richardson, C., &amp; Dillon, M. P. (2017). User experience of transtibial prosthetic liners: A systematic review.</w:t>
      </w:r>
    </w:p>
    <w:p>
      <w:pPr>
        <w:pStyle w:val="Normal"/>
        <w:bidi w:val="0"/>
        <w:jc w:val="left"/>
        <w:rPr>
          <w:lang w:val="pt-PT"/>
        </w:rPr>
      </w:pPr>
      <w:r>
        <w:rPr>
          <w:lang w:val="pt-PT"/>
        </w:rPr>
        <w:t>&lt;a id="ref-samuelsson-2012"&gt;&lt;/a&gt; Samuelsson, K. A. M., Töytäri, O., Salminen, A.-L., &amp; Brandt, Å. (2012). Effects of lower limb prosthesis on activity, participation, and quality of life: A systematic review.</w:t>
      </w:r>
    </w:p>
    <w:p>
      <w:pPr>
        <w:pStyle w:val="Normal"/>
        <w:bidi w:val="0"/>
        <w:jc w:val="left"/>
        <w:rPr>
          <w:lang w:val="pt-PT"/>
        </w:rPr>
      </w:pPr>
      <w:r>
        <w:rPr>
          <w:lang w:val="pt-PT"/>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lang w:val="pt-PT"/>
        </w:rPr>
      </w:pPr>
      <w:r>
        <w:rPr>
          <w:lang w:val="pt-PT"/>
        </w:rPr>
        <w:t>&lt;a id="ref-windrich-2016"&gt;&lt;/a&gt; Windrich, M., Grimmer, M., Christ, O., Rinderknecht, S., &amp; Beckerle, P. (2016). Active lower limb prosthetics: A systematic review of design issues and solutions.</w:t>
      </w:r>
    </w:p>
    <w:p>
      <w:pPr>
        <w:pStyle w:val="Normal"/>
        <w:bidi w:val="0"/>
        <w:jc w:val="left"/>
        <w:rPr>
          <w:lang w:val="pt-PT"/>
        </w:rPr>
      </w:pPr>
      <w:r>
        <w:rPr>
          <w:lang w:val="pt-PT"/>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lang w:val="pt-PT"/>
        </w:rPr>
      </w:pPr>
      <w:r>
        <w:rPr>
          <w:lang w:val="pt-PT"/>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lang w:val="pt-PT"/>
        </w:rPr>
      </w:pPr>
      <w:r>
        <w:rPr>
          <w:lang w:val="pt-PT"/>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lang w:val="pt-PT"/>
        </w:rPr>
      </w:pPr>
      <w:r>
        <w:rPr>
          <w:lang w:val="pt-PT"/>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lang w:val="pt-PT"/>
        </w:rPr>
      </w:pPr>
      <w:r>
        <w:rPr>
          <w:lang w:val="pt-PT"/>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lang w:val="pt-PT"/>
        </w:rPr>
      </w:pPr>
      <w:r>
        <w:rPr>
          <w:lang w:val="pt-PT"/>
        </w:rPr>
        <w:t>&lt;a id="ref-nag-2003"&gt;&lt;/a&gt; Nag, A., Nag, P. K., &amp; Desai, H. (2003). Hand anthropometry of Indian women. Indian Journal of Medical Research, 117, 260-269.</w:t>
      </w:r>
    </w:p>
    <w:p>
      <w:pPr>
        <w:pStyle w:val="Normal"/>
        <w:bidi w:val="0"/>
        <w:jc w:val="left"/>
        <w:rPr>
          <w:lang w:val="pt-PT"/>
        </w:rPr>
      </w:pPr>
      <w:r>
        <w:rPr>
          <w:lang w:val="pt-PT"/>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lang w:val="pt-PT"/>
        </w:rPr>
      </w:pPr>
      <w:r>
        <w:rPr>
          <w:lang w:val="pt-PT"/>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lang w:val="pt-PT"/>
        </w:rPr>
      </w:pPr>
      <w:r>
        <w:rPr>
          <w:lang w:val="pt-PT"/>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lang w:val="pt-PT"/>
        </w:rPr>
      </w:pPr>
      <w:r>
        <w:rPr>
          <w:lang w:val="pt-PT"/>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lang w:val="pt-PT"/>
        </w:rPr>
      </w:pPr>
      <w:r>
        <w:rPr>
          <w:lang w:val="pt-PT"/>
        </w:rPr>
        <w:t>&lt;a id="ref-molenbroek-1998"&gt;&lt;/a&gt; Molenbroek, J. F. M. (1998). Geron study on Dutch elderly anthropometry. DINED database. Delft University of Technology. https://dined.io.tudelft.nl</w:t>
      </w:r>
    </w:p>
    <w:p>
      <w:pPr>
        <w:pStyle w:val="Normal"/>
        <w:bidi w:val="0"/>
        <w:jc w:val="left"/>
        <w:rPr>
          <w:lang w:val="pt-PT"/>
        </w:rPr>
      </w:pPr>
      <w:r>
        <w:rPr>
          <w:lang w:val="pt-PT"/>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lang w:val="pt-PT"/>
        </w:rPr>
      </w:pPr>
      <w:r>
        <w:rPr>
          <w:lang w:val="pt-PT"/>
        </w:rPr>
        <w:t>&lt;a id="ref-steenbekkers-1998"&gt;&lt;/a&gt; Steenbekkers, L. P. A., &amp; van Beijsterveldt, C. E. M. (Eds.). (1998). Design-relevant characteristics of ageing users. Delft University Press.</w:t>
      </w:r>
    </w:p>
    <w:p>
      <w:pPr>
        <w:pStyle w:val="Normal"/>
        <w:bidi w:val="0"/>
        <w:jc w:val="left"/>
        <w:rPr>
          <w:lang w:val="pt-PT"/>
        </w:rPr>
      </w:pPr>
      <w:r>
        <w:rPr>
          <w:lang w:val="pt-PT"/>
        </w:rPr>
        <w:t>&lt;a id="ref-cross-1982"&gt;&lt;/a&gt; Cross, N. (1982). Designerly ways of knowing. Design Studies, 3(4), 221-227. https://doi.org/10.1016/0142-694X(82)90040-0</w:t>
      </w:r>
    </w:p>
    <w:p>
      <w:pPr>
        <w:pStyle w:val="Normal"/>
        <w:bidi w:val="0"/>
        <w:jc w:val="left"/>
        <w:rPr>
          <w:lang w:val="pt-PT"/>
        </w:rPr>
      </w:pPr>
      <w:r>
        <w:rPr>
          <w:lang w:val="pt-PT"/>
        </w:rPr>
        <w:t>&lt;a id="ref-design-council-2020"&gt;&lt;/a&gt; Design Council. (2020). Framework for innovation. https://www.designcouncil.org.uk/our-resources/framework-for-innovation/</w:t>
      </w:r>
    </w:p>
    <w:p>
      <w:pPr>
        <w:pStyle w:val="Normal"/>
        <w:bidi w:val="0"/>
        <w:jc w:val="left"/>
        <w:rPr>
          <w:lang w:val="pt-PT"/>
        </w:rPr>
      </w:pPr>
      <w:r>
        <w:rPr>
          <w:lang w:val="pt-PT"/>
        </w:rPr>
        <w:t>&lt;a id="ref-frayling-1994"&gt;&lt;/a&gt; Frayling, C. (1994). Research in art and design (Royal College of Art Research Papers, Vol. 1, No. 1, 1993/4). Royal College of Art.</w:t>
      </w:r>
    </w:p>
    <w:p>
      <w:pPr>
        <w:pStyle w:val="Normal"/>
        <w:bidi w:val="0"/>
        <w:jc w:val="left"/>
        <w:rPr>
          <w:lang w:val="pt-PT"/>
        </w:rPr>
      </w:pPr>
      <w:r>
        <w:rPr>
          <w:lang w:val="pt-PT"/>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lang w:val="pt-PT"/>
        </w:rPr>
      </w:pPr>
      <w:r>
        <w:rPr>
          <w:lang w:val="pt-PT"/>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lang w:val="pt-PT"/>
        </w:rPr>
      </w:pPr>
      <w:r>
        <w:rPr>
          <w:lang w:val="pt-PT"/>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lang w:val="pt-PT"/>
        </w:rPr>
      </w:pPr>
      <w:r>
        <w:rPr>
          <w:lang w:val="pt-PT"/>
        </w:rPr>
        <w:t>&lt;a id="ref-guo-2025"&gt;&lt;/a&gt; Guo, M. (2025). Human-centered design strategies for prosthetics based on user needs. Interdisciplinary Humanities and Communication Studies, 1(1), 39-48.</w:t>
      </w:r>
    </w:p>
    <w:p>
      <w:pPr>
        <w:pStyle w:val="Normal"/>
        <w:bidi w:val="0"/>
        <w:jc w:val="left"/>
        <w:rPr>
          <w:lang w:val="pt-PT"/>
        </w:rPr>
      </w:pPr>
      <w:r>
        <w:rPr>
          <w:lang w:val="pt-PT"/>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lang w:val="pt-PT"/>
        </w:rPr>
      </w:pPr>
      <w:r>
        <w:rPr>
          <w:lang w:val="pt-PT"/>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lang w:val="pt-PT"/>
        </w:rPr>
      </w:pPr>
      <w:r>
        <w:rPr>
          <w:lang w:val="pt-PT"/>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lang w:val="pt-PT"/>
        </w:rPr>
      </w:pPr>
      <w:r>
        <w:rPr>
          <w:lang w:val="pt-PT"/>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lang w:val="pt-PT"/>
        </w:rPr>
      </w:pPr>
      <w:r>
        <w:rPr>
          <w:lang w:val="pt-PT"/>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lang w:val="pt-PT"/>
        </w:rPr>
      </w:pPr>
      <w:r>
        <w:rPr>
          <w:lang w:val="pt-PT"/>
        </w:rPr>
        <w:t xml:space="preserve">&lt;a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lang w:val="pt-PT"/>
        </w:rPr>
      </w:pPr>
      <w:r>
        <w:rPr>
          <w:lang w:val="pt-PT"/>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lang w:val="pt-PT"/>
        </w:rPr>
      </w:pPr>
      <w:r>
        <w:rPr>
          <w:lang w:val="pt-PT"/>
        </w:rPr>
        <w:t xml:space="preserve">&lt;a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lang w:val="pt-PT"/>
        </w:rPr>
      </w:pPr>
      <w:r>
        <w:rPr>
          <w:lang w:val="pt-PT"/>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lang w:val="pt-PT"/>
        </w:rPr>
      </w:pPr>
      <w:r>
        <w:rPr>
          <w:lang w:val="pt-PT"/>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lang w:val="pt-PT"/>
        </w:rPr>
      </w:pPr>
      <w:r>
        <w:rPr>
          <w:lang w:val="pt-PT"/>
        </w:rPr>
        <w:t>&lt;a id="ref-moreo-2016"&gt;&lt;/a&gt; Moreo, A. M. (2016). Parametric design of a 3D printable hand prosthesis for children in developing countries [Master's thesis, Delft University of Technology].</w:t>
      </w:r>
    </w:p>
    <w:p>
      <w:pPr>
        <w:pStyle w:val="Normal"/>
        <w:bidi w:val="0"/>
        <w:jc w:val="left"/>
        <w:rPr>
          <w:lang w:val="pt-PT"/>
        </w:rPr>
      </w:pPr>
      <w:r>
        <w:rPr>
          <w:lang w:val="pt-PT"/>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lang w:val="pt-PT"/>
        </w:rPr>
      </w:pPr>
      <w:r>
        <w:rPr>
          <w:lang w:val="pt-PT"/>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lang w:val="pt-PT"/>
        </w:rPr>
      </w:pPr>
      <w:r>
        <w:rPr>
          <w:lang w:val="pt-PT"/>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t>&lt;a id="ref-nilsiam-2017"&gt;&lt;/a&gt; Nilsiam, Y., &amp; Pearce, J. M. (2017). Free and open source 3-D model customizer for websites to democratize design with OpenSCAD. Designs, 1(1), 5. https://doi.org/10.3390/designs1010005</w:t>
      </w:r>
    </w:p>
    <w:p>
      <w:pPr>
        <w:pStyle w:val="Normal"/>
        <w:bidi w:val="0"/>
        <w:jc w:val="left"/>
        <w:rPr>
          <w:lang w:val="pt-PT"/>
        </w:rPr>
      </w:pPr>
      <w:r>
        <w:rPr>
          <w:lang w:val="pt-PT"/>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lang w:val="pt-PT"/>
        </w:rPr>
      </w:pPr>
      <w:r>
        <w:rPr>
          <w:lang w:val="pt-PT"/>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lang w:val="pt-PT"/>
        </w:rPr>
      </w:pPr>
      <w:r>
        <w:rPr>
          <w:lang w:val="pt-PT"/>
        </w:rPr>
        <w:t>&lt;a id="ref-yu-2013"&gt;&lt;/a&gt; Yu, A., Yick, K. L., Ng, S. P., &amp; Yip, J. (2013). 2D and 3D anatomical analyses of hand dimensions for custom-made gloves. Applied Ergonomics, 44, 381-392.</w:t>
      </w:r>
    </w:p>
    <w:p>
      <w:pPr>
        <w:pStyle w:val="Normal"/>
        <w:bidi w:val="0"/>
        <w:jc w:val="left"/>
        <w:rPr>
          <w:lang w:val="pt-PT"/>
        </w:rPr>
      </w:pPr>
      <w:r>
        <w:rPr>
          <w:lang w:val="pt-PT"/>
        </w:rPr>
        <w:t xml:space="preserve">&lt;a id="ref-base-local-antropometrica-2026"&gt;&lt;/a&gt; Base local consolidada de dados antropométricos da mão e do membro superior distal. (2026). [Conjunto de dados]. Material de apoio da investigação, </w:t>
      </w:r>
      <w:r>
        <w:rPr>
          <w:rFonts w:ascii="Consolas" w:hAnsi="Consolas"/>
          <w:sz w:val="20"/>
          <w:lang w:val="pt-PT"/>
        </w:rPr>
        <w:t>material/antropometria/dados antropométricos/multi</w:t>
      </w:r>
      <w:r>
        <w:rPr>
          <w:i/>
          <w:lang w:val="pt-PT"/>
        </w:rPr>
        <w:t>population</w:t>
      </w:r>
      <w:r>
        <w:rPr>
          <w:lang w:val="pt-PT"/>
        </w:rPr>
        <w:t>hand.csv</w:t>
      </w:r>
      <w:r>
        <w:rPr>
          <w:rFonts w:ascii="Consolas" w:hAnsi="Consolas"/>
          <w:sz w:val="20"/>
          <w:lang w:val="pt-PT"/>
        </w:rPr>
        <w:t>.</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rPr>
          <w:rFonts w:ascii="Calibri" w:hAnsi="Calibri"/>
          <w:b w:val="false"/>
          <w:i w:val="false"/>
          <w:sz w:val="22"/>
        </w:rPr>
      </w:pPr>
      <w:r>
        <w:rPr>
          <w:b w:val="false"/>
          <w:i w:val="false"/>
          <w:sz w:val="22"/>
        </w:rPr>
      </w:r>
    </w:p>
    <w:p>
      <w:pPr>
        <w:pStyle w:val="Normal"/>
        <w:bidi w:val="0"/>
        <w:rPr>
          <w:rFonts w:ascii="Calibri" w:hAnsi="Calibri"/>
          <w:b w:val="false"/>
          <w:i w:val="false"/>
          <w:sz w:val="22"/>
        </w:rPr>
      </w:pPr>
      <w:r>
        <w:rPr>
          <w:b w:val="false"/>
          <w:i w:val="false"/>
          <w:sz w:val="22"/>
        </w:rPr>
        <w:t xml:space="preserve">   </w:t>
      </w:r>
      <w:r>
        <w:rPr>
          <w:b w:val="false"/>
          <w:i w:val="false"/>
          <w:sz w:val="22"/>
        </w:rPr>
        <w:t>Brack, R., &amp; Amalu, E. H. (2021). A review  of technology, materials and R&amp;D  challenges of upper limb prosthesis for  improved user suitability. Journal of</w:t>
      </w:r>
    </w:p>
    <w:p>
      <w:pPr>
        <w:pStyle w:val="Normal"/>
        <w:bidi w:val="0"/>
        <w:rPr>
          <w:rFonts w:ascii="Calibri" w:hAnsi="Calibri"/>
          <w:b w:val="false"/>
          <w:i w:val="false"/>
          <w:sz w:val="22"/>
        </w:rPr>
      </w:pPr>
      <w:r>
        <w:rPr>
          <w:b w:val="false"/>
          <w:i w:val="false"/>
          <w:sz w:val="22"/>
        </w:rPr>
        <w:t xml:space="preserve">   </w:t>
      </w:r>
      <w:r>
        <w:rPr>
          <w:b w:val="false"/>
          <w:i w:val="false"/>
          <w:sz w:val="22"/>
        </w:rPr>
        <w:t>Orthopaedics, 23, 88–96.  https://doi.org/10.1016/j.jor.2020.12.009</w:t>
      </w:r>
    </w:p>
    <w:p>
      <w:pPr>
        <w:pStyle w:val="Normal"/>
        <w:bidi w:val="0"/>
        <w:rPr>
          <w:rFonts w:ascii="Calibri" w:hAnsi="Calibri"/>
          <w:b w:val="false"/>
          <w:i w:val="false"/>
          <w:sz w:val="22"/>
        </w:rPr>
      </w:pPr>
      <w:r>
        <w:rPr>
          <w:b w:val="false"/>
          <w:i w:val="false"/>
          <w:sz w:val="22"/>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&lt;a id="ref-2-meter-este-link-na-bibliog"&gt;&lt;/a&gt;</w:t>
      </w:r>
    </w:p>
    <w:p>
      <w:pPr>
        <w:pStyle w:val="Normal"/>
        <w:bidi w:val="0"/>
        <w:jc w:val="left"/>
        <w:rPr>
          <w:lang w:val="pt-PT"/>
        </w:rPr>
      </w:pPr>
      <w:r>
        <w:rPr>
          <w:lang w:val="pt-PT"/>
        </w:rPr>
        <w:t>&lt;a id="ref-3-nao-e-bem-marcacao-ne-te"&gt;&lt;/a&gt;</w:t>
      </w:r>
    </w:p>
    <w:p>
      <w:pPr>
        <w:pStyle w:val="Normal"/>
        <w:bidi w:val="0"/>
        <w:jc w:val="left"/>
        <w:rPr>
          <w:lang w:val="pt-PT"/>
        </w:rPr>
      </w:pPr>
      <w:r>
        <w:rPr>
          <w:lang w:val="pt-PT"/>
        </w:rPr>
        <w:t>&lt;a id="ref-4-cool-mas-se-calhar-so-se"&gt;&lt;/a&gt;</w:t>
      </w:r>
    </w:p>
    <w:p>
      <w:pPr>
        <w:pStyle w:val="Normal"/>
        <w:bidi w:val="0"/>
        <w:jc w:val="left"/>
        <w:rPr>
          <w:lang w:val="pt-PT"/>
        </w:rPr>
      </w:pPr>
      <w:r>
        <w:rPr>
          <w:lang w:val="pt-PT"/>
        </w:rPr>
        <w:t>&lt;a id="ref-5-vamos-adicionar-a-citacao"&gt;&lt;/a&gt;</w:t>
      </w:r>
    </w:p>
    <w:p>
      <w:pPr>
        <w:pStyle w:val="Normal"/>
        <w:bidi w:val="0"/>
        <w:jc w:val="left"/>
        <w:rPr>
          <w:lang w:val="pt-PT"/>
        </w:rPr>
      </w:pPr>
      <w:r>
        <w:rPr>
          <w:lang w:val="pt-PT"/>
        </w:rPr>
        <w:t>&lt;a id="ref-6-explicar-oque-sao-todos-es"&gt;&lt;/a&gt;</w:t>
      </w:r>
    </w:p>
    <w:p>
      <w:pPr>
        <w:pStyle w:val="Normal"/>
        <w:bidi w:val="0"/>
        <w:jc w:val="left"/>
        <w:rPr>
          <w:lang w:val="pt-PT"/>
        </w:rPr>
      </w:pPr>
      <w:r>
        <w:rPr>
          <w:lang w:val="pt-PT"/>
        </w:rPr>
        <w:t>&lt;a id="ref-8-escalonados-amplicados-e"&gt;&lt;/a&gt;</w:t>
      </w:r>
    </w:p>
    <w:p>
      <w:pPr>
        <w:pStyle w:val="Normal"/>
        <w:bidi w:val="0"/>
        <w:jc w:val="left"/>
        <w:rPr>
          <w:lang w:val="pt-PT"/>
        </w:rPr>
      </w:pPr>
      <w:r>
        <w:rPr>
          <w:lang w:val="pt-PT"/>
        </w:rPr>
        <w:t>&lt;a id="ref-9-toda-esta-frase-podia-ser"&gt;&lt;/a&gt;</w:t>
      </w:r>
    </w:p>
    <w:p>
      <w:pPr>
        <w:pStyle w:val="Normal"/>
        <w:bidi w:val="0"/>
        <w:jc w:val="left"/>
        <w:rPr>
          <w:lang w:val="pt-PT"/>
        </w:rPr>
      </w:pPr>
      <w:r>
        <w:rPr>
          <w:lang w:val="pt-PT"/>
        </w:rPr>
        <w:t>&lt;a id="ref-10-posso-igualmente-aumentar"&gt;&lt;/a&gt;</w:t>
      </w:r>
    </w:p>
    <w:p>
      <w:pPr>
        <w:pStyle w:val="Normal"/>
        <w:bidi w:val="0"/>
        <w:jc w:val="left"/>
        <w:rPr>
          <w:lang w:val="pt-PT"/>
        </w:rPr>
      </w:pPr>
      <w:r>
        <w:rPr>
          <w:lang w:val="pt-PT"/>
        </w:rPr>
        <w:t>&lt;a id="ref-11-nao-me-soa-super-bem"&gt;&lt;/a&gt;</w:t>
      </w:r>
    </w:p>
    <w:p>
      <w:pPr>
        <w:pStyle w:val="Normal"/>
        <w:bidi w:val="0"/>
        <w:jc w:val="left"/>
        <w:rPr>
          <w:lang w:val="pt-PT"/>
        </w:rPr>
      </w:pPr>
      <w:r>
        <w:rPr>
          <w:lang w:val="pt-PT"/>
        </w:rPr>
        <w:t>&lt;a id="ref-12-estou-a-bater-mal-ou-ja-e"&gt;&lt;/a&gt;</w:t>
      </w:r>
    </w:p>
    <w:p>
      <w:pPr>
        <w:pStyle w:val="Normal"/>
        <w:bidi w:val="0"/>
        <w:jc w:val="left"/>
        <w:rPr>
          <w:lang w:val="pt-PT"/>
        </w:rPr>
      </w:pPr>
      <w:r>
        <w:rPr>
          <w:lang w:val="pt-PT"/>
        </w:rPr>
        <w:t>&lt;a id="ref-13-penalizacoes-e-um-pouco-f"&gt;&lt;/a&gt;</w:t>
      </w:r>
    </w:p>
    <w:p>
      <w:pPr>
        <w:pStyle w:val="Normal"/>
        <w:rPr/>
      </w:pPr>
      <w:r>
        <w:rPr/>
      </w:r>
      <w:r>
        <w:br w:type="page"/>
      </w:r>
    </w:p>
    <w:p>
      <w:pPr>
        <w:pStyle w:val="Heading2"/>
        <w:spacing w:before="0" w:after="0"/>
        <w:rPr/>
      </w:pPr>
      <w:r>
        <w:rPr/>
        <w:t>Anexo A — Metodologia de extração e codificação de dados antropométricos da mão</w:t>
      </w:r>
    </w:p>
    <w:p>
      <w:pPr>
        <w:pStyle w:val="Heading3"/>
        <w:rPr/>
      </w:pPr>
      <w:r>
        <w:rPr/>
        <w:t>A.1 Contexto e Objetivo</w:t>
      </w:r>
    </w:p>
    <w:p>
      <w:pPr>
        <w:pStyle w:val="Normal"/>
        <w:rPr/>
      </w:pPr>
      <w:r>
        <w:rPr/>
        <w:t>O desenvolvimento de um gerador paramétrico de próteses de mão requer dados antropométricos da mão humana que sejam suficientemente variados para cobrir diferentes populações, sexos e grupos etários. O objetivo deste processo foi construir uma base de dados estruturada em formato CSV que servisse de entrada direta ao modelo paramétrico, contendo medições reais retiradas de literatura científica publicada e de relatórios militares de referência.</w:t>
      </w:r>
    </w:p>
    <w:p>
      <w:pPr>
        <w:pStyle w:val="Normal"/>
        <w:rPr/>
      </w:pPr>
      <w:r>
        <w:rPr/>
        <w:t>Foram produzidos três ficheiros CSV complementares:</w:t>
      </w:r>
    </w:p>
    <w:p>
      <w:pPr>
        <w:pStyle w:val="ListBullet"/>
        <w:rPr/>
      </w:pPr>
      <w:r>
        <w:rPr/>
        <w:t xml:space="preserve">- </w:t>
      </w:r>
      <w:r>
        <w:rPr>
          <w:rFonts w:ascii="Consolas" w:hAnsi="Consolas"/>
          <w:sz w:val="20"/>
        </w:rPr>
        <w:t>ansur</w:t>
      </w:r>
      <w:r>
        <w:rPr>
          <w:i/>
        </w:rPr>
        <w:t>1988</w:t>
      </w:r>
      <w:r>
        <w:rPr/>
        <w:t>complete.csv</w:t>
      </w:r>
      <w:r>
        <w:rPr>
          <w:rFonts w:ascii="Consolas" w:hAnsi="Consolas"/>
          <w:sz w:val="20"/>
        </w:rPr>
        <w:t xml:space="preserve"> — 2.726 linhas, 47 dimensões corporais do estudo ANSUR 1988 (Gordon et al., 1989), população militar norte-americana</w:t>
      </w:r>
    </w:p>
    <w:p>
      <w:pPr>
        <w:pStyle w:val="ListBullet"/>
        <w:rPr/>
      </w:pPr>
      <w:r>
        <w:rPr/>
        <w:t xml:space="preserve">- </w:t>
      </w:r>
      <w:r>
        <w:rPr>
          <w:rFonts w:ascii="Consolas" w:hAnsi="Consolas"/>
          <w:sz w:val="20"/>
        </w:rPr>
        <w:t>ansur</w:t>
      </w:r>
      <w:r>
        <w:rPr>
          <w:i/>
        </w:rPr>
        <w:t>1988</w:t>
      </w:r>
      <w:r>
        <w:rPr/>
        <w:t>hand</w:t>
      </w:r>
      <w:r>
        <w:rPr>
          <w:i/>
        </w:rPr>
        <w:t>arm.csv</w:t>
      </w:r>
      <w:r>
        <w:rPr>
          <w:rFonts w:ascii="Consolas" w:hAnsi="Consolas"/>
          <w:sz w:val="20"/>
        </w:rPr>
        <w:t xml:space="preserve"> — 696 linhas, subconjunto do ANSUR restrito às medições da mão, antebraço e braço</w:t>
      </w:r>
    </w:p>
    <w:p>
      <w:pPr>
        <w:pStyle w:val="ListBullet"/>
        <w:rPr/>
      </w:pPr>
      <w:r>
        <w:rPr/>
        <w:t xml:space="preserve">- </w:t>
      </w:r>
      <w:r>
        <w:rPr>
          <w:rFonts w:ascii="Consolas" w:hAnsi="Consolas"/>
          <w:sz w:val="20"/>
        </w:rPr>
        <w:t>multi</w:t>
      </w:r>
      <w:r>
        <w:rPr>
          <w:i/>
        </w:rPr>
        <w:t>population</w:t>
      </w:r>
      <w:r>
        <w:rPr/>
        <w:t>hand.csv</w:t>
      </w:r>
      <w:r>
        <w:rPr>
          <w:rFonts w:ascii="Consolas" w:hAnsi="Consolas"/>
          <w:sz w:val="20"/>
        </w:rPr>
        <w:t xml:space="preserve"> — 1.790 linhas, dados de onze estudos populacionais independentes de nove países diferentes</w:t>
      </w:r>
    </w:p>
    <w:p>
      <w:pPr>
        <w:pStyle w:val="Normal"/>
        <w:pBdr>
          <w:bottom w:val="single" w:sz="6" w:space="1" w:color="808080"/>
        </w:pBdr>
        <w:rPr/>
      </w:pPr>
      <w:r>
        <w:rPr/>
      </w:r>
    </w:p>
    <w:p>
      <w:pPr>
        <w:pStyle w:val="Heading3"/>
        <w:rPr/>
      </w:pPr>
      <w:r>
        <w:rPr/>
        <w:t>A.2 Estratégia de Pesquisa Bibliográfica</w:t>
      </w:r>
    </w:p>
    <w:p>
      <w:pPr>
        <w:pStyle w:val="Heading3"/>
        <w:rPr/>
      </w:pPr>
      <w:r>
        <w:rPr/>
        <w:t>A.2.1 Pesquisa bibliográfica assistida e revisões sistemáticas</w:t>
      </w:r>
    </w:p>
    <w:p>
      <w:pPr>
        <w:pStyle w:val="Normal"/>
        <w:rPr/>
      </w:pPr>
      <w:r>
        <w:rPr/>
        <w:t>A pesquisa de literatura foi conduzida através de pesquisas bibliográficas orientadas por questões, complementadas por ferramentas de apoio à revisão e triagem, com o objetivo de identificar estudos de antropometria da mão com dados primários tabelados. As questões-chave incluíam variações de:</w:t>
      </w:r>
    </w:p>
    <w:p>
      <w:pPr>
        <w:pStyle w:val="Quote"/>
        <w:rPr/>
      </w:pPr>
      <w:r>
        <w:rPr>
          <w:i/>
        </w:rPr>
        <w:t>"hand anthropometry normative data population study percentiles"</w:t>
      </w:r>
      <w:r>
        <w:rPr/>
        <w:t xml:space="preserve"> </w:t>
      </w:r>
      <w:r>
        <w:rPr>
          <w:i/>
        </w:rPr>
        <w:t>"hand dimensions measurement ergonomics working population"</w:t>
      </w:r>
      <w:r>
        <w:rPr/>
        <w:t xml:space="preserve"> </w:t>
      </w:r>
      <w:r>
        <w:rPr>
          <w:i/>
        </w:rPr>
        <w:t>"anthropometric survey finger length breadth caliper"</w:t>
      </w:r>
    </w:p>
    <w:p>
      <w:pPr>
        <w:pStyle w:val="Normal"/>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rPr/>
      </w:pPr>
      <w:r>
        <w:rPr/>
        <w:t>A.2.2 Base ANSUR 1988</w:t>
      </w:r>
    </w:p>
    <w:p>
      <w:pPr>
        <w:pStyle w:val="Normal"/>
        <w:rPr/>
      </w:pPr>
      <w:r>
        <w:rPr/>
        <w:t>O relatório ANSUR 1988 (Gordon et al., 1989) foi identificado como fonte de referência fundamental por ser um dos estudos antropométricos com maior dimensão amostral disponíveis publicamente (n=9.068 militares norte-americanos). Os dados foram extraídos diretamente das tabelas estatísticas detalhadas do relatório (Appendix B), que fornece, para cada dimensão e por sexo, a média, o desvio-padrão, os percentis P5, P10, P25, P50, P75, P90, P95, o mínimo e o máximo.</w:t>
      </w:r>
    </w:p>
    <w:p>
      <w:pPr>
        <w:pStyle w:val="Normal"/>
        <w:pBdr>
          <w:bottom w:val="single" w:sz="6" w:space="1" w:color="808080"/>
        </w:pBdr>
        <w:rPr/>
      </w:pPr>
      <w:r>
        <w:rPr/>
      </w:r>
    </w:p>
    <w:p>
      <w:pPr>
        <w:pStyle w:val="Heading3"/>
        <w:rPr/>
      </w:pPr>
      <w:r>
        <w:rPr/>
        <w:t>A.3 Critérios de Inclusão e Exclusão de Estudos</w:t>
      </w:r>
    </w:p>
    <w:p>
      <w:pPr>
        <w:pStyle w:val="Normal"/>
        <w:rPr/>
      </w:pPr>
      <w:r>
        <w:rPr/>
        <w:t>Para cada estudo identificado, a decisão de incluir ou excluir os seus dados na base CSV seguiu critérios explícitos.</w:t>
      </w:r>
    </w:p>
    <w:p>
      <w:pPr>
        <w:pStyle w:val="Heading3"/>
        <w:rPr/>
      </w:pPr>
      <w:r>
        <w:rPr/>
        <w:t>A.3.1 Critérios de inclusão</w:t>
      </w:r>
    </w:p>
    <w:p>
      <w:pPr>
        <w:pStyle w:val="Normal"/>
        <w:rPr/>
      </w:pPr>
      <w:r>
        <w:rPr/>
        <w:t>Um estudo foi incluído se satisfazia simultaneamente as seguintes condições:</w:t>
      </w:r>
    </w:p>
    <w:p>
      <w:pPr>
        <w:pStyle w:val="ListNumber"/>
        <w:rPr/>
      </w:pPr>
      <w:r>
        <w:rPr/>
        <w:t xml:space="preserve">1. </w:t>
      </w:r>
      <w:r>
        <w:rPr>
          <w:b/>
        </w:rPr>
        <w:t>Dados primários</w:t>
      </w:r>
      <w:r>
        <w:rPr/>
        <w:t xml:space="preserve"> — o estudo apresenta medições recolhidas pelos seus próprios autores sobre participantes reais, não reutilizando tabelas de terceiros sem transformação.</w:t>
      </w:r>
    </w:p>
    <w:p>
      <w:pPr>
        <w:pStyle w:val="ListNumber"/>
        <w:rPr/>
      </w:pPr>
      <w:r>
        <w:rPr/>
        <w:t xml:space="preserve">2. </w:t>
      </w:r>
      <w:r>
        <w:rPr>
          <w:b/>
        </w:rPr>
        <w:t>Dimensões da mão ou do membro superior</w:t>
      </w:r>
      <w:r>
        <w:rPr/>
        <w:t xml:space="preserve"> — pelo menos uma medição refere-se à mão, dedos, palma, antebraço ou punho.</w:t>
      </w:r>
    </w:p>
    <w:p>
      <w:pPr>
        <w:pStyle w:val="ListNumber"/>
        <w:rPr/>
      </w:pPr>
      <w:r>
        <w:rPr/>
        <w:t xml:space="preserve">3. </w:t>
      </w:r>
      <w:r>
        <w:rPr>
          <w:b/>
        </w:rPr>
        <w:t>Estatística descritiva legível</w:t>
      </w:r>
      <w:r>
        <w:rPr/>
        <w:t xml:space="preserve"> — a tabela do artigo fornece, no mínimo, a média. A presença de desvio-padrão e/ou percentis constituía um critério de preferência.</w:t>
      </w:r>
    </w:p>
    <w:p>
      <w:pPr>
        <w:pStyle w:val="ListNumber"/>
        <w:rPr/>
      </w:pPr>
      <w:r>
        <w:rPr/>
        <w:t xml:space="preserve">4. </w:t>
      </w:r>
      <w:r>
        <w:rPr>
          <w:b/>
        </w:rPr>
        <w:t>Identificação clara da população</w:t>
      </w:r>
      <w:r>
        <w:rPr/>
        <w:t xml:space="preserve"> — o artigo especifica país, sexo, dimensão amostral e método de medição.</w:t>
      </w:r>
    </w:p>
    <w:p>
      <w:pPr>
        <w:pStyle w:val="Heading3"/>
        <w:rPr/>
      </w:pPr>
      <w:r>
        <w:rPr/>
      </w:r>
    </w:p>
    <w:p>
      <w:pPr>
        <w:pStyle w:val="Heading3"/>
        <w:rPr/>
      </w:pPr>
      <w:r>
        <w:rPr/>
        <w:t>A.3.2 Critérios de exclusão</w:t>
      </w:r>
    </w:p>
    <w:p>
      <w:pPr>
        <w:pStyle w:val="Normal"/>
        <w:rPr/>
      </w:pPr>
      <w:r>
        <w:rPr/>
        <w:t>Um estudo foi excluído nas seguintes situações:</w:t>
      </w:r>
    </w:p>
    <w:p>
      <w:pPr>
        <w:pStyle w:val="ListBullet"/>
        <w:rPr/>
      </w:pPr>
      <w:r>
        <w:rPr/>
        <w:t xml:space="preserve">- </w:t>
      </w:r>
      <w:r>
        <w:rPr>
          <w:b/>
        </w:rPr>
        <w:t>Dados secundários sem valor acrescentado</w:t>
      </w:r>
      <w:r>
        <w:rPr/>
        <w:t xml:space="preserve">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ListBullet"/>
        <w:rPr/>
      </w:pPr>
      <w:r>
        <w:rPr/>
        <w:t xml:space="preserve">- </w:t>
      </w:r>
      <w:r>
        <w:rPr>
          <w:b/>
        </w:rPr>
        <w:t>Artigos de engenharia sem tabelas antropométricas</w:t>
      </w:r>
      <w:r>
        <w:rPr/>
        <w:t xml:space="preserve"> — estudos centrados em materiais, análise de elementos finitos ou fabrico aditivo que referenciam dimensões da mão apenas de forma incidental e sem estatística descritiva.</w:t>
      </w:r>
    </w:p>
    <w:p>
      <w:pPr>
        <w:pStyle w:val="ListBullet"/>
        <w:rPr/>
      </w:pPr>
      <w:r>
        <w:rPr/>
        <w:t xml:space="preserve">- </w:t>
      </w:r>
      <w:r>
        <w:rPr>
          <w:b/>
        </w:rPr>
        <w:t>Dimensões não da mão em estudos mistos</w:t>
      </w:r>
      <w:r>
        <w:rPr/>
        <w:t xml:space="preserve"> — medições de outras regiões corporais presentes no mesmo artigo foram excluídas se não existia uma razão direta para a prótese de mão (exceção: comprimento cotovelo-ponta dos dedos, incluído por ser relevante para o encaixe do socket).</w:t>
      </w:r>
    </w:p>
    <w:p>
      <w:pPr>
        <w:pStyle w:val="Heading3"/>
        <w:rPr/>
      </w:pPr>
      <w:r>
        <w:rPr/>
      </w:r>
    </w:p>
    <w:p>
      <w:pPr>
        <w:pStyle w:val="Heading3"/>
        <w:rPr/>
      </w:pPr>
      <w:r>
        <w:rPr/>
        <w:t>A.4 Processo de Extração de Dados</w:t>
      </w:r>
    </w:p>
    <w:p>
      <w:pPr>
        <w:pStyle w:val="Heading3"/>
        <w:rPr/>
      </w:pPr>
      <w:r>
        <w:rPr/>
      </w:r>
    </w:p>
    <w:p>
      <w:pPr>
        <w:pStyle w:val="Heading3"/>
        <w:rPr/>
      </w:pPr>
      <w:r>
        <w:rPr/>
        <w:t>A.4.1 Leitura dos PDFs e localização das tabelas</w:t>
      </w:r>
    </w:p>
    <w:p>
      <w:pPr>
        <w:pStyle w:val="Normal"/>
        <w:rPr/>
      </w:pPr>
      <w:r>
        <w:rPr/>
        <w:t xml:space="preserve">Cada artigo foi lido integralmente, com foco nas secções de </w:t>
      </w:r>
      <w:r>
        <w:rPr>
          <w:i/>
        </w:rPr>
        <w:t>Methods</w:t>
      </w:r>
      <w:r>
        <w:rPr/>
        <w:t xml:space="preserve"> (para identificar o instrumento de medição, a mão medida, e a posição do participante) e </w:t>
      </w:r>
      <w:r>
        <w:rPr>
          <w:i/>
        </w:rPr>
        <w:t>Results</w:t>
      </w:r>
      <w:r>
        <w:rPr/>
        <w:t xml:space="preserve"> (para localizar as tabelas com estatística descritiva). A página exata de cada tabela foi registada no campo </w:t>
      </w:r>
      <w:r>
        <w:rPr>
          <w:rFonts w:ascii="Consolas" w:hAnsi="Consolas"/>
          <w:sz w:val="20"/>
        </w:rPr>
        <w:t>source</w:t>
      </w:r>
      <w:r>
        <w:rPr>
          <w:i/>
        </w:rPr>
        <w:t>page</w:t>
      </w:r>
      <w:r>
        <w:rPr>
          <w:rFonts w:ascii="Consolas" w:hAnsi="Consolas"/>
          <w:sz w:val="20"/>
        </w:rPr>
        <w:t xml:space="preserve"> do CSV.</w:t>
      </w:r>
    </w:p>
    <w:p>
      <w:pPr>
        <w:pStyle w:val="Normal"/>
        <w:rPr/>
      </w:pPr>
      <w:r>
        <w:rPr/>
        <w:t>Quando um artigo reportava medições em mais do que uma tabela (por exemplo, comprimentos numa tabela e larguras noutra), cada tabela foi processada separadamente.</w:t>
      </w:r>
    </w:p>
    <w:p>
      <w:pPr>
        <w:pStyle w:val="Heading3"/>
        <w:rPr/>
      </w:pPr>
      <w:r>
        <w:rPr/>
        <w:t>A.4.2 Identificação das unidades e conversão</w:t>
      </w:r>
    </w:p>
    <w:p>
      <w:pPr>
        <w:pStyle w:val="Normal"/>
        <w:rPr/>
      </w:pPr>
      <w:r>
        <w:rPr/>
        <w:t>Os artigos consultados reportam medições em milímetros (mm), centímetros (cm) ou, no caso do ANSUR, em polegadas (in). O CSV armazena sempre os três sistemas em simultâneo (</w:t>
      </w:r>
      <w:r>
        <w:rPr>
          <w:rFonts w:ascii="Consolas" w:hAnsi="Consolas"/>
          <w:sz w:val="20"/>
        </w:rPr>
        <w:t>value</w:t>
      </w:r>
      <w:r>
        <w:rPr>
          <w:i/>
        </w:rPr>
        <w:t>mm</w:t>
      </w:r>
      <w:r>
        <w:rPr>
          <w:rFonts w:ascii="Consolas" w:hAnsi="Consolas"/>
          <w:sz w:val="20"/>
        </w:rPr>
        <w:t xml:space="preserve">, </w:t>
      </w:r>
      <w:r>
        <w:rPr/>
        <w:t>value</w:t>
      </w:r>
      <w:r>
        <w:rPr>
          <w:i/>
        </w:rPr>
        <w:t>cm</w:t>
      </w:r>
      <w:r>
        <w:rPr>
          <w:rFonts w:ascii="Consolas" w:hAnsi="Consolas"/>
          <w:sz w:val="20"/>
        </w:rPr>
        <w:t xml:space="preserve">, </w:t>
      </w:r>
      <w:r>
        <w:rPr/>
        <w:t>value</w:t>
      </w:r>
      <w:r>
        <w:rPr>
          <w:i/>
        </w:rPr>
        <w:t>in</w:t>
      </w:r>
      <w:r>
        <w:rPr>
          <w:rFonts w:ascii="Consolas" w:hAnsi="Consolas"/>
          <w:sz w:val="20"/>
        </w:rPr>
        <w:t>), calculados a partir de uma única unidade-fonte:</w:t>
      </w:r>
    </w:p>
    <w:p>
      <w:pPr>
        <w:pStyle w:val="ListBullet"/>
        <w:rPr/>
      </w:pPr>
      <w:r>
        <w:rPr/>
        <w:t xml:space="preserve">- Se o artigo reporta em mm: </w:t>
      </w:r>
      <w:r>
        <w:rPr>
          <w:rFonts w:ascii="Consolas" w:hAnsi="Consolas"/>
          <w:sz w:val="20"/>
        </w:rPr>
        <w:t>value</w:t>
      </w:r>
      <w:r>
        <w:rPr>
          <w:i/>
        </w:rPr>
        <w:t>cm = value</w:t>
      </w:r>
      <w:r>
        <w:rPr/>
        <w:t>mm / 10</w:t>
      </w:r>
      <w:r>
        <w:rPr>
          <w:rFonts w:ascii="Consolas" w:hAnsi="Consolas"/>
          <w:sz w:val="20"/>
        </w:rPr>
        <w:t xml:space="preserve">; </w:t>
      </w:r>
      <w:r>
        <w:rPr/>
        <w:t>value</w:t>
      </w:r>
      <w:r>
        <w:rPr>
          <w:i/>
        </w:rPr>
        <w:t>in = value</w:t>
      </w:r>
      <w:r>
        <w:rPr/>
        <w:t>cm / 2.54</w:t>
      </w:r>
    </w:p>
    <w:p>
      <w:pPr>
        <w:pStyle w:val="ListBullet"/>
        <w:rPr/>
      </w:pPr>
      <w:r>
        <w:rPr/>
        <w:t xml:space="preserve">- Se o artigo reporta em cm: </w:t>
      </w:r>
      <w:r>
        <w:rPr>
          <w:rFonts w:ascii="Consolas" w:hAnsi="Consolas"/>
          <w:sz w:val="20"/>
        </w:rPr>
        <w:t>value</w:t>
      </w:r>
      <w:r>
        <w:rPr>
          <w:i/>
        </w:rPr>
        <w:t>mm = value</w:t>
      </w:r>
      <w:r>
        <w:rPr/>
        <w:t>cm × 10</w:t>
      </w:r>
      <w:r>
        <w:rPr>
          <w:rFonts w:ascii="Consolas" w:hAnsi="Consolas"/>
          <w:sz w:val="20"/>
        </w:rPr>
        <w:t xml:space="preserve">; </w:t>
      </w:r>
      <w:r>
        <w:rPr/>
        <w:t>value</w:t>
      </w:r>
      <w:r>
        <w:rPr>
          <w:i/>
        </w:rPr>
        <w:t>in = value</w:t>
      </w:r>
      <w:r>
        <w:rPr/>
        <w:t>cm / 2.54</w:t>
      </w:r>
    </w:p>
    <w:p>
      <w:pPr>
        <w:pStyle w:val="Normal"/>
        <w:rPr/>
      </w:pPr>
      <w:r>
        <w:rPr/>
        <w:t>Esta redundância elimina conversões em tempo de execução por parte do modelo paramétrico.</w:t>
      </w:r>
    </w:p>
    <w:p>
      <w:pPr>
        <w:pStyle w:val="Heading3"/>
        <w:rPr/>
      </w:pPr>
      <w:r>
        <w:rPr/>
      </w:r>
    </w:p>
    <w:p>
      <w:pPr>
        <w:pStyle w:val="Heading3"/>
        <w:rPr/>
      </w:pPr>
      <w:r>
        <w:rPr/>
        <w:t>A.4.3 Decomposição em linhas atómicas</w:t>
      </w:r>
    </w:p>
    <w:p>
      <w:pPr>
        <w:pStyle w:val="Normal"/>
        <w:rPr/>
      </w:pPr>
      <w:r>
        <w:rPr/>
      </w:r>
    </w:p>
    <w:p>
      <w:pPr>
        <w:pStyle w:val="Normal"/>
        <w:rPr/>
      </w:pPr>
      <w:r>
        <w:rPr/>
        <w:t xml:space="preserve">Cada célula de uma tabela estatística origina </w:t>
      </w:r>
      <w:r>
        <w:rPr>
          <w:b/>
        </w:rPr>
        <w:t>uma linha independente</w:t>
      </w:r>
      <w:r>
        <w:rPr/>
        <w:t xml:space="preserve"> no CSV. Assim, para uma dada dimensão, população e sexo, existem tantas linhas quantos os indicadores estatísticos disponíveis: por exemplo, se um artigo reporta média, desvio-padrão, P5, P50 e P95, são criadas cinco linhas — cada uma com o campo </w:t>
      </w:r>
      <w:r>
        <w:rPr>
          <w:rFonts w:ascii="Consolas" w:hAnsi="Consolas"/>
          <w:sz w:val="20"/>
        </w:rPr>
        <w:t>stat</w:t>
      </w:r>
      <w:r>
        <w:rPr>
          <w:i/>
        </w:rPr>
        <w:t>type</w:t>
      </w:r>
      <w:r>
        <w:rPr>
          <w:rFonts w:ascii="Consolas" w:hAnsi="Consolas"/>
          <w:sz w:val="20"/>
        </w:rPr>
        <w:t xml:space="preserve"> definido como </w:t>
      </w:r>
      <w:r>
        <w:rPr/>
        <w:t>mean</w:t>
      </w:r>
      <w:r>
        <w:rPr>
          <w:rFonts w:ascii="Consolas" w:hAnsi="Consolas"/>
          <w:sz w:val="20"/>
        </w:rPr>
        <w:t xml:space="preserve">, </w:t>
      </w:r>
      <w:r>
        <w:rPr/>
        <w:t>std</w:t>
      </w:r>
      <w:r>
        <w:rPr>
          <w:i/>
        </w:rPr>
        <w:t>dev</w:t>
      </w:r>
      <w:r>
        <w:rPr>
          <w:rFonts w:ascii="Consolas" w:hAnsi="Consolas"/>
          <w:sz w:val="20"/>
        </w:rPr>
        <w:t xml:space="preserve"> ou </w:t>
      </w:r>
      <w:r>
        <w:rPr/>
        <w:t>percentile</w:t>
      </w:r>
      <w:r>
        <w:rPr>
          <w:rFonts w:ascii="Consolas" w:hAnsi="Consolas"/>
          <w:sz w:val="20"/>
        </w:rPr>
        <w:t xml:space="preserve">, e o campo </w:t>
      </w:r>
      <w:r>
        <w:rPr/>
        <w:t>percentile</w:t>
      </w:r>
      <w:r>
        <w:rPr>
          <w:rFonts w:ascii="Consolas" w:hAnsi="Consolas"/>
          <w:sz w:val="20"/>
        </w:rPr>
        <w:t xml:space="preserve"> preenchido apenas nas linhas de tipo </w:t>
      </w:r>
      <w:r>
        <w:rPr/>
        <w:t>percentile</w:t>
      </w:r>
      <w:r>
        <w:rPr>
          <w:rFonts w:ascii="Consolas" w:hAnsi="Consolas"/>
          <w:sz w:val="20"/>
        </w:rPr>
        <w:t>.</w:t>
      </w:r>
    </w:p>
    <w:p>
      <w:pPr>
        <w:pStyle w:val="Normal"/>
        <w:rPr/>
      </w:pPr>
      <w:r>
        <w:rPr/>
        <w:t>Esta estrutura longa (</w:t>
      </w:r>
      <w:r>
        <w:rPr>
          <w:i/>
        </w:rPr>
        <w:t>long format</w:t>
      </w:r>
      <w:r>
        <w:rPr/>
        <w:t>) permite filtrar e agregar por qualquer combinação de variáveis sem necessidade de transformação prévia.</w:t>
      </w:r>
    </w:p>
    <w:p>
      <w:pPr>
        <w:pStyle w:val="Heading3"/>
        <w:rPr/>
      </w:pPr>
      <w:r>
        <w:rPr/>
      </w:r>
    </w:p>
    <w:p>
      <w:pPr>
        <w:pStyle w:val="Heading3"/>
        <w:rPr/>
      </w:pPr>
      <w:r>
        <w:rPr/>
        <w:t>A.4.4 Registo fiel do contexto da medição</w:t>
      </w:r>
    </w:p>
    <w:p>
      <w:pPr>
        <w:pStyle w:val="Normal"/>
        <w:rPr/>
      </w:pPr>
      <w:r>
        <w:rPr/>
      </w:r>
    </w:p>
    <w:p>
      <w:pPr>
        <w:pStyle w:val="Normal"/>
        <w:rPr/>
      </w:pPr>
      <w:r>
        <w:rPr/>
        <w:t xml:space="preserve">O campo </w:t>
      </w:r>
      <w:r>
        <w:rPr>
          <w:rFonts w:ascii="Consolas" w:hAnsi="Consolas"/>
          <w:sz w:val="20"/>
        </w:rPr>
        <w:t>measurement</w:t>
      </w:r>
      <w:r>
        <w:rPr>
          <w:i/>
        </w:rPr>
        <w:t>method</w:t>
      </w:r>
      <w:r>
        <w:rPr/>
        <w:t>note</w:t>
      </w:r>
      <w:r>
        <w:rPr>
          <w:rFonts w:ascii="Consolas" w:hAnsi="Consolas"/>
          <w:sz w:val="20"/>
        </w:rPr>
        <w:t xml:space="preserve"> regista, para cada estudo, informações sobre:</w:t>
      </w:r>
    </w:p>
    <w:p>
      <w:pPr>
        <w:pStyle w:val="ListBullet"/>
        <w:rPr/>
      </w:pPr>
      <w:r>
        <w:rPr/>
        <w:t>- O instrumento utilizado (e.g., "paquímetro digital Vernier 200 mm, resolução 0,01 mm")</w:t>
      </w:r>
    </w:p>
    <w:p>
      <w:pPr>
        <w:pStyle w:val="ListBullet"/>
        <w:rPr/>
      </w:pPr>
      <w:r>
        <w:rPr/>
        <w:t>- A mão medida (direita/esquerda/dominante)</w:t>
      </w:r>
    </w:p>
    <w:p>
      <w:pPr>
        <w:pStyle w:val="ListBullet"/>
        <w:rPr/>
      </w:pPr>
      <w:r>
        <w:rPr/>
        <w:t>- A posição da mão durante a medição (estendida e plana, em posição de repouso, sentado)</w:t>
      </w:r>
    </w:p>
    <w:p>
      <w:pPr>
        <w:pStyle w:val="ListBullet"/>
        <w:rPr/>
      </w:pPr>
      <w:r>
        <w:rPr/>
        <w:t>- O ponto de referência do comprimento (e.g., "da prega palmar proximal à ponta do dedo")</w:t>
      </w:r>
    </w:p>
    <w:p>
      <w:pPr>
        <w:pStyle w:val="Normal"/>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diretamente comparáveis.</w:t>
      </w:r>
    </w:p>
    <w:p>
      <w:pPr>
        <w:pStyle w:val="Heading3"/>
        <w:rPr/>
      </w:pPr>
      <w:r>
        <w:rPr/>
      </w:r>
    </w:p>
    <w:p>
      <w:pPr>
        <w:pStyle w:val="Heading3"/>
        <w:rPr/>
      </w:pPr>
      <w:r>
        <w:rPr/>
        <w:t>A.5 Decisões por Estudo</w:t>
      </w:r>
    </w:p>
    <w:p>
      <w:pPr>
        <w:pStyle w:val="Heading3"/>
        <w:rPr/>
      </w:pPr>
      <w:r>
        <w:rPr/>
      </w:r>
    </w:p>
    <w:p>
      <w:pPr>
        <w:pStyle w:val="Heading3"/>
        <w:rPr/>
      </w:pPr>
      <w:r>
        <w:rPr/>
        <w:t>A.5.1 ANSUR 1988 — EUA, militares (Gordon et al., 1989)</w:t>
      </w:r>
    </w:p>
    <w:p>
      <w:pPr>
        <w:pStyle w:val="Normal"/>
        <w:rPr>
          <w:b/>
        </w:rPr>
      </w:pPr>
      <w:r>
        <w:rPr>
          <w:b/>
        </w:rPr>
      </w:r>
    </w:p>
    <w:p>
      <w:pPr>
        <w:pStyle w:val="Normal"/>
        <w:rPr/>
      </w:pPr>
      <w:r>
        <w:rPr>
          <w:b/>
        </w:rPr>
        <w:t>Fonte:</w:t>
      </w:r>
      <w:r>
        <w:rPr/>
        <w:t xml:space="preserve"> Tabelas de dados detalhados do relatório técnico do U.S. Army Natick Research Center (março de 1989), 47 dimensões corporais, separadas por sexo (n=2.208 mulheres, n=6.682 homens). As dimensões da mão e do membro superior foram codificadas na íntegra: comprimento da mão, largura da mão, comprimentos dos dedos, circunferência do pulso, comprimento do antebraço, entre outras.</w:t>
      </w:r>
    </w:p>
    <w:p>
      <w:pPr>
        <w:pStyle w:val="Normal"/>
        <w:rPr/>
      </w:pPr>
      <w:r>
        <w:rPr>
          <w:b/>
        </w:rPr>
        <w:t>Decisão:</w:t>
      </w:r>
      <w:r>
        <w:rPr/>
        <w:t xml:space="preserve"> Incluição total. A dimensão amostral, a abrangência estatística (11 indicadores por dimensão) e a origem militar controlada tornam-no a âncora de referência da base de dados.</w:t>
      </w:r>
    </w:p>
    <w:p>
      <w:pPr>
        <w:pStyle w:val="Normal"/>
        <w:rPr/>
      </w:pPr>
      <w:r>
        <w:rPr>
          <w:b/>
        </w:rPr>
        <w:t>Notas:</w:t>
      </w:r>
      <w:r>
        <w:rPr/>
        <w:t xml:space="preserve"> Sete valores no relatório original apresentavam inconsistências tipográficas (e.g., percentil aparentemente invertido ou unidade suspeita); todos foram corrigidos com anotação inline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A.5.2 Turquia — jovens adultos (Chatzioglou et al., 2024)</w:t>
      </w:r>
    </w:p>
    <w:p>
      <w:pPr>
        <w:pStyle w:val="Normal"/>
        <w:rPr>
          <w:b/>
        </w:rPr>
      </w:pPr>
      <w:r>
        <w:rPr>
          <w:b/>
        </w:rPr>
      </w:r>
    </w:p>
    <w:p>
      <w:pPr>
        <w:pStyle w:val="Normal"/>
        <w:rPr/>
      </w:pPr>
      <w:r>
        <w:rPr>
          <w:b/>
        </w:rPr>
        <w:t>Fonte:</w:t>
      </w:r>
      <w:r>
        <w:rPr/>
        <w:t xml:space="preserve"> </w:t>
      </w:r>
      <w:r>
        <w:rPr>
          <w:i/>
        </w:rPr>
        <w:t>Anatomy &amp; Cell Biology</w:t>
      </w:r>
      <w:r>
        <w:rPr/>
        <w:t>, 57:172–182. n=51 (32F, 19M), idade 18–30, Izmir e Istanbul. Método foto-antropométrico com ImageJ (pixel → mm via fator de calibração 0,08618 ×). Comprimentos dos cinco dedos da mão direita, por sexo e amostra total, Tabela 1.</w:t>
      </w:r>
    </w:p>
    <w:p>
      <w:pPr>
        <w:pStyle w:val="Normal"/>
        <w:rPr/>
      </w:pPr>
      <w:r>
        <w:rPr>
          <w:b/>
        </w:rPr>
        <w:t>Decisão:</w:t>
      </w:r>
      <w:r>
        <w:rPr/>
        <w:t xml:space="preserve"> Incluição. Primeiro estudo de foto-antropometria da mão na base de dados; o método é documentado de forma rigorosa e o artigo é publicado em revista indexada com revisão por pares. Os valores mínimo e máximo (mas não percentis) são reportados; foram codificados como </w:t>
      </w:r>
      <w:r>
        <w:rPr>
          <w:rFonts w:ascii="Consolas" w:hAnsi="Consolas"/>
          <w:sz w:val="20"/>
        </w:rPr>
        <w:t>stat</w:t>
      </w:r>
      <w:r>
        <w:rPr>
          <w:i/>
        </w:rPr>
        <w:t>type = min</w:t>
      </w:r>
      <w:r>
        <w:rPr>
          <w:rFonts w:ascii="Consolas" w:hAnsi="Consolas"/>
          <w:sz w:val="20"/>
        </w:rPr>
        <w:t xml:space="preserve"> e </w:t>
      </w:r>
      <w:r>
        <w:rPr/>
        <w:t>max</w:t>
      </w:r>
      <w:r>
        <w:rPr>
          <w:rFonts w:ascii="Consolas" w:hAnsi="Consolas"/>
          <w:sz w:val="20"/>
        </w:rPr>
        <w:t>.</w:t>
      </w:r>
    </w:p>
    <w:p>
      <w:pPr>
        <w:pStyle w:val="Heading3"/>
        <w:rPr/>
      </w:pPr>
      <w:r>
        <w:rPr/>
      </w:r>
    </w:p>
    <w:p>
      <w:pPr>
        <w:pStyle w:val="Heading3"/>
        <w:rPr/>
      </w:pPr>
      <w:r>
        <w:rPr/>
        <w:t>A.5.3 México — população geral (Rodríguez-Vega &amp; Rodríguez-Vega, 2024)</w:t>
      </w:r>
    </w:p>
    <w:p>
      <w:pPr>
        <w:pStyle w:val="Normal"/>
        <w:rPr>
          <w:b/>
        </w:rPr>
      </w:pPr>
      <w:r>
        <w:rPr>
          <w:b/>
        </w:rPr>
      </w:r>
    </w:p>
    <w:p>
      <w:pPr>
        <w:pStyle w:val="Normal"/>
        <w:rPr/>
      </w:pPr>
      <w:r>
        <w:rPr>
          <w:b/>
        </w:rPr>
        <w:t>Fonte:</w:t>
      </w:r>
      <w:r>
        <w:rPr/>
        <w:t xml:space="preserve"> </w:t>
      </w:r>
      <w:r>
        <w:rPr>
          <w:i/>
        </w:rPr>
        <w:t>European Public &amp; Social Innovation Review</w:t>
      </w:r>
      <w:r>
        <w:rPr/>
        <w:t>, 9:1–15. n=2.837 (2.275M, 562F), Noroeste do México, idade 15–59. Quatro dimensões: comprimento da mão (HL), comprimento da palma (PL), largura da mão (HB) e diâmetro de preensão (HGD). Tabela 3 (amostra geral) e Tabela 4 (oito grupos etários: 15–19, 20–24, …, 50–54).</w:t>
      </w:r>
    </w:p>
    <w:p>
      <w:pPr>
        <w:pStyle w:val="Normal"/>
        <w:rPr/>
      </w:pPr>
      <w:r>
        <w:rPr>
          <w:b/>
        </w:rPr>
        <w:t>Decisão:</w:t>
      </w:r>
      <w:r>
        <w:rPr/>
        <w:t xml:space="preserve"> Incluição, com marcação de qualidade nos subgrupos de pequena dimensão. A desagregação por grupo etário é única na base de dados e de grande valor para modelação por faixa etária. Foram detetados dois casos problemáticos na Tabela 4: o subgrupo feminino 50–54 tem n=3 (SD=0,00 reportado para HB, provavelmente artefacto de arredondamento); o subgrupo feminino 45–49 tem n=10. Ambos foram incluídos mas marcados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A.5.4 Índia — mulheres trabalhadoras (Nag et al., 2003)</w:t>
      </w:r>
    </w:p>
    <w:p>
      <w:pPr>
        <w:pStyle w:val="Normal"/>
        <w:rPr>
          <w:b/>
        </w:rPr>
      </w:pPr>
      <w:r>
        <w:rPr>
          <w:b/>
        </w:rPr>
      </w:r>
    </w:p>
    <w:p>
      <w:pPr>
        <w:pStyle w:val="Normal"/>
        <w:rPr/>
      </w:pPr>
      <w:r>
        <w:rPr>
          <w:b/>
        </w:rPr>
        <w:t>Fonte:</w:t>
      </w:r>
      <w:r>
        <w:rPr/>
        <w:t xml:space="preserve"> </w:t>
      </w:r>
      <w:r>
        <w:rPr>
          <w:i/>
        </w:rPr>
        <w:t>Indian Journal of Medical Research</w:t>
      </w:r>
      <w:r>
        <w:rPr/>
        <w:t>, 117:260–269. n=95 mulheres, trabalhadores informais (indústria de bidis, agarbattis e vestuário), Ahmedabad. 51 dimensões da mão direita em cinco tabelas (comprimentos, larguras, circunferências, profundidades, extensões e folgas), com P5, P50 e P95 reportados.</w:t>
      </w:r>
    </w:p>
    <w:p>
      <w:pPr>
        <w:pStyle w:val="Normal"/>
        <w:rPr/>
      </w:pPr>
      <w:r>
        <w:rPr>
          <w:b/>
        </w:rPr>
        <w:t>Decisão:</w:t>
      </w:r>
      <w:r>
        <w:rPr/>
        <w:t xml:space="preserve"> Incluição total. É o estudo com maior granularidade de dimensões da mão na base de dados, e o único com dados de profundidade e circunferência por articulação. A restrição a mulheres e a uma população laboral informal específica é documentada na coluna </w:t>
      </w:r>
      <w:r>
        <w:rPr>
          <w:rFonts w:ascii="Consolas" w:hAnsi="Consolas"/>
          <w:sz w:val="20"/>
        </w:rPr>
        <w:t>population</w:t>
      </w:r>
      <w:r>
        <w:rPr/>
        <w:t>.</w:t>
      </w:r>
    </w:p>
    <w:p>
      <w:pPr>
        <w:pStyle w:val="Heading3"/>
        <w:rPr/>
      </w:pPr>
      <w:r>
        <w:rPr/>
      </w:r>
    </w:p>
    <w:p>
      <w:pPr>
        <w:pStyle w:val="Heading3"/>
        <w:rPr/>
      </w:pPr>
      <w:r>
        <w:rPr/>
        <w:t>A.5.5 Portugal — trabalhadores industriais (Anacleto Filho et al., 2023)</w:t>
      </w:r>
    </w:p>
    <w:p>
      <w:pPr>
        <w:pStyle w:val="Normal"/>
        <w:rPr>
          <w:b/>
        </w:rPr>
      </w:pPr>
      <w:r>
        <w:rPr>
          <w:b/>
        </w:rPr>
      </w:r>
    </w:p>
    <w:p>
      <w:pPr>
        <w:pStyle w:val="Normal"/>
        <w:rPr/>
      </w:pPr>
      <w:r>
        <w:rPr>
          <w:b/>
        </w:rPr>
        <w:t>Fonte:</w:t>
      </w:r>
      <w:r>
        <w:rPr/>
        <w:t xml:space="preserve"> </w:t>
      </w:r>
      <w:r>
        <w:rPr>
          <w:i/>
        </w:rPr>
        <w:t>International Journal of Industrial Ergonomics</w:t>
      </w:r>
      <w:r>
        <w:rPr/>
        <w:t>, 97:103473. n=343 (169M, 174F),</w:t>
      </w:r>
    </w:p>
    <w:p>
      <w:pPr>
        <w:pStyle w:val="Normal"/>
        <w:rPr/>
      </w:pPr>
      <w:r>
        <w:rPr/>
        <w:t>trabalhadores industriais do Norte de Portugal, 2021. De um conjunto de 27 dimensões corporais, apenas duas são da mão: comprimento da mão e largura da mão (metacarpal II–V). Tabela 3, P5, P50, P95 por sexo.</w:t>
      </w:r>
    </w:p>
    <w:p>
      <w:pPr>
        <w:pStyle w:val="Normal"/>
        <w:rPr/>
      </w:pPr>
      <w:r>
        <w:rPr>
          <w:b/>
        </w:rPr>
        <w:t>Decisão:</w:t>
      </w:r>
      <w:r>
        <w:rPr/>
        <w:t xml:space="preserve"> Incluição. Embora apenas duas dimensões da mão sejam disponibilizadas, trata-se da única fonte de dados antropométricos da mão para população portuguesa adulta identificada na literatura, o que a torna indispensável para a contextualização nacional desta tese.</w:t>
      </w:r>
    </w:p>
    <w:p>
      <w:pPr>
        <w:pStyle w:val="Normal"/>
        <w:rPr/>
      </w:pPr>
      <w:r>
        <w:rPr>
          <w:b/>
        </w:rPr>
        <w:t>Nota metodológica:</w:t>
      </w:r>
      <w:r>
        <w:rPr/>
        <w:t xml:space="preserve"> O estudo mediu o lado esquerdo por limitação de instalações; este facto é registado em </w:t>
      </w:r>
      <w:r>
        <w:rPr>
          <w:rFonts w:ascii="Consolas" w:hAnsi="Consolas"/>
          <w:sz w:val="20"/>
        </w:rPr>
        <w:t>measurement</w:t>
      </w:r>
      <w:r>
        <w:rPr>
          <w:i/>
        </w:rPr>
        <w:t>method</w:t>
      </w:r>
      <w:r>
        <w:rPr/>
        <w:t>note</w:t>
      </w:r>
      <w:r>
        <w:rPr>
          <w:rFonts w:ascii="Consolas" w:hAnsi="Consolas"/>
          <w:sz w:val="20"/>
        </w:rPr>
        <w:t>.</w:t>
      </w:r>
    </w:p>
    <w:p>
      <w:pPr>
        <w:pStyle w:val="Heading3"/>
        <w:rPr/>
      </w:pPr>
      <w:r>
        <w:rPr/>
      </w:r>
    </w:p>
    <w:p>
      <w:pPr>
        <w:pStyle w:val="Heading3"/>
        <w:rPr/>
      </w:pPr>
      <w:r>
        <w:rPr/>
        <w:t>A.5.6 Nigéria — atletas universitários (Ibiwari et al., 2025)</w:t>
      </w:r>
    </w:p>
    <w:p>
      <w:pPr>
        <w:pStyle w:val="Normal"/>
        <w:rPr>
          <w:b/>
        </w:rPr>
      </w:pPr>
      <w:r>
        <w:rPr>
          <w:b/>
        </w:rPr>
      </w:r>
    </w:p>
    <w:p>
      <w:pPr>
        <w:pStyle w:val="Normal"/>
        <w:rPr/>
      </w:pPr>
      <w:r>
        <w:rPr>
          <w:b/>
        </w:rPr>
        <w:t>Fonte:</w:t>
      </w:r>
      <w:r>
        <w:rPr/>
        <w:t xml:space="preserve"> </w:t>
      </w:r>
      <w:r>
        <w:rPr>
          <w:i/>
        </w:rPr>
        <w:t>International Journal of Science Academic Research</w:t>
      </w:r>
      <w:r>
        <w:rPr/>
        <w:t>,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Normal"/>
        <w:rPr/>
      </w:pPr>
      <w:r>
        <w:rPr>
          <w:b/>
        </w:rPr>
        <w:t>Decisão:</w:t>
      </w:r>
      <w:r>
        <w:rPr/>
        <w:t xml:space="preserve"> Incluição com marcação de subgrupo desportivo. Dois subgrupos apresentam desvio-padrão atipicamente elevado (e.g., comprimento da mão no voleibol masculino: SD=37,49 mm), sugerindo a presença de outliers na amostra original. Estes casos foram marcados com nota de qualidade; os valores não foram excluídos porque provêm de tabelas publicadas e revistas.</w:t>
      </w:r>
    </w:p>
    <w:p>
      <w:pPr>
        <w:pStyle w:val="Normal"/>
        <w:rPr/>
      </w:pPr>
      <w:r>
        <w:rPr>
          <w:b/>
        </w:rPr>
        <w:t>Nota:</w:t>
      </w:r>
      <w:r>
        <w:rPr/>
        <w:t xml:space="preserve"> A população de atletas não é representativa da população geral; os valores refletem uma seleção fisicamente ativa e potencialmente com mãos de dimensões superiores à média.</w:t>
      </w:r>
    </w:p>
    <w:p>
      <w:pPr>
        <w:pStyle w:val="Heading3"/>
        <w:rPr/>
      </w:pPr>
      <w:r>
        <w:rPr/>
      </w:r>
    </w:p>
    <w:p>
      <w:pPr>
        <w:pStyle w:val="Heading3"/>
        <w:rPr/>
      </w:pPr>
      <w:r>
        <w:rPr/>
        <w:t>A.5.7 Jordânia — trabalhadores com deficiência (Mistarihi, 2020)</w:t>
      </w:r>
    </w:p>
    <w:p>
      <w:pPr>
        <w:pStyle w:val="Normal"/>
        <w:rPr>
          <w:b/>
        </w:rPr>
      </w:pPr>
      <w:r>
        <w:rPr>
          <w:b/>
        </w:rPr>
      </w:r>
    </w:p>
    <w:p>
      <w:pPr>
        <w:pStyle w:val="Normal"/>
        <w:rPr/>
      </w:pPr>
      <w:r>
        <w:rPr>
          <w:b/>
        </w:rPr>
        <w:t>Fonte:</w:t>
      </w:r>
      <w:r>
        <w:rPr/>
        <w:t xml:space="preserve"> </w:t>
      </w:r>
      <w:r>
        <w:rPr>
          <w:i/>
        </w:rPr>
        <w:t>Data in Brief</w:t>
      </w:r>
      <w:r>
        <w:rPr/>
        <w:t>,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Normal"/>
        <w:rPr/>
      </w:pPr>
      <w:r>
        <w:rPr>
          <w:b/>
        </w:rPr>
        <w:t>Decisão:</w:t>
      </w:r>
      <w:r>
        <w:rPr/>
        <w:t xml:space="preserve"> Inclusão parcial. A dimensão amostral reduzida (n=40) e a ausência de desagregação por sexo limitam a utilidade direta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rPr/>
      </w:pPr>
      <w:r>
        <w:rPr/>
      </w:r>
    </w:p>
    <w:p>
      <w:pPr>
        <w:pStyle w:val="Heading3"/>
        <w:rPr/>
      </w:pPr>
      <w:r>
        <w:rPr/>
        <w:t>A.5.8 EUA — dedo indicador (Lim et al., 2018)</w:t>
      </w:r>
    </w:p>
    <w:p>
      <w:pPr>
        <w:pStyle w:val="Normal"/>
        <w:rPr>
          <w:b/>
        </w:rPr>
      </w:pPr>
      <w:r>
        <w:rPr>
          <w:b/>
        </w:rPr>
      </w:r>
    </w:p>
    <w:p>
      <w:pPr>
        <w:pStyle w:val="Normal"/>
        <w:rPr/>
      </w:pPr>
      <w:r>
        <w:rPr>
          <w:b/>
        </w:rPr>
        <w:t>Fonte:</w:t>
      </w:r>
      <w:r>
        <w:rPr/>
        <w:t xml:space="preserve"> Trabalho académico UC Berkeley. n=50 adultos, idade 18–30. Apenas duas dimensões do dedo indicador (D2): comprimento MCP-ponta (média=90,9 mm) e largura na articulação PIP (média=16,9 mm). Apenas médias reportadas, sem SD ou percentis.</w:t>
      </w:r>
    </w:p>
    <w:p>
      <w:pPr>
        <w:pStyle w:val="Normal"/>
        <w:rPr/>
      </w:pPr>
      <w:r>
        <w:rPr>
          <w:b/>
        </w:rPr>
        <w:t>Decisão:</w:t>
      </w:r>
      <w:r>
        <w:rPr/>
        <w:t xml:space="preserve"> Inclusão limitada. A ausência de desvio-padrão e percentis reduz significativamente a utilidade estatística. No entanto, o estudo foi incluído porque é especificamente orientado para a personalização de próteses de dedo e fornece valores de referência para o design de um dedo índice protésico — diretamente relevantes para o objetivo desta tese. O coeficiente de determinação R²=0,18 entre comprimento e largura do dedo é marcado como indicador de correlação fraca.</w:t>
      </w:r>
    </w:p>
    <w:p>
      <w:pPr>
        <w:pStyle w:val="Heading3"/>
        <w:rPr/>
      </w:pPr>
      <w:r>
        <w:rPr/>
      </w:r>
    </w:p>
    <w:p>
      <w:pPr>
        <w:pStyle w:val="Heading3"/>
        <w:rPr/>
      </w:pPr>
      <w:r>
        <w:rPr/>
        <w:t>A.5.9 Estudo excluído: Moreo (2016)</w:t>
      </w:r>
    </w:p>
    <w:p>
      <w:pPr>
        <w:pStyle w:val="Normal"/>
        <w:rPr/>
      </w:pPr>
      <w:r>
        <w:rPr/>
      </w:r>
    </w:p>
    <w:p>
      <w:pPr>
        <w:pStyle w:val="Normal"/>
        <w:rPr/>
      </w:pPr>
      <w:r>
        <w:rPr/>
        <w:t>O trabalho de Moreo (2016), dissertação de mestrado sobre design paramétrico de prótese de mão para crianças.</w:t>
      </w:r>
    </w:p>
    <w:p>
      <w:pPr>
        <w:pStyle w:val="Normal"/>
        <w:rPr/>
      </w:pPr>
      <w:r>
        <w:rPr/>
        <w:t>A Tabela 6.1 apresenta valores percentílicos de comprimento de dedo por grupo etário, mas estes valores são extraídos da base de dados DINED (TU Delft, n=965 crianças neerlandesas) — Uma vez que não constituem uma recolha primária por parte do autor, a inclusão destes valores equivaleria a duplicar uma fonte secundária sem ligação direta verificável ao estudo DINED original.</w:t>
      </w:r>
    </w:p>
    <w:p>
      <w:pPr>
        <w:pStyle w:val="Normal"/>
        <w:rPr>
          <w:b/>
        </w:rPr>
      </w:pPr>
      <w:r>
        <w:rPr>
          <w:b/>
        </w:rPr>
        <w:t>Decisão: excluído.</w:t>
      </w:r>
    </w:p>
    <w:p>
      <w:pPr>
        <w:pStyle w:val="Heading3"/>
        <w:rPr/>
      </w:pPr>
      <w:r>
        <w:rPr/>
      </w:r>
    </w:p>
    <w:p>
      <w:pPr>
        <w:pStyle w:val="Heading3"/>
        <w:rPr/>
      </w:pPr>
      <w:r>
        <w:rPr/>
        <w:t>A.5.10 EUA — militares ANSUR II (Gordon et al., 2015)</w:t>
      </w:r>
    </w:p>
    <w:p>
      <w:pPr>
        <w:pStyle w:val="Normal"/>
        <w:rPr>
          <w:b/>
        </w:rPr>
      </w:pPr>
      <w:r>
        <w:rPr>
          <w:b/>
        </w:rPr>
      </w:r>
    </w:p>
    <w:p>
      <w:pPr>
        <w:pStyle w:val="Normal"/>
        <w:rPr/>
      </w:pPr>
      <w:r>
        <w:rPr>
          <w:b/>
        </w:rPr>
        <w:t>Fonte:</w:t>
      </w:r>
      <w:r>
        <w:rPr/>
        <w:t xml:space="preserve"> Relatório técnico NATICK/TR-15/007, U.S. Army Natick Soldier Research, Development and Engineering Center. n=6.068 militares ativos (4.082M, 1.986F), idade 17–58, grande diversidade étnica. Os dados brutos individuais foram disponibilizados em acesso público em 2017 (licença CC BY 4.0). As estatísticas foram calculadas a partir dos CSVs individuais (não do relatório impresso), o processo foi implementado em Python puro, sem dependências externas, de modo a reduzir variações associadas ao ambiente de execução e a assegurar que o ficheiro possa ser regenerado de forma consistente a partir das mesmas entradas.</w:t>
      </w:r>
    </w:p>
    <w:p>
      <w:pPr>
        <w:pStyle w:val="Normal"/>
        <w:rPr/>
      </w:pPr>
      <w:r>
        <w:rPr>
          <w:b/>
        </w:rPr>
        <w:t>Decisão:</w:t>
      </w:r>
      <w:r>
        <w:rPr/>
        <w:t xml:space="preserve">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Normal"/>
        <w:rPr/>
      </w:pPr>
      <w:r>
        <w:rPr>
          <w:b/>
        </w:rPr>
        <w:t>Nota:</w:t>
      </w:r>
      <w:r>
        <w:rPr/>
        <w:t xml:space="preserve"> A medição </w:t>
      </w:r>
      <w:r>
        <w:rPr>
          <w:rFonts w:ascii="Consolas" w:hAnsi="Consolas"/>
          <w:sz w:val="20"/>
        </w:rPr>
        <w:t>wristheight</w:t>
      </w:r>
      <w:r>
        <w:rPr/>
        <w:t xml:space="preserve"> foi excluída — corresponde à distância do chão ao pulso em posição de pé, uma dimensão postural e não uma medição da mão.</w:t>
      </w:r>
    </w:p>
    <w:p>
      <w:pPr>
        <w:pStyle w:val="Heading3"/>
        <w:rPr/>
      </w:pPr>
      <w:r>
        <w:rPr/>
      </w:r>
    </w:p>
    <w:p>
      <w:pPr>
        <w:pStyle w:val="Heading3"/>
        <w:rPr/>
      </w:pPr>
      <w:r>
        <w:rPr/>
        <w:t>A.5.11 Países Baixos — DINED (TU Delft, 1993–2004)</w:t>
      </w:r>
    </w:p>
    <w:p>
      <w:pPr>
        <w:pStyle w:val="Normal"/>
        <w:rPr>
          <w:b/>
        </w:rPr>
      </w:pPr>
      <w:r>
        <w:rPr>
          <w:b/>
        </w:rPr>
      </w:r>
    </w:p>
    <w:p>
      <w:pPr>
        <w:pStyle w:val="Normal"/>
        <w:rPr/>
      </w:pPr>
      <w:r>
        <w:rPr>
          <w:b/>
        </w:rPr>
        <w:t>Fonte:</w:t>
      </w:r>
      <w:r>
        <w:rPr/>
        <w:t xml:space="preserve"> Base de dados antropométrica do Delft Institute for Ergonomics and Design, acessível via conta institucional em dined.io.tudelft.nl. Três sub-datasets distintos, com dados de mão disponíveis:</w:t>
      </w:r>
    </w:p>
    <w:p>
      <w:pPr>
        <w:pStyle w:val="ListBullet"/>
        <w:rPr/>
      </w:pPr>
      <w:r>
        <w:rPr/>
        <w:t xml:space="preserve">- </w:t>
      </w:r>
      <w:r>
        <w:rPr>
          <w:b/>
        </w:rPr>
        <w:t>kima1993</w:t>
      </w:r>
      <w:r>
        <w:rPr/>
        <w:t>: crianças neerlandesas, idades 2–12 (grupos por ano), por sexo e combinado; 8 medições da mão por grupo etário.</w:t>
      </w:r>
    </w:p>
    <w:p>
      <w:pPr>
        <w:pStyle w:val="ListBullet"/>
        <w:rPr/>
      </w:pPr>
      <w:r>
        <w:rPr/>
        <w:t xml:space="preserve">- </w:t>
      </w:r>
      <w:r>
        <w:rPr>
          <w:b/>
        </w:rPr>
        <w:t>geron1998</w:t>
      </w:r>
      <w:r>
        <w:rPr/>
        <w:t>: idosos neerlandeses, idades 50–80+ (bandas de 5 anos), por sexo e combinado; 5 medições da mão.</w:t>
      </w:r>
    </w:p>
    <w:p>
      <w:pPr>
        <w:pStyle w:val="ListBullet"/>
        <w:rPr/>
      </w:pPr>
      <w:r>
        <w:rPr/>
        <w:t xml:space="preserve">- </w:t>
      </w:r>
      <w:r>
        <w:rPr>
          <w:b/>
        </w:rPr>
        <w:t>dined2004</w:t>
      </w:r>
      <w:r>
        <w:rPr/>
        <w:t>: adultos neerlandeses, grupos etários 20–30, 31–60, 60+, por sexo e combinado; 6–7 medições da mão.</w:t>
      </w:r>
    </w:p>
    <w:p>
      <w:pPr>
        <w:pStyle w:val="Normal"/>
        <w:rPr/>
      </w:pPr>
      <w:r>
        <w:rPr/>
        <w:t xml:space="preserve">Os dados foram extraídos a partir do HTML da interface web (padrões </w:t>
      </w:r>
      <w:r>
        <w:rPr>
          <w:rFonts w:ascii="Consolas" w:hAnsi="Consolas"/>
          <w:sz w:val="20"/>
        </w:rPr>
        <w:t>id="mean{col}</w:t>
      </w:r>
      <w:r>
        <w:rPr>
          <w:i/>
        </w:rPr>
        <w:t>{row}"</w:t>
      </w:r>
      <w:r>
        <w:rPr>
          <w:rFonts w:ascii="Consolas" w:hAnsi="Consolas"/>
          <w:sz w:val="20"/>
        </w:rPr>
        <w:t xml:space="preserve"> / </w:t>
      </w:r>
      <w:r>
        <w:rPr/>
        <w:t>id="sd{col}</w:t>
      </w:r>
      <w:r>
        <w:rPr>
          <w:i/>
        </w:rPr>
        <w:t>{row}"</w:t>
      </w:r>
      <w:r>
        <w:rPr>
          <w:rFonts w:ascii="Consolas" w:hAnsi="Consolas"/>
          <w:sz w:val="20"/>
        </w:rPr>
        <w:t>), mapeando índices de coluna para combinações (sub-dataset, sexo, grupo etário) e índices de linha para nomes de medição.</w:t>
      </w:r>
    </w:p>
    <w:p>
      <w:pPr>
        <w:pStyle w:val="Normal"/>
        <w:rPr/>
      </w:pPr>
      <w:r>
        <w:rPr>
          <w:b/>
        </w:rPr>
        <w:t>Decisão:</w:t>
      </w:r>
      <w:r>
        <w:rPr/>
        <w:t xml:space="preserve">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Heading3"/>
        <w:rPr/>
      </w:pPr>
      <w:r>
        <w:rPr/>
      </w:r>
    </w:p>
    <w:p>
      <w:pPr>
        <w:pStyle w:val="Heading3"/>
        <w:rPr/>
      </w:pPr>
      <w:r>
        <w:rPr/>
        <w:t>A.5.12 China — idosos de Pequim (Hu et al., 2007)</w:t>
      </w:r>
    </w:p>
    <w:p>
      <w:pPr>
        <w:pStyle w:val="Normal"/>
        <w:rPr>
          <w:b/>
        </w:rPr>
      </w:pPr>
      <w:r>
        <w:rPr>
          <w:b/>
        </w:rPr>
      </w:r>
    </w:p>
    <w:p>
      <w:pPr>
        <w:pStyle w:val="Normal"/>
        <w:rPr/>
      </w:pPr>
      <w:r>
        <w:rPr>
          <w:b/>
        </w:rPr>
        <w:t>Fonte:</w:t>
      </w:r>
      <w:r>
        <w:rPr/>
        <w:t xml:space="preserve"> </w:t>
      </w:r>
      <w:r>
        <w:rPr>
          <w:i/>
        </w:rPr>
        <w:t>International Journal of Industrial Ergonomics</w:t>
      </w:r>
      <w:r>
        <w:rPr/>
        <w:t>,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Normal"/>
        <w:rPr>
          <w:b/>
        </w:rPr>
      </w:pPr>
      <w:r>
        <w:rPr>
          <w:b/>
        </w:rPr>
      </w:r>
    </w:p>
    <w:p>
      <w:pPr>
        <w:pStyle w:val="Normal"/>
        <w:rPr/>
      </w:pPr>
      <w:r>
        <w:rPr>
          <w:b/>
        </w:rPr>
        <w:t>Decisão:</w:t>
      </w:r>
      <w:r>
        <w:rPr/>
        <w:t xml:space="preserve">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w:t>
      </w:r>
      <w:r>
        <w:rPr>
          <w:rFonts w:ascii="Consolas" w:hAnsi="Consolas"/>
          <w:sz w:val="20"/>
        </w:rPr>
        <w:t>data</w:t>
      </w:r>
      <w:r>
        <w:rPr>
          <w:i/>
        </w:rPr>
        <w:t>quality</w:t>
      </w:r>
      <w:r>
        <w:rPr/>
        <w:t>note</w:t>
      </w:r>
      <w:r>
        <w:rPr>
          <w:rFonts w:ascii="Consolas" w:hAnsi="Consolas"/>
          <w:sz w:val="20"/>
        </w:rPr>
        <w:t>.</w:t>
      </w:r>
    </w:p>
    <w:p>
      <w:pPr>
        <w:pStyle w:val="Normal"/>
        <w:rPr>
          <w:b/>
        </w:rPr>
      </w:pPr>
      <w:r>
        <w:rPr>
          <w:b/>
        </w:rPr>
      </w:r>
    </w:p>
    <w:p>
      <w:pPr>
        <w:pStyle w:val="Normal"/>
        <w:rPr/>
      </w:pPr>
      <w:r>
        <w:rPr>
          <w:b/>
        </w:rPr>
        <w:t>Nota de cobertura:</w:t>
      </w:r>
      <w:r>
        <w:rPr/>
        <w:t xml:space="preserve"> Primeira fonte de dados de idosos chineses e, simultaneamente, a única fonte da Ásia Oriental na base de dados (após a verificação de que uma referência alternativa inicialmente identificada não era verificável).</w:t>
      </w:r>
    </w:p>
    <w:p>
      <w:pPr>
        <w:pStyle w:val="Heading3"/>
        <w:rPr/>
      </w:pPr>
      <w:r>
        <w:rPr/>
      </w:r>
    </w:p>
    <w:p>
      <w:pPr>
        <w:pStyle w:val="Heading3"/>
        <w:rPr/>
      </w:pPr>
      <w:r>
        <w:rPr/>
        <w:t>A.5.13 Estudo excluído: reconstrução corporal 3D a partir de fotografias ortogonais</w:t>
      </w:r>
    </w:p>
    <w:p>
      <w:pPr>
        <w:pStyle w:val="Normal"/>
        <w:rPr>
          <w:b/>
        </w:rPr>
      </w:pPr>
      <w:r>
        <w:rPr>
          <w:b/>
        </w:rPr>
      </w:r>
    </w:p>
    <w:p>
      <w:pPr>
        <w:pStyle w:val="Normal"/>
        <w:rPr/>
      </w:pPr>
      <w:r>
        <w:rPr>
          <w:b/>
        </w:rPr>
        <w:t>Fonte:</w:t>
      </w:r>
      <w:r>
        <w:rPr/>
        <w:t xml:space="preserve"> artigo metodológico sobre reconstrução de modelos corporais 3D a partir de fotografias ortogonais, publicado no </w:t>
      </w:r>
      <w:r>
        <w:rPr>
          <w:i/>
        </w:rPr>
        <w:t>International Journal of Industrial Ergonomics</w:t>
      </w:r>
      <w:r>
        <w:rPr/>
        <w:t>, usando deformação de forma livre (FFD).</w:t>
      </w:r>
    </w:p>
    <w:p>
      <w:pPr>
        <w:pStyle w:val="Normal"/>
        <w:rPr>
          <w:b/>
        </w:rPr>
      </w:pPr>
      <w:r>
        <w:rPr>
          <w:b/>
        </w:rPr>
      </w:r>
    </w:p>
    <w:p>
      <w:pPr>
        <w:pStyle w:val="Normal"/>
        <w:rPr/>
      </w:pPr>
      <w:r>
        <w:rPr>
          <w:b/>
        </w:rPr>
        <w:t>Decisão: excluído.</w:t>
      </w:r>
      <w:r>
        <w:rPr/>
        <w:t xml:space="preserve">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3"/>
        <w:rPr/>
      </w:pPr>
      <w:r>
        <w:rPr/>
      </w:r>
    </w:p>
    <w:p>
      <w:pPr>
        <w:pStyle w:val="Heading3"/>
        <w:rPr/>
      </w:pPr>
      <w:r>
        <w:rPr/>
        <w:t>A.6 Estrutura do CSV e Schema</w:t>
      </w:r>
    </w:p>
    <w:p>
      <w:pPr>
        <w:pStyle w:val="Heading3"/>
        <w:rPr/>
      </w:pPr>
      <w:r>
        <w:rPr/>
      </w:r>
    </w:p>
    <w:p>
      <w:pPr>
        <w:pStyle w:val="Heading3"/>
        <w:rPr/>
      </w:pPr>
      <w:r>
        <w:rPr/>
        <w:t>A.6.1 Campos</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Campo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Tipo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document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Título abreviado do artigo ou relatório fonte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page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Página da tabela de origem no documento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citation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Citação completa em estilo APA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name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Nome da dimensão, incluindo especificações de método quando relevante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body</w:t>
            </w:r>
            <w:r>
              <w:rPr>
                <w:i/>
              </w:rPr>
              <w:t>region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Região corporal (</w:t>
            </w:r>
            <w:r>
              <w:rPr>
                <w:rFonts w:ascii="Consolas" w:hAnsi="Consolas"/>
                <w:sz w:val="20"/>
              </w:rPr>
              <w:t>hand</w:t>
            </w:r>
            <w:r>
              <w:rPr/>
              <w:t xml:space="preserve">, </w:t>
            </w:r>
            <w:r>
              <w:rPr>
                <w:rFonts w:ascii="Consolas" w:hAnsi="Consolas"/>
                <w:sz w:val="20"/>
              </w:rPr>
              <w:t>forearm</w:t>
            </w:r>
            <w:r>
              <w:rPr/>
              <w:t xml:space="preserve">, </w:t>
            </w:r>
            <w:r>
              <w:rPr>
                <w:rFonts w:ascii="Consolas" w:hAnsi="Consolas"/>
                <w:sz w:val="20"/>
              </w:rPr>
              <w:t>upper</w:t>
            </w:r>
            <w:r>
              <w:rPr>
                <w:i/>
              </w:rPr>
              <w:t>arm</w:t>
            </w:r>
            <w:r>
              <w:rPr>
                <w:rFonts w:ascii="Consolas" w:hAnsi="Consolas"/>
                <w:sz w:val="20"/>
              </w:rPr>
              <w:t xml:space="preserve">, </w:t>
            </w:r>
            <w:r>
              <w:rPr/>
              <w:t>lower</w:t>
            </w:r>
            <w:r>
              <w:rPr>
                <w:i/>
              </w:rPr>
              <w:t>limb</w:t>
            </w:r>
            <w:r>
              <w:rPr>
                <w:rFonts w:ascii="Consolas" w:hAnsi="Consolas"/>
                <w:sz w:val="20"/>
              </w:rPr>
              <w:t xml:space="preserve">, </w:t>
            </w:r>
            <w:r>
              <w:rPr/>
              <w:t>torso</w:t>
            </w:r>
            <w:r>
              <w:rPr>
                <w:rFonts w:ascii="Consolas" w:hAnsi="Consolas"/>
                <w:sz w:val="20"/>
              </w:rPr>
              <w:t xml:space="preserve">, </w:t>
            </w:r>
            <w:r>
              <w:rPr/>
              <w:t>head</w:t>
            </w:r>
            <w:r>
              <w:rPr>
                <w:rFonts w:ascii="Consolas" w:hAnsi="Consolas"/>
                <w:sz w:val="20"/>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method</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Instrumento, mão medida, posição e protocolo de medição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population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 da população (e.g., "Young adults (age 18-30)")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country</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 de recolha dos dados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sex</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male</w:t>
            </w:r>
            <w:r>
              <w:rPr/>
              <w:t xml:space="preserve">, </w:t>
            </w:r>
            <w:r>
              <w:rPr>
                <w:rFonts w:ascii="Consolas" w:hAnsi="Consolas"/>
                <w:sz w:val="20"/>
              </w:rPr>
              <w:t>female</w:t>
            </w:r>
            <w:r>
              <w:rPr/>
              <w:t xml:space="preserve"> ou </w:t>
            </w:r>
            <w:r>
              <w:rPr>
                <w:rFonts w:ascii="Consolas" w:hAnsi="Consolas"/>
                <w:sz w:val="20"/>
              </w:rPr>
              <w:t>combined</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age</w:t>
            </w:r>
            <w:r>
              <w:rPr>
                <w:i/>
              </w:rPr>
              <w:t>group</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Intervalo etário da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sample</w:t>
            </w:r>
            <w:r>
              <w:rPr>
                <w:i/>
              </w:rPr>
              <w:t>size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Número de participantes na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stat</w:t>
            </w:r>
            <w:r>
              <w:rPr>
                <w:i/>
              </w:rPr>
              <w:t>type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 xml:space="preserve">Tipo de estatística: </w:t>
            </w:r>
            <w:r>
              <w:rPr>
                <w:rFonts w:ascii="Consolas" w:hAnsi="Consolas"/>
                <w:sz w:val="20"/>
              </w:rPr>
              <w:t>mean</w:t>
            </w:r>
            <w:r>
              <w:rPr/>
              <w:t xml:space="preserve">, </w:t>
            </w:r>
            <w:r>
              <w:rPr>
                <w:rFonts w:ascii="Consolas" w:hAnsi="Consolas"/>
                <w:sz w:val="20"/>
              </w:rPr>
              <w:t>std</w:t>
            </w:r>
            <w:r>
              <w:rPr>
                <w:i/>
              </w:rPr>
              <w:t>dev</w:t>
            </w:r>
            <w:r>
              <w:rPr>
                <w:rFonts w:ascii="Consolas" w:hAnsi="Consolas"/>
                <w:sz w:val="20"/>
              </w:rPr>
              <w:t xml:space="preserve">, </w:t>
            </w:r>
            <w:r>
              <w:rPr/>
              <w:t>percentile</w:t>
            </w:r>
            <w:r>
              <w:rPr>
                <w:rFonts w:ascii="Consolas" w:hAnsi="Consolas"/>
                <w:sz w:val="20"/>
              </w:rPr>
              <w:t xml:space="preserve">, </w:t>
            </w:r>
            <w:r>
              <w:rPr/>
              <w:t>min</w:t>
            </w:r>
            <w:r>
              <w:rPr>
                <w:rFonts w:ascii="Consolas" w:hAnsi="Consolas"/>
                <w:sz w:val="20"/>
              </w:rPr>
              <w:t xml:space="preserve">, </w:t>
            </w:r>
            <w:r>
              <w:rPr/>
              <w:t>max</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percentile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do percentil (5, 10, 25, 50, 75, 90, 95) — vazio se não aplicável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cm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centímetros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mm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milímetros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in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polegadas (calculado automaticamente)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data</w:t>
            </w:r>
            <w:r>
              <w:rPr>
                <w:i/>
              </w:rPr>
              <w:t>quality</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Notas sobre limitações, artefactos ou incertezas do valor</w:t>
            </w:r>
          </w:p>
        </w:tc>
      </w:tr>
    </w:tbl>
    <w:p>
      <w:pPr>
        <w:pStyle w:val="Heading3"/>
        <w:rPr/>
      </w:pPr>
      <w:r>
        <w:rPr/>
      </w:r>
    </w:p>
    <w:p>
      <w:pPr>
        <w:pStyle w:val="Heading3"/>
        <w:rPr/>
      </w:pPr>
      <w:r>
        <w:rPr/>
        <w:t>A.6.2 Formato longo (</w:t>
      </w:r>
      <w:r>
        <w:rPr>
          <w:i/>
        </w:rPr>
        <w:t>long format</w:t>
      </w:r>
      <w:r>
        <w:rPr/>
        <w:t>)</w:t>
      </w:r>
    </w:p>
    <w:p>
      <w:pPr>
        <w:pStyle w:val="Normal"/>
        <w:rPr/>
      </w:pPr>
      <w:r>
        <w:rPr/>
        <w:t xml:space="preserve">A opção pelo formato longo — uma linha por estatística, e não uma linha por dimensão com colunas </w:t>
      </w:r>
      <w:r>
        <w:rPr>
          <w:rFonts w:ascii="Consolas" w:hAnsi="Consolas"/>
          <w:sz w:val="20"/>
        </w:rPr>
        <w:t>mean</w:t>
      </w:r>
      <w:r>
        <w:rPr/>
        <w:t xml:space="preserve">, </w:t>
      </w:r>
      <w:r>
        <w:rPr>
          <w:rFonts w:ascii="Consolas" w:hAnsi="Consolas"/>
          <w:sz w:val="20"/>
        </w:rPr>
        <w:t>sd</w:t>
      </w:r>
      <w:r>
        <w:rPr/>
        <w:t xml:space="preserve">, </w:t>
      </w:r>
      <w:r>
        <w:rPr>
          <w:rFonts w:ascii="Consolas" w:hAnsi="Consolas"/>
          <w:sz w:val="20"/>
        </w:rPr>
        <w:t>p5</w:t>
      </w:r>
      <w:r>
        <w:rPr/>
        <w:t>, etc. — permite:</w:t>
      </w:r>
    </w:p>
    <w:p>
      <w:pPr>
        <w:pStyle w:val="ListBullet"/>
        <w:rPr/>
      </w:pPr>
      <w:r>
        <w:rPr/>
        <w:t>- Filtrar facilmente por tipo de estatística sem tratamento especial de colunas opcionais</w:t>
      </w:r>
    </w:p>
    <w:p>
      <w:pPr>
        <w:pStyle w:val="ListBullet"/>
        <w:rPr/>
      </w:pPr>
      <w:r>
        <w:rPr/>
        <w:t>- Incluir estudos que reportam apenas subconjuntos de estatísticas (e.g., apenas média, sem percentis) sem introduzir células vazias em colunas estruturais</w:t>
      </w:r>
    </w:p>
    <w:p>
      <w:pPr>
        <w:pStyle w:val="ListBullet"/>
        <w:rPr/>
      </w:pPr>
      <w:r>
        <w:rPr/>
        <w:t>- Acrescentar novos tipos de estatística (e.g., intervalo de confiança) sem alterar o schema</w:t>
      </w:r>
    </w:p>
    <w:p>
      <w:pPr>
        <w:pStyle w:val="Normal"/>
        <w:rPr/>
      </w:pPr>
      <w:r>
        <w:rPr/>
        <w:t>O custo é a repetição dos campos de identificação (país, sexo, dimensão) em cada linha — aceitável dado o volume total de dados (&lt; 5 MB).</w:t>
      </w:r>
    </w:p>
    <w:p>
      <w:pPr>
        <w:pStyle w:val="Heading3"/>
        <w:rPr/>
      </w:pPr>
      <w:r>
        <w:rPr/>
      </w:r>
    </w:p>
    <w:p>
      <w:pPr>
        <w:pStyle w:val="Heading3"/>
        <w:rPr/>
      </w:pPr>
      <w:r>
        <w:rPr/>
        <w:t>A.7 Controlo de Qualidade dos Dados</w:t>
      </w:r>
    </w:p>
    <w:p>
      <w:pPr>
        <w:pStyle w:val="Heading3"/>
        <w:rPr/>
      </w:pPr>
      <w:r>
        <w:rPr/>
      </w:r>
    </w:p>
    <w:p>
      <w:pPr>
        <w:pStyle w:val="Heading3"/>
        <w:rPr/>
      </w:pPr>
      <w:r>
        <w:rPr/>
        <w:t>A.7.1 Marcação inline de limitações</w:t>
      </w:r>
    </w:p>
    <w:p>
      <w:pPr>
        <w:pStyle w:val="Normal"/>
        <w:rPr/>
      </w:pPr>
      <w:r>
        <w:rPr/>
      </w:r>
    </w:p>
    <w:p>
      <w:pPr>
        <w:pStyle w:val="Normal"/>
        <w:rPr/>
      </w:pPr>
      <w:r>
        <w:rPr/>
        <w:t xml:space="preserve">O campo </w:t>
      </w:r>
      <w:r>
        <w:rPr>
          <w:rFonts w:ascii="Consolas" w:hAnsi="Consolas"/>
          <w:sz w:val="20"/>
        </w:rPr>
        <w:t>data</w:t>
      </w:r>
      <w:r>
        <w:rPr>
          <w:i/>
        </w:rPr>
        <w:t>quality</w:t>
      </w:r>
      <w:r>
        <w:rPr/>
        <w:t>note</w:t>
      </w:r>
      <w:r>
        <w:rPr>
          <w:rFonts w:ascii="Consolas" w:hAnsi="Consolas"/>
          <w:sz w:val="20"/>
        </w:rPr>
        <w:t xml:space="preserve"> é preenchido sempre que existe uma das seguintes situações:</w:t>
      </w:r>
    </w:p>
    <w:p>
      <w:pPr>
        <w:pStyle w:val="ListBullet"/>
        <w:rPr/>
      </w:pPr>
      <w:r>
        <w:rPr/>
        <w:t>- Valor extraído de uma figura (diagrama ou gráfico) em vez de uma tabela</w:t>
      </w:r>
    </w:p>
    <w:p>
      <w:pPr>
        <w:pStyle w:val="ListBullet"/>
        <w:rPr/>
      </w:pPr>
      <w:r>
        <w:rPr/>
        <w:t>- Subgrupo com n ≤ 10</w:t>
      </w:r>
    </w:p>
    <w:p>
      <w:pPr>
        <w:pStyle w:val="ListBullet"/>
        <w:rPr/>
      </w:pPr>
      <w:r>
        <w:rPr/>
        <w:t>- Desvio-padrão ausente ou atipicamente elevado</w:t>
      </w:r>
    </w:p>
    <w:p>
      <w:pPr>
        <w:pStyle w:val="ListBullet"/>
        <w:rPr/>
      </w:pPr>
      <w:r>
        <w:rPr/>
        <w:t>- Valor estimado a partir de estatísticas adjacentes por ilegibilidade da tabela</w:t>
      </w:r>
    </w:p>
    <w:p>
      <w:pPr>
        <w:pStyle w:val="ListBullet"/>
        <w:rPr/>
      </w:pPr>
      <w:r>
        <w:rPr/>
        <w:t>- Correlação fraca entre variáveis reportada pelo próprio estudo</w:t>
      </w:r>
    </w:p>
    <w:p>
      <w:pPr>
        <w:pStyle w:val="ListBullet"/>
        <w:rPr/>
      </w:pPr>
      <w:r>
        <w:rPr/>
        <w:t>- Inconsistência tipográfica no documento original, corrigida com nota</w:t>
      </w:r>
    </w:p>
    <w:p>
      <w:pPr>
        <w:pStyle w:val="Heading3"/>
        <w:rPr/>
      </w:pPr>
      <w:r>
        <w:rPr/>
      </w:r>
    </w:p>
    <w:p>
      <w:pPr>
        <w:pStyle w:val="Heading3"/>
        <w:rPr/>
      </w:pPr>
      <w:r>
        <w:rPr/>
        <w:t>A.7.2 Verificação de unidades</w:t>
      </w:r>
    </w:p>
    <w:p>
      <w:pPr>
        <w:pStyle w:val="Normal"/>
        <w:rPr/>
      </w:pPr>
      <w:r>
        <w:rPr/>
      </w:r>
    </w:p>
    <w:p>
      <w:pPr>
        <w:pStyle w:val="Normal"/>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rPr/>
      </w:pPr>
      <w:r>
        <w:rPr/>
      </w:r>
    </w:p>
    <w:p>
      <w:pPr>
        <w:pStyle w:val="Heading3"/>
        <w:rPr/>
      </w:pPr>
      <w:r>
        <w:rPr/>
        <w:t>A.7.3 Registo completo do processo</w:t>
      </w:r>
    </w:p>
    <w:p>
      <w:pPr>
        <w:pStyle w:val="Normal"/>
        <w:rPr/>
      </w:pPr>
      <w:r>
        <w:rPr/>
      </w:r>
    </w:p>
    <w:p>
      <w:pPr>
        <w:pStyle w:val="Normal"/>
        <w:rPr/>
      </w:pPr>
      <w:r>
        <w:rPr/>
        <w:t>Cada linha do CSV contém a citação completa (</w:t>
      </w:r>
      <w:r>
        <w:rPr>
          <w:rFonts w:ascii="Consolas" w:hAnsi="Consolas"/>
          <w:sz w:val="20"/>
        </w:rPr>
        <w:t>source</w:t>
      </w:r>
      <w:r>
        <w:rPr>
          <w:i/>
        </w:rPr>
        <w:t>citation</w:t>
      </w:r>
      <w:r>
        <w:rPr>
          <w:rFonts w:ascii="Consolas" w:hAnsi="Consolas"/>
          <w:sz w:val="20"/>
        </w:rPr>
        <w:t>) e o número de página exato (</w:t>
      </w:r>
      <w:r>
        <w:rPr/>
        <w:t>source</w:t>
      </w:r>
      <w:r>
        <w:rPr>
          <w:i/>
        </w:rPr>
        <w:t>page</w:t>
      </w:r>
      <w:r>
        <w:rPr>
          <w:rFonts w:ascii="Consolas" w:hAnsi="Consolas"/>
          <w:sz w:val="20"/>
        </w:rPr>
        <w:t>), permitindo que qualquer valor seja verificado diretamente na fonte primária sem necessidade de metadados externos.</w:t>
      </w:r>
    </w:p>
    <w:p>
      <w:pPr>
        <w:pStyle w:val="Heading3"/>
        <w:rPr/>
      </w:pPr>
      <w:r>
        <w:rPr/>
      </w:r>
    </w:p>
    <w:p>
      <w:pPr>
        <w:pStyle w:val="Heading3"/>
        <w:rPr/>
      </w:pPr>
      <w:r>
        <w:rPr/>
        <w:t>A.8 Escrita do Código de Geração</w:t>
      </w:r>
    </w:p>
    <w:p>
      <w:pPr>
        <w:pStyle w:val="Heading3"/>
        <w:rPr/>
      </w:pPr>
      <w:r>
        <w:rPr/>
      </w:r>
    </w:p>
    <w:p>
      <w:pPr>
        <w:pStyle w:val="Normal"/>
        <w:rPr/>
      </w:pPr>
      <w:r>
        <w:rPr/>
        <w:t>Os dados foram codificados em dois scripts Python independentes:</w:t>
      </w:r>
    </w:p>
    <w:p>
      <w:pPr>
        <w:pStyle w:val="ListBullet"/>
        <w:rPr/>
      </w:pPr>
      <w:r>
        <w:rPr/>
        <w:t xml:space="preserve">- </w:t>
      </w:r>
      <w:r>
        <w:rPr>
          <w:rFonts w:ascii="Consolas" w:hAnsi="Consolas"/>
          <w:sz w:val="20"/>
        </w:rPr>
        <w:t>generate</w:t>
      </w:r>
      <w:r>
        <w:rPr>
          <w:i/>
        </w:rPr>
        <w:t>ansur</w:t>
      </w:r>
      <w:r>
        <w:rPr/>
        <w:t>csv.py</w:t>
      </w:r>
      <w:r>
        <w:rPr>
          <w:rFonts w:ascii="Consolas" w:hAnsi="Consolas"/>
          <w:sz w:val="20"/>
        </w:rPr>
        <w:t xml:space="preserve"> — gera </w:t>
      </w:r>
      <w:r>
        <w:rPr/>
        <w:t>ansur</w:t>
      </w:r>
      <w:r>
        <w:rPr>
          <w:i/>
        </w:rPr>
        <w:t>1988</w:t>
      </w:r>
      <w:r>
        <w:rPr/>
        <w:t>complete.csv</w:t>
      </w:r>
      <w:r>
        <w:rPr>
          <w:rFonts w:ascii="Consolas" w:hAnsi="Consolas"/>
          <w:sz w:val="20"/>
        </w:rPr>
        <w:t xml:space="preserve"> e </w:t>
      </w:r>
      <w:r>
        <w:rPr/>
        <w:t>ansur</w:t>
      </w:r>
      <w:r>
        <w:rPr>
          <w:i/>
        </w:rPr>
        <w:t>1988</w:t>
      </w:r>
      <w:r>
        <w:rPr/>
        <w:t>hand</w:t>
      </w:r>
      <w:r>
        <w:rPr>
          <w:i/>
        </w:rPr>
        <w:t>arm.csv</w:t>
      </w:r>
      <w:r>
        <w:rPr>
          <w:rFonts w:ascii="Consolas" w:hAnsi="Consolas"/>
          <w:sz w:val="20"/>
        </w:rPr>
        <w:t xml:space="preserve"> a partir de dicionários Python embutidos no script, um por tabela do relatório ANSUR</w:t>
      </w:r>
    </w:p>
    <w:p>
      <w:pPr>
        <w:pStyle w:val="ListBullet"/>
        <w:rPr/>
      </w:pPr>
      <w:r>
        <w:rPr/>
        <w:t xml:space="preserve">- </w:t>
      </w:r>
      <w:r>
        <w:rPr>
          <w:rFonts w:ascii="Consolas" w:hAnsi="Consolas"/>
          <w:sz w:val="20"/>
        </w:rPr>
        <w:t>generate</w:t>
      </w:r>
      <w:r>
        <w:rPr>
          <w:i/>
        </w:rPr>
        <w:t>multi</w:t>
      </w:r>
      <w:r>
        <w:rPr/>
        <w:t>population</w:t>
      </w:r>
      <w:r>
        <w:rPr>
          <w:i/>
        </w:rPr>
        <w:t>hand</w:t>
      </w:r>
      <w:r>
        <w:rPr/>
        <w:t>csv.py</w:t>
      </w:r>
      <w:r>
        <w:rPr>
          <w:rFonts w:ascii="Consolas" w:hAnsi="Consolas"/>
          <w:sz w:val="20"/>
        </w:rPr>
        <w:t xml:space="preserve"> — gera </w:t>
      </w:r>
      <w:r>
        <w:rPr/>
        <w:t>multi</w:t>
      </w:r>
      <w:r>
        <w:rPr>
          <w:i/>
        </w:rPr>
        <w:t>population</w:t>
      </w:r>
      <w:r>
        <w:rPr/>
        <w:t>hand.csv</w:t>
      </w:r>
      <w:r>
        <w:rPr>
          <w:rFonts w:ascii="Consolas" w:hAnsi="Consolas"/>
          <w:sz w:val="20"/>
        </w:rPr>
        <w:t xml:space="preserve"> a partir de dez secções numeradas, cada uma correspondente a um estudo ou conjunto de datasets</w:t>
      </w:r>
    </w:p>
    <w:p>
      <w:pPr>
        <w:pStyle w:val="Normal"/>
        <w:rPr/>
      </w:pPr>
      <w:r>
        <w:rPr/>
        <w:t>A escolha de embeber os dados diretamente no código (em vez de, por exemplo, folhas de cálculo intermédias) serve três propósitos: (1) origem verificável dos dados — cada valor está imediatamente associado à respetiva citação e nota metodológica; (2) regeneração consistente dos dados — a execução do script produz novamente o CSV a partir das mesmas regras e dos mesmos valores de origem;</w:t>
        <w:br/>
        <w:t xml:space="preserve">(3) controlo de versões — as alterações aos dados tornam-se visíveis no </w:t>
      </w:r>
      <w:r>
        <w:rPr>
          <w:rStyle w:val="SourceText"/>
        </w:rPr>
        <w:t>diff</w:t>
      </w:r>
      <w:r>
        <w:rPr/>
        <w:t xml:space="preserve"> do Git, permitindo identificar que estudo foi modificado e em que contexto.</w:t>
      </w:r>
    </w:p>
    <w:p>
      <w:pPr>
        <w:pStyle w:val="Normal"/>
        <w:rPr/>
      </w:pPr>
      <w:r>
        <w:rPr/>
        <w:t xml:space="preserve">O script aplica automaticamente as conversões de unidade, calcula </w:t>
      </w:r>
      <w:r>
        <w:rPr>
          <w:rFonts w:ascii="Consolas" w:hAnsi="Consolas"/>
          <w:sz w:val="20"/>
        </w:rPr>
        <w:t>value</w:t>
      </w:r>
      <w:r>
        <w:rPr>
          <w:i/>
        </w:rPr>
        <w:t>in</w:t>
      </w:r>
      <w:r>
        <w:rPr>
          <w:rFonts w:ascii="Consolas" w:hAnsi="Consolas"/>
          <w:sz w:val="20"/>
        </w:rPr>
        <w:t xml:space="preserve"> a partir de </w:t>
      </w:r>
      <w:r>
        <w:rPr/>
        <w:t>value</w:t>
      </w:r>
      <w:r>
        <w:rPr>
          <w:i/>
        </w:rPr>
        <w:t>cm</w:t>
      </w:r>
      <w:r>
        <w:rPr>
          <w:rFonts w:ascii="Consolas" w:hAnsi="Consolas"/>
          <w:sz w:val="20"/>
        </w:rPr>
        <w:t xml:space="preserve">, e valida que nenhuma linha é emitida sem pelo menos uma das colunas </w:t>
      </w:r>
      <w:r>
        <w:rPr/>
        <w:t>value</w:t>
      </w:r>
      <w:r>
        <w:rPr>
          <w:i/>
        </w:rPr>
        <w:t>mm</w:t>
      </w:r>
      <w:r>
        <w:rPr>
          <w:rFonts w:ascii="Consolas" w:hAnsi="Consolas"/>
          <w:sz w:val="20"/>
        </w:rPr>
        <w:t xml:space="preserve"> ou </w:t>
      </w:r>
      <w:r>
        <w:rPr/>
        <w:t>value</w:t>
      </w:r>
      <w:r>
        <w:rPr>
          <w:i/>
        </w:rPr>
        <w:t>cm</w:t>
      </w:r>
      <w:r>
        <w:rPr>
          <w:rFonts w:ascii="Consolas" w:hAnsi="Consolas"/>
          <w:sz w:val="20"/>
        </w:rPr>
        <w:t xml:space="preserve"> preenchida.</w:t>
      </w:r>
    </w:p>
    <w:p>
      <w:pPr>
        <w:pStyle w:val="Heading3"/>
        <w:rPr/>
      </w:pPr>
      <w:r>
        <w:rPr/>
      </w:r>
    </w:p>
    <w:p>
      <w:pPr>
        <w:pStyle w:val="Heading3"/>
        <w:rPr/>
      </w:pPr>
      <w:r>
        <w:rPr/>
        <w:t>A.9 Resultado Final</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Ficheiro</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Linhas (dados)</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Países</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Dimensões distintas</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complete.csv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2.726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47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hand</w:t>
            </w:r>
            <w:r>
              <w:rPr>
                <w:i/>
              </w:rPr>
              <w:t>arm.csv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696</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17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multi</w:t>
            </w:r>
            <w:r>
              <w:rPr>
                <w:i/>
              </w:rPr>
              <w:t>population</w:t>
            </w:r>
            <w:r>
              <w:rPr/>
              <w:t>hand.csv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1.790</w:t>
            </w:r>
          </w:p>
        </w:tc>
        <w:tc>
          <w:tcPr>
            <w:tcW w:w="1801" w:type="dxa"/>
            <w:tcBorders>
              <w:top w:val="single" w:sz="4" w:space="0" w:color="808080"/>
              <w:left w:val="single" w:sz="4" w:space="0" w:color="808080"/>
              <w:bottom w:val="single" w:sz="4" w:space="0" w:color="808080"/>
              <w:right w:val="single" w:sz="4" w:space="0" w:color="808080"/>
            </w:tcBorders>
          </w:tcPr>
          <w:p>
            <w:pPr>
              <w:pStyle w:val="Normal"/>
              <w:rPr/>
            </w:pPr>
            <w:r>
              <w:rPr/>
              <w:t>9</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11</w:t>
            </w:r>
          </w:p>
        </w:tc>
        <w:tc>
          <w:tcPr>
            <w:tcW w:w="1808" w:type="dxa"/>
            <w:tcBorders>
              <w:top w:val="single" w:sz="4" w:space="0" w:color="808080"/>
              <w:left w:val="single" w:sz="4" w:space="0" w:color="808080"/>
              <w:bottom w:val="single" w:sz="4" w:space="0" w:color="808080"/>
              <w:right w:val="single" w:sz="4" w:space="0" w:color="808080"/>
            </w:tcBorders>
          </w:tcPr>
          <w:p>
            <w:pPr>
              <w:pStyle w:val="Normal"/>
              <w:rPr/>
            </w:pPr>
            <w:r>
              <w:rPr/>
              <w:t>~85</w:t>
            </w:r>
          </w:p>
        </w:tc>
      </w:tr>
    </w:tbl>
    <w:p>
      <w:pPr>
        <w:pStyle w:val="Normal"/>
        <w:rPr/>
      </w:pPr>
      <w:r>
        <w:rPr/>
      </w:r>
    </w:p>
    <w:p>
      <w:pPr>
        <w:pStyle w:val="Normal"/>
        <w:rPr/>
      </w:pPr>
      <w:r>
        <w:rPr/>
        <w:t xml:space="preserve">O ficheiro </w:t>
      </w:r>
      <w:r>
        <w:rPr>
          <w:rFonts w:ascii="Consolas" w:hAnsi="Consolas"/>
          <w:sz w:val="20"/>
        </w:rPr>
        <w:t>multi</w:t>
      </w:r>
      <w:r>
        <w:rPr>
          <w:i/>
        </w:rPr>
        <w:t>population</w:t>
      </w:r>
      <w:r>
        <w:rPr/>
        <w:t>hand.csv</w:t>
      </w:r>
      <w:r>
        <w:rPr>
          <w:rFonts w:ascii="Consolas" w:hAnsi="Consolas"/>
          <w:sz w:val="20"/>
        </w:rPr>
        <w:t xml:space="preserve"> cobre nove países (EUA, Países Baixos, Turquia, México, Índia, Portugal, Nigéria, Jordânia, China), ambos os sexos e grupos combinados, grupos etários desde os 2 até aos 80+ anos, e populações tão diversas como crianças em idade escolar, idosos, atletas universitários, trabalhadores industriais, trabalhadoras informais e militares.</w:t>
      </w:r>
    </w:p>
    <w:p>
      <w:pPr>
        <w:pStyle w:val="Heading3"/>
        <w:rPr/>
      </w:pPr>
      <w:r>
        <w:rPr/>
      </w:r>
    </w:p>
    <w:p>
      <w:pPr>
        <w:pStyle w:val="Heading3"/>
        <w:rPr/>
      </w:pPr>
      <w:r>
        <w:rPr/>
        <w:t>A.10 Cobertura Global da Base de Dados e Lacunas</w:t>
      </w:r>
    </w:p>
    <w:p>
      <w:pPr>
        <w:pStyle w:val="Heading3"/>
        <w:rPr/>
      </w:pPr>
      <w:r>
        <w:rPr/>
      </w:r>
    </w:p>
    <w:p>
      <w:pPr>
        <w:pStyle w:val="Heading3"/>
        <w:rPr/>
      </w:pPr>
      <w:r>
        <w:rPr/>
        <w:t>A.10.1 O que está coberto</w:t>
      </w:r>
    </w:p>
    <w:p>
      <w:pPr>
        <w:pStyle w:val="Normal"/>
        <w:rPr/>
      </w:pPr>
      <w:r>
        <w:rPr/>
      </w:r>
    </w:p>
    <w:p>
      <w:pPr>
        <w:pStyle w:val="Normal"/>
        <w:rPr>
          <w:rFonts w:ascii="Consolas" w:hAnsi="Consolas"/>
          <w:sz w:val="20"/>
        </w:rPr>
      </w:pPr>
      <w:r>
        <w:rPr>
          <w:rFonts w:ascii="Consolas" w:hAnsi="Consolas"/>
          <w:sz w:val="20"/>
        </w:rPr>
        <w:t>A base de dados foi construída com o objetivo de reunir dados sobre a variação antropométrica da mão humana em diferentes dimensões de análise, incluindo distribuição geográfica, características demográficas, grupos etários e tipos de estatística descritiva disponíveis. A tabela seguinte sintetiza a cobertura atual.</w:t>
      </w:r>
    </w:p>
    <w:p>
      <w:pPr>
        <w:pStyle w:val="Heading3"/>
        <w:rPr/>
      </w:pPr>
      <w:r>
        <w:rPr/>
      </w:r>
    </w:p>
    <w:p>
      <w:pPr>
        <w:pStyle w:val="Heading3"/>
        <w:rPr/>
      </w:pPr>
      <w:r>
        <w:rPr/>
        <w:t>A.10.1.1 Cobertura geográfica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Região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representados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Ocidental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Portugal, 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Anacleto Filho et al. (2023); DINED kima1993, geron1998, dined2004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do Norte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 Lim et al. (2018)</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Latina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Médio Oriente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África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Sul da Ásia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Índia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Nag et al. (2003)</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Ásia Oriental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 (Pequim)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do Sul / Ásia Menor</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w:t>
            </w:r>
          </w:p>
        </w:tc>
      </w:tr>
    </w:tbl>
    <w:p>
      <w:pPr>
        <w:pStyle w:val="Normal"/>
        <w:rPr/>
      </w:pPr>
      <w:r>
        <w:rPr/>
      </w:r>
    </w:p>
    <w:p>
      <w:pPr>
        <w:pStyle w:val="Normal"/>
        <w:rPr/>
      </w:pPr>
      <w:r>
        <w:rPr/>
        <w:t>Nove países estão representados, distribuídos por sete regiões do mundo. A cobertura é particularmente densa nos EUA (três fontes independentes) e nos Países Baixos (três sub-datasets DINED).</w:t>
      </w:r>
    </w:p>
    <w:p>
      <w:pPr>
        <w:pStyle w:val="Heading3"/>
        <w:rPr/>
      </w:pPr>
      <w:r>
        <w:rPr/>
      </w:r>
    </w:p>
    <w:p>
      <w:pPr>
        <w:pStyle w:val="Heading3"/>
        <w:rPr/>
      </w:pPr>
      <w:r>
        <w:rPr/>
        <w:t>A.10.1.2 Cobertura etária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Faixa etária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Cobertura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2–12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kima1993 (por ano de idade)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15–19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subgrupo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18–30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 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Lim et al. (2018); Chatzioglou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17–58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II 2012</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15–59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8 grupos etários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19–30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20–40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20–60+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dined2004 (3 grupos)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50–80+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geron1998 (7 grupos de 5 anos)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65–85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bl>
    <w:p>
      <w:pPr>
        <w:pStyle w:val="Normal"/>
        <w:rPr/>
      </w:pPr>
      <w:r>
        <w:rPr/>
      </w:r>
    </w:p>
    <w:p>
      <w:pPr>
        <w:pStyle w:val="Normal"/>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Heading3"/>
        <w:rPr/>
      </w:pPr>
      <w:r>
        <w:rPr/>
      </w:r>
    </w:p>
    <w:p>
      <w:pPr>
        <w:pStyle w:val="Heading3"/>
        <w:rPr/>
      </w:pPr>
      <w:r>
        <w:rPr/>
        <w:t>A.10.1.3 Cobertura estatística</w:t>
      </w:r>
    </w:p>
    <w:p>
      <w:pPr>
        <w:pStyle w:val="Normal"/>
        <w:rPr/>
      </w:pPr>
      <w:r>
        <w:rPr/>
      </w:r>
    </w:p>
    <w:p>
      <w:pPr>
        <w:pStyle w:val="Normal"/>
        <w:rPr/>
      </w:pPr>
      <w:r>
        <w:rPr/>
        <w:t>A profundidade estatística varia consideravelmente entre fontes: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Nível de detalhe</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P5–P95 (11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P5, P50, P95 (5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DINED (3 sub-datasets), Hu et al. (2007)</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P5, P50, P95 (3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Nag et al. (2003), Anacleto Filho et al. (2023), Rodríguez-Vega et al. (2024)</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(4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 Ibiwari et al. (2025)</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apenas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Mistarihi (2020) — largura da mão; Lim et al. (2018)</w:t>
            </w:r>
          </w:p>
        </w:tc>
      </w:tr>
    </w:tbl>
    <w:p>
      <w:pPr>
        <w:pStyle w:val="Normal"/>
        <w:rPr/>
      </w:pPr>
      <w:r>
        <w:rPr/>
      </w:r>
    </w:p>
    <w:p>
      <w:pPr>
        <w:pStyle w:val="Normal"/>
        <w:rPr/>
      </w:pPr>
      <w:r>
        <w:rP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Heading3"/>
        <w:rPr/>
      </w:pPr>
      <w:r>
        <w:rPr/>
      </w:r>
    </w:p>
    <w:p>
      <w:pPr>
        <w:pStyle w:val="Heading3"/>
        <w:rPr/>
      </w:pPr>
      <w:r>
        <w:rPr/>
        <w:t>A.10.2 Onde a cobertura falha</w:t>
      </w:r>
    </w:p>
    <w:p>
      <w:pPr>
        <w:pStyle w:val="Heading3"/>
        <w:rPr/>
      </w:pPr>
      <w:r>
        <w:rPr/>
      </w:r>
    </w:p>
    <w:p>
      <w:pPr>
        <w:pStyle w:val="Heading3"/>
        <w:rPr/>
      </w:pPr>
      <w:r>
        <w:rPr/>
        <w:t>A.10.2.1 Lacunas geográficas</w:t>
      </w:r>
    </w:p>
    <w:p>
      <w:pPr>
        <w:pStyle w:val="Heading3"/>
        <w:rPr/>
      </w:pPr>
      <w:r>
        <w:rPr/>
      </w:r>
    </w:p>
    <w:p>
      <w:pPr>
        <w:pStyle w:val="Normal"/>
        <w:rPr/>
      </w:pPr>
      <w:r>
        <w:rPr/>
        <w:t>As regiões mais populosas do mundo estão sub-representadas ou ausentes:</w:t>
      </w:r>
    </w:p>
    <w:p>
      <w:pPr>
        <w:pStyle w:val="ListBullet"/>
        <w:rPr/>
      </w:pPr>
      <w:r>
        <w:rPr/>
        <w:t xml:space="preserve">- </w:t>
      </w:r>
      <w:r>
        <w:rPr>
          <w:b/>
        </w:rPr>
        <w:t>Ásia Oriental</w:t>
      </w:r>
      <w:r>
        <w:rPr/>
        <w:t xml:space="preserve"> — China tem uma única fonte (n=108, apenas idosos de Pequim). Japão e Coreia do Sul estão completamente ausentes, apesar de serem países com literatura ergonómica ativa. O conjunto ANSUR é amplamente usado como proxy para populações ocidentais, mas os valores diferem sistematicamente das populações do leste asiático (mãos tendencialmente mais pequenas nos estudos disponíveis).</w:t>
      </w:r>
    </w:p>
    <w:p>
      <w:pPr>
        <w:pStyle w:val="ListBullet"/>
        <w:rPr/>
      </w:pPr>
      <w:r>
        <w:rPr/>
        <w:t xml:space="preserve">- </w:t>
      </w:r>
      <w:r>
        <w:rPr>
          <w:b/>
        </w:rPr>
        <w:t>Ásia do Sudeste</w:t>
      </w:r>
      <w:r>
        <w:rPr/>
        <w:t xml:space="preserv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ListBullet"/>
        <w:rPr/>
      </w:pPr>
      <w:r>
        <w:rPr/>
        <w:t xml:space="preserve">- </w:t>
      </w:r>
      <w:r>
        <w:rPr>
          <w:b/>
        </w:rPr>
        <w:t>África Subsaariana</w:t>
      </w:r>
      <w:r>
        <w:rPr/>
        <w:t xml:space="preserve">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ListBullet"/>
        <w:rPr/>
      </w:pPr>
      <w:r>
        <w:rPr/>
        <w:t xml:space="preserve">- </w:t>
      </w:r>
      <w:r>
        <w:rPr>
          <w:b/>
        </w:rPr>
        <w:t>América do Sul</w:t>
      </w:r>
      <w:r>
        <w:rPr/>
        <w:t xml:space="preserve"> — Completamente ausente. Brasil, Colômbia e Argentina têm literatura ergonómica publicada mas não foram identificadas fontes acessíveis com dados de mão codificáveis.</w:t>
      </w:r>
    </w:p>
    <w:p>
      <w:pPr>
        <w:pStyle w:val="ListBullet"/>
        <w:rPr/>
      </w:pPr>
      <w:r>
        <w:rPr/>
        <w:t xml:space="preserve">- </w:t>
      </w:r>
      <w:r>
        <w:rPr>
          <w:b/>
        </w:rPr>
        <w:t>Europa Central e de Leste</w:t>
      </w:r>
      <w:r>
        <w:rPr/>
        <w:t xml:space="preserve"> — Ausente. Os Países Baixos e Portugal representam a Europa, mas há variações antropométricas documentadas entre populações do norte, sul e leste do continente.</w:t>
      </w:r>
    </w:p>
    <w:p>
      <w:pPr>
        <w:pStyle w:val="Heading3"/>
        <w:rPr/>
      </w:pPr>
      <w:r>
        <w:rPr/>
      </w:r>
    </w:p>
    <w:p>
      <w:pPr>
        <w:pStyle w:val="Heading3"/>
        <w:rPr/>
      </w:pPr>
      <w:r>
        <w:rPr/>
        <w:t>A.10.2.2 Lacunas demográficas</w:t>
      </w:r>
    </w:p>
    <w:p>
      <w:pPr>
        <w:pStyle w:val="Heading3"/>
        <w:rPr/>
      </w:pPr>
      <w:r>
        <w:rPr/>
      </w:r>
    </w:p>
    <w:p>
      <w:pPr>
        <w:pStyle w:val="ListBullet"/>
        <w:rPr/>
      </w:pPr>
      <w:r>
        <w:rPr/>
        <w:t xml:space="preserve">- </w:t>
      </w:r>
      <w:r>
        <w:rPr>
          <w:b/>
        </w:rPr>
        <w:t>Adolescentes (13–17 anos)</w:t>
      </w:r>
      <w:r>
        <w:rPr/>
        <w:t xml:space="preserve"> — a transição da mão infantil para a adulta não está coberta por nenhum estudo dedicado. O kima1993 chega aos 12 anos e o ANSUR começa aos 17.</w:t>
      </w:r>
    </w:p>
    <w:p>
      <w:pPr>
        <w:pStyle w:val="ListBullet"/>
        <w:rPr/>
      </w:pPr>
      <w:r>
        <w:rPr/>
        <w:t xml:space="preserve">- </w:t>
      </w:r>
      <w:r>
        <w:rPr>
          <w:b/>
        </w:rPr>
        <w:t>Amputados</w:t>
      </w:r>
      <w:r>
        <w:rPr/>
        <w:t xml:space="preserve">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ListBullet"/>
        <w:rPr/>
      </w:pPr>
      <w:r>
        <w:rPr/>
        <w:t xml:space="preserve">- </w:t>
      </w:r>
      <w:r>
        <w:rPr>
          <w:b/>
        </w:rPr>
        <w:t>Pessoas com deficiência física</w:t>
      </w:r>
      <w:r>
        <w:rPr/>
        <w:t xml:space="preserve"> — apenas o estudo de Mistarihi (2020) cobre esta população (n=40, sexos combinados, Jordânia). A dimensão amostral é insuficiente para ser estatisticamente representativa.</w:t>
      </w:r>
    </w:p>
    <w:p>
      <w:pPr>
        <w:pStyle w:val="ListBullet"/>
        <w:rPr/>
      </w:pPr>
      <w:r>
        <w:rPr/>
        <w:t xml:space="preserve">- </w:t>
      </w:r>
      <w:r>
        <w:rPr>
          <w:b/>
        </w:rPr>
        <w:t>Idosos fora da Europa e China</w:t>
      </w:r>
      <w:r>
        <w:rPr/>
        <w:t xml:space="preserve"> — a prevalência de amputação de membro superior é mais elevada em contextos de baixo rendimento (causas traumáticas, diabetes, doença vascular), mas os dados de idosos disponíveis limitam-se a populações europeias e chinesas.</w:t>
      </w:r>
    </w:p>
    <w:p>
      <w:pPr>
        <w:pStyle w:val="Heading3"/>
        <w:rPr/>
      </w:pPr>
      <w:r>
        <w:rPr/>
      </w:r>
    </w:p>
    <w:p>
      <w:pPr>
        <w:pStyle w:val="Heading3"/>
        <w:rPr/>
      </w:pPr>
      <w:r>
        <w:rPr/>
        <w:t>A.10.2.3 Limitações qualitativas dos dados existentes</w:t>
      </w:r>
    </w:p>
    <w:p>
      <w:pPr>
        <w:pStyle w:val="Normal"/>
        <w:rPr/>
      </w:pPr>
      <w:r>
        <w:rPr/>
      </w:r>
    </w:p>
    <w:p>
      <w:pPr>
        <w:pStyle w:val="Normal"/>
        <w:rPr/>
      </w:pPr>
      <w:r>
        <w:rPr/>
        <w:t>Para além das lacunas por ausência, existem limitações nos dados já presentes:</w:t>
      </w:r>
    </w:p>
    <w:p>
      <w:pPr>
        <w:pStyle w:val="ListBullet"/>
        <w:rPr/>
      </w:pPr>
      <w:r>
        <w:rPr/>
        <w:t xml:space="preserve">- </w:t>
      </w:r>
      <w:r>
        <w:rPr>
          <w:b/>
        </w:rPr>
        <w:t>Heterogeneidade de protocolos</w:t>
      </w:r>
      <w:r>
        <w:rPr/>
        <w:t xml:space="preserve">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ListBullet"/>
        <w:rPr/>
      </w:pPr>
      <w:r>
        <w:rPr/>
        <w:t xml:space="preserve">- </w:t>
      </w:r>
      <w:r>
        <w:rPr>
          <w:b/>
        </w:rPr>
        <w:t>Amostras de conveniência</w:t>
      </w:r>
      <w:r>
        <w:rPr/>
        <w:t xml:space="preserve">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ListBullet"/>
        <w:rPr/>
      </w:pPr>
      <w:r>
        <w:rPr/>
        <w:t xml:space="preserve">- </w:t>
      </w:r>
      <w:r>
        <w:rPr>
          <w:b/>
        </w:rPr>
        <w:t>Desequilíbrio de dimensões</w:t>
      </w:r>
      <w:r>
        <w:rPr/>
        <w:t xml:space="preserve"> — o comprimento da mão e a largura da mão (metacarpal) estão presentes em quase todas as fontes; comprimentos por falange individual, profundidade da palma, e ângulos de abdução dos dedos estão ausentes exceto no ANSUR.</w:t>
      </w:r>
    </w:p>
    <w:p>
      <w:pPr>
        <w:pStyle w:val="ListBullet"/>
        <w:rPr/>
      </w:pPr>
      <w:r>
        <w:rPr/>
        <w:t xml:space="preserve">- </w:t>
      </w:r>
      <w:r>
        <w:rPr>
          <w:b/>
        </w:rPr>
        <w:t>Mão medida</w:t>
      </w:r>
      <w:r>
        <w:rPr/>
        <w:t xml:space="preserve"> — a maioria dos estudos mede a mão dominante ou a mão direita; o estudo português mede a mão esquerda por limitação de instalações. Esta inconsistência é registada nos metadados mas não pode ser corrigida post-hoc.</w:t>
      </w:r>
    </w:p>
    <w:p>
      <w:pPr>
        <w:pStyle w:val="Heading3"/>
        <w:rPr/>
      </w:pPr>
      <w:r>
        <w:rPr/>
      </w:r>
    </w:p>
    <w:p>
      <w:pPr>
        <w:pStyle w:val="Heading3"/>
        <w:rPr/>
      </w:pPr>
      <w:r>
        <w:rPr/>
        <w:t>A.10.3 Frentes identificadas para expansão futura</w:t>
      </w:r>
    </w:p>
    <w:p>
      <w:pPr>
        <w:pStyle w:val="Normal"/>
        <w:rPr/>
      </w:pPr>
      <w:r>
        <w:rPr/>
      </w:r>
    </w:p>
    <w:p>
      <w:pPr>
        <w:pStyle w:val="Normal"/>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3"/>
        <w:rPr/>
      </w:pPr>
      <w:r>
        <w:rPr/>
      </w:r>
    </w:p>
    <w:p>
      <w:pPr>
        <w:pStyle w:val="Heading3"/>
        <w:rPr/>
      </w:pPr>
      <w:r>
        <w:rPr/>
        <w:t>A.10.3.1 Prioridade alta</w:t>
      </w:r>
    </w:p>
    <w:p>
      <w:pPr>
        <w:pStyle w:val="ListBullet"/>
        <w:rPr/>
      </w:pPr>
      <w:r>
        <w:rPr/>
        <w:t>- Dados pediátricos e adolescentes da Ásia Oriental, capazes de preencher a lacuna entre os 13 e os 17 anos e de reduzir a dependência de fontes neerlandesas para perfis infantis.</w:t>
      </w:r>
    </w:p>
    <w:p>
      <w:pPr>
        <w:pStyle w:val="ListBullet"/>
        <w:rPr/>
      </w:pPr>
      <w:r>
        <w:rPr/>
        <w:t>- Dados industriais ou ergonómicos do Médio Oriente com maior dimensão amostral e separação por sexo, de modo a complementar a fonte jordana já incluída.</w:t>
      </w:r>
    </w:p>
    <w:p>
      <w:pPr>
        <w:pStyle w:val="ListBullet"/>
        <w:rPr/>
      </w:pPr>
      <w:r>
        <w:rPr/>
        <w:t>- Bases públicas nacionais com dados de mão para populações asiáticas, quando disponibilizarem metadados claros e condições de reutilização compatíveis com investigação académica.</w:t>
      </w:r>
    </w:p>
    <w:p>
      <w:pPr>
        <w:pStyle w:val="Heading3"/>
        <w:rPr/>
      </w:pPr>
      <w:r>
        <w:rPr/>
      </w:r>
    </w:p>
    <w:p>
      <w:pPr>
        <w:pStyle w:val="Heading3"/>
        <w:rPr/>
      </w:pPr>
      <w:r>
        <w:rPr/>
        <w:t>A.10.3.2 Prioridade média</w:t>
      </w:r>
    </w:p>
    <w:p>
      <w:pPr>
        <w:pStyle w:val="ListBullet"/>
        <w:rPr/>
      </w:pPr>
      <w:r>
        <w:rPr/>
        <w:t>- Relatórios técnicos com medições granulares da mão, incluindo comprimentos por falange, profundidades articulares e ângulos de preensão.</w:t>
      </w:r>
    </w:p>
    <w:p>
      <w:pPr>
        <w:pStyle w:val="ListBullet"/>
        <w:rPr/>
      </w:pPr>
      <w:r>
        <w:rPr/>
        <w:t>- Estudos baseados em digitalização 3D com amostras adultas amplas, desde que disponibilizem estatísticas por dimensão e não apenas exemplos individuais.</w:t>
      </w:r>
    </w:p>
    <w:p>
      <w:pPr>
        <w:pStyle w:val="Heading3"/>
        <w:rPr/>
      </w:pPr>
      <w:r>
        <w:rPr/>
      </w:r>
    </w:p>
    <w:p>
      <w:pPr>
        <w:pStyle w:val="Heading3"/>
        <w:rPr/>
      </w:pPr>
      <w:r>
        <w:rPr/>
        <w:t>A.10.3.3 Pertinência direta para o tema da tese</w:t>
      </w:r>
    </w:p>
    <w:p>
      <w:pPr>
        <w:pStyle w:val="Normal"/>
        <w:rPr/>
      </w:pPr>
      <w:r>
        <w:rP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p>
    <w:sectPr>
      <w:footnotePr>
        <w:numFmt w:val="decimal"/>
      </w:footnote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false"/>
        <w:bidi w:val="0"/>
        <w:rPr/>
      </w:pPr>
      <w:r>
        <w:annotationRef/>
      </w:r>
      <w:r>
        <w:rPr>
          <w:lang w:val="pt-PT"/>
        </w:rPr>
        <w:t xml:space="preserve"> material/prosthetics-design/A review of technology, materials and R&amp;D challenges of upper limb prosthesis for improved user suitability.pdf</w:t>
      </w:r>
    </w:p>
    <w:p>
      <w:pPr>
        <w:overflowPunct w:val="false"/>
        <w:bidi w:val="0"/>
        <w:rPr/>
      </w:pPr>
      <w:r>
        <w:rPr>
          <w:lang w:val="pt-PT"/>
        </w:rPr>
      </w:r>
    </w:p>
    <w:p>
      <w:pPr>
        <w:overflowPunct w:val="false"/>
        <w:bidi w:val="0"/>
        <w:rPr/>
      </w:pPr>
      <w:r>
        <w:rPr>
          <w:lang w:val="pt-PT"/>
        </w:rPr>
        <w:t xml:space="preserve">  Ela sustenta a classificação assim: Brack e Amalu classificam a tecnologia de próteses de membro superior em próteses passivas, ativas e híbridas; depois</w:t>
      </w:r>
    </w:p>
    <w:p>
      <w:pPr>
        <w:overflowPunct w:val="false"/>
        <w:bidi w:val="0"/>
        <w:rPr/>
      </w:pPr>
      <w:r>
        <w:rPr>
          <w:lang w:val="pt-PT"/>
        </w:rPr>
        <w:t xml:space="preserve">  subdividem as ativas em acionadas pelo corpo e mioelétricas. Também definem as híbridas como combinação de componentes acionados pelo corpo e mioelétricos.</w:t>
      </w:r>
    </w:p>
    <w:p>
      <w:pPr>
        <w:overflowPunct w:val="false"/>
        <w:bidi w:val="0"/>
        <w:rPr/>
      </w:pPr>
      <w:r>
        <w:rPr>
          <w:lang w:val="pt-PT"/>
        </w:rPr>
      </w:r>
    </w:p>
    <w:p>
      <w:pPr>
        <w:overflowPunct w:val="false"/>
        <w:bidi w:val="0"/>
        <w:rPr/>
      </w:pPr>
      <w:r>
        <w:rPr>
          <w:lang w:val="pt-PT"/>
        </w:rPr>
        <w:t xml:space="preserve">  Posso citar a frase como:</w:t>
      </w:r>
    </w:p>
    <w:p>
      <w:pPr>
        <w:overflowPunct w:val="false"/>
        <w:bidi w:val="0"/>
        <w:rPr/>
      </w:pPr>
      <w:r>
        <w:rPr>
          <w:lang w:val="pt-PT"/>
        </w:rPr>
      </w:r>
    </w:p>
    <w:p>
      <w:pPr>
        <w:overflowPunct w:val="false"/>
        <w:bidi w:val="0"/>
        <w:rPr/>
      </w:pPr>
      <w:r>
        <w:rPr>
          <w:lang w:val="pt-PT"/>
        </w:rPr>
        <w:t xml:space="preserve">  &gt; As próteses de membro superior podem ser classificadas de acordo com a fonte de energia e o mecanismo de controlo, distinguindo-se próteses passivas, acionadas</w:t>
      </w:r>
    </w:p>
    <w:p>
      <w:pPr>
        <w:overflowPunct w:val="false"/>
        <w:bidi w:val="0"/>
        <w:rPr/>
      </w:pPr>
      <w:r>
        <w:rPr>
          <w:lang w:val="pt-PT"/>
        </w:rPr>
        <w:t xml:space="preserve">  &gt; pelo corpo, mioelétricas e híbridas (Brack &amp; Amalu, 2021).</w:t>
      </w:r>
    </w:p>
    <w:p>
      <w:pPr>
        <w:overflowPunct w:val="false"/>
        <w:bidi w:val="0"/>
        <w:rPr/>
      </w:pPr>
      <w:r>
        <w:rPr>
          <w:lang w:val="pt-PT"/>
        </w:rPr>
      </w:r>
    </w:p>
    <w:p>
      <w:pPr>
        <w:overflowPunct w:val="false"/>
        <w:bidi w:val="0"/>
        <w:rPr/>
      </w:pPr>
      <w:r>
        <w:rPr>
          <w:lang w:val="pt-PT"/>
        </w:rPr>
        <w:t xml:space="preserve">  Entrada APA 7:</w:t>
      </w:r>
    </w:p>
    <w:p>
      <w:pPr>
        <w:overflowPunct w:val="false"/>
        <w:bidi w:val="0"/>
        <w:rPr/>
      </w:pPr>
      <w:r>
        <w:rPr>
          <w:lang w:val="pt-PT"/>
        </w:rPr>
      </w:r>
    </w:p>
    <w:p>
      <w:pPr>
        <w:overflowPunct w:val="false"/>
        <w:bidi w:val="0"/>
        <w:rPr/>
      </w:pPr>
      <w:r>
        <w:rPr>
          <w:lang w:val="pt-PT"/>
        </w:rPr>
        <w:t xml:space="preserve">  Brack, R., &amp; Amalu, E. H. (2021). A review of technology, materials and R&amp;D challenges of upper limb prosthesis for improved user suitability. Journal of</w:t>
      </w:r>
    </w:p>
    <w:p>
      <w:pPr>
        <w:overflowPunct w:val="false"/>
        <w:bidi w:val="0"/>
        <w:rPr/>
      </w:pPr>
      <w:r>
        <w:rPr>
          <w:lang w:val="pt-PT"/>
        </w:rPr>
        <w:t xml:space="preserve">  Orthopaedics, 23, 88–96. https://doi.org/10.1016/j.jor.2020.12.009</w:t>
      </w:r>
    </w:p>
    <w:p>
      <w:pPr>
        <w:overflowPunct w:val="false"/>
        <w:bidi w:val="0"/>
        <w:rPr/>
      </w:pPr>
      <w:r>
        <w:rPr>
          <w:lang w:val="pt-PT"/>
        </w:rPr>
      </w:r>
    </w:p>
  </w:comment>
  <w:comment w:id="1" w:author="Unknown Author" w:date="2026-06-30T20:08:54Z" w:initials="">
    <w:p>
      <w:pPr>
        <w:overflowPunct w:val="false"/>
        <w:bidi w:val="0"/>
        <w:rPr/>
      </w:pPr>
      <w:r>
        <w:annotationRef/>
      </w:r>
      <w:r>
        <w:rPr>
          <w:lang w:val="pt-PT"/>
        </w:rPr>
        <w:t>Meter a norma na bibliografia</w:t>
      </w:r>
    </w:p>
  </w:comment>
  <w:comment w:id="2" w:author="Unknown Author" w:date="2026-06-30T20:17:49Z" w:initials="">
    <w:p>
      <w:pPr>
        <w:overflowPunct w:val="false"/>
        <w:bidi w:val="0"/>
        <w:rPr/>
      </w:pPr>
      <w:r>
        <w:annotationRef/>
      </w:r>
      <w:r>
        <w:rPr>
          <w:lang w:val="pt-PT"/>
        </w:rPr>
        <w:t>Quem diz?</w:t>
      </w:r>
    </w:p>
    <w:p>
      <w:pPr>
        <w:overflowPunct w:val="false"/>
        <w:bidi w:val="0"/>
        <w:rPr/>
      </w:pPr>
      <w:r>
        <w:rPr>
          <w:lang w:val="pt-PT"/>
        </w:rPr>
      </w:r>
    </w:p>
    <w:p>
      <w:pPr>
        <w:overflowPunct w:val="false"/>
        <w:bidi w:val="0"/>
        <w:rPr/>
      </w:pPr>
      <w:r>
        <w:rPr>
          <w:lang w:val="pt-PT"/>
        </w:rPr>
        <w:t xml:space="preserve"> Privitera, M. (2017). Designing industrial design in the highly regulated medical device development process: Defining our valuable contribution towards</w:t>
      </w:r>
    </w:p>
    <w:p>
      <w:pPr>
        <w:overflowPunct w:val="false"/>
        <w:bidi w:val="0"/>
        <w:rPr/>
      </w:pPr>
      <w:r>
        <w:rPr>
          <w:lang w:val="pt-PT"/>
        </w:rPr>
        <w:t xml:space="preserve">  usability. The Design Journal, 20(sup1), S2190–S2206. https://doi.org/10.1080/14606925.2017.1352735</w:t>
      </w:r>
    </w:p>
    <w:p>
      <w:pPr>
        <w:overflowPunct w:val="false"/>
        <w:bidi w:val="0"/>
        <w:rPr/>
      </w:pPr>
      <w:r>
        <w:rPr>
          <w:lang w:val="pt-PT"/>
        </w:rPr>
      </w:r>
    </w:p>
    <w:p>
      <w:pPr>
        <w:overflowPunct w:val="false"/>
        <w:bidi w:val="0"/>
        <w:rPr/>
      </w:pPr>
      <w:r>
        <w:rPr>
          <w:lang w:val="pt-PT"/>
        </w:rPr>
        <w:t xml:space="preserve">  Oldfrey, B. M., et al. (2024). A scoping review of digital fabrication techniques applied to prosthetics and orthotics: Part 1 of 2: Prosthetics. Prosthetics and</w:t>
      </w:r>
    </w:p>
    <w:p>
      <w:pPr>
        <w:overflowPunct w:val="false"/>
        <w:bidi w:val="0"/>
        <w:rPr/>
      </w:pPr>
      <w:r>
        <w:rPr>
          <w:lang w:val="pt-PT"/>
        </w:rPr>
        <w:t xml:space="preserve">  Orthotics International, 48, 574–589. https://doi.org/10.1097/PXR.0000000000000351</w:t>
      </w:r>
    </w:p>
    <w:p>
      <w:pPr>
        <w:overflowPunct w:val="false"/>
        <w:bidi w:val="0"/>
        <w:rPr/>
      </w:pPr>
      <w:r>
        <w:rPr>
          <w:lang w:val="pt-PT"/>
        </w:rPr>
      </w:r>
    </w:p>
    <w:p>
      <w:pPr>
        <w:overflowPunct w:val="false"/>
        <w:bidi w:val="0"/>
        <w:rPr/>
      </w:pPr>
      <w:r>
        <w:rPr>
          <w:lang w:val="pt-PT"/>
        </w:rPr>
        <w:t xml:space="preserve">  Mc Guinness, E., Patel, D., Patrick, M., &amp; Austin, V. (2025). Outcomes of assistive technology use by sex and gender: A scoping review. Disability and</w:t>
      </w:r>
    </w:p>
    <w:p>
      <w:pPr>
        <w:overflowPunct w:val="false"/>
        <w:bidi w:val="0"/>
        <w:rPr/>
      </w:pPr>
      <w:r>
        <w:rPr>
          <w:lang w:val="pt-PT"/>
        </w:rPr>
        <w:t xml:space="preserve">  Rehabilitation: Assistive Technology, 20(8), 2666–2690. https://doi.org/10.1080/17483107.2025.2516615</w:t>
      </w:r>
    </w:p>
    <w:p>
      <w:pPr>
        <w:overflowPunct w:val="false"/>
        <w:bidi w:val="0"/>
        <w:rPr/>
      </w:pPr>
      <w:r>
        <w:rPr>
          <w:lang w:val="pt-PT"/>
        </w:rPr>
      </w:r>
    </w:p>
  </w:comment>
  <w:comment w:id="3" w:author="Unknown Author" w:date="2026-07-02T17:25:21Z" w:initials="">
    <w:p>
      <w:pPr>
        <w:overflowPunct w:val="true"/>
        <w:bidi w:val="0"/>
        <w:rPr/>
      </w:pPr>
      <w:r>
        <w:annotationRef/>
      </w:r>
      <w:r>
        <w:rPr>
          <w:lang w:val="pt-PT"/>
        </w:rPr>
        <w:t>Podemos adicionar aquele gráfico todo bonito que fizeste antes.</w:t>
      </w:r>
    </w:p>
  </w:comment>
  <w:comment w:id="4" w:author="Unknown Author" w:date="2026-07-02T17:57:37Z" w:initials="">
    <w:p>
      <w:pPr>
        <w:overflowPunct w:val="true"/>
        <w:bidi w:val="0"/>
        <w:rPr/>
      </w:pPr>
      <w:r>
        <w:annotationRef/>
      </w:r>
      <w:r>
        <w:rPr>
          <w:lang w:val="pt-PT"/>
        </w:rPr>
        <w:t>Aqui é que podemos meter o nosso gráfico bonitolas</w:t>
      </w:r>
    </w:p>
  </w:comment>
  <w:comment w:id="5" w:author="Unknown Author" w:date="2026-07-02T18:05:03Z" w:initials="">
    <w:p>
      <w:pPr>
        <w:overflowPunct w:val="true"/>
        <w:bidi w:val="0"/>
        <w:rPr/>
      </w:pPr>
      <w:r>
        <w:annotationRef/>
      </w:r>
      <w:r>
        <w:rPr>
          <w:lang w:val="pt-PT"/>
        </w:rPr>
        <w:t>Falo disto? Acho que não faço em PLA e PETG</w:t>
      </w:r>
    </w:p>
  </w:comment>
  <w:comment w:id="6" w:author="Unknown Author" w:date="2026-07-03T19:16:18Z" w:initials="">
    <w:p w14:paraId="01000000">
      <w:pPr>
        <w:overflowPunct w:val="false"/>
        <w:rPr/>
      </w:pPr>
      <w:r>
        <w:annotationRef/>
      </w:r>
      <w:r>
        <w:rPr>
          <w:lang w:val="pt-PT"/>
        </w:rPr>
        <w:t>Isto é a primeira vez que estás a falar do Openscad</w:t>
      </w:r>
    </w:p>
  </w:comment>
  <w:comment w:id="7" w:author="Unknown Author" w:date="2026-07-03T19:16:31Z" w:initials="">
    <w:p w14:paraId="02000000">
      <w:pPr>
        <w:overflowPunct w:val="false"/>
        <w:rPr/>
      </w:pPr>
      <w:r>
        <w:annotationRef/>
      </w:r>
      <w:r>
        <w:rPr>
          <w:lang w:val="pt-PT"/>
        </w:rPr>
        <w:t>É preciso dizer o que é STL e 3MF</w:t>
      </w:r>
    </w:p>
  </w:comment>
  <w:comment w:id="8" w:author="Unknown Author" w:date="2026-07-03T13:45:05Z" w:initials="">
    <w:p>
      <w:pPr>
        <w:overflowPunct w:val="true"/>
        <w:bidi w:val="0"/>
        <w:rPr/>
      </w:pPr>
      <w:r>
        <w:annotationRef/>
      </w:r>
      <w:r>
        <w:rPr>
          <w:lang w:val="pt-PT"/>
        </w:rPr>
        <w:t>Estás a entrar em modo repetição outra vez.</w:t>
      </w:r>
    </w:p>
  </w:comment>
  <w:comment w:id="9" w:author="Unknown Author" w:date="2026-07-04T13:26:12Z" w:initials="">
    <w:p>
      <w:pPr>
        <w:overflowPunct w:val="false"/>
        <w:rPr/>
      </w:pPr>
      <w:r>
        <w:annotationRef/>
      </w:r>
      <w:r>
        <w:rPr>
          <w:lang w:val="pt-PT"/>
        </w:rPr>
        <w:t>Começas aqui a falar do modelo gerado mas é a primeira vez que abordas isso. Tens que contextualizar.</w:t>
      </w:r>
    </w:p>
  </w:comment>
  <w:comment w:id="10" w:author="Unknown Author" w:date="2026-07-04T13:27:11Z" w:initials="">
    <w:p>
      <w:pPr>
        <w:overflowPunct w:val="false"/>
        <w:rPr/>
      </w:pPr>
      <w:r>
        <w:annotationRef/>
      </w:r>
      <w:r>
        <w:rPr>
          <w:lang w:val="pt-PT"/>
        </w:rPr>
        <w:t>Meter aqui umas imagens!</w:t>
      </w:r>
    </w:p>
  </w:comment>
  <w:comment w:id="11" w:author="Unknown Author" w:date="2026-07-04T15:20:50Z" w:initials="">
    <w:p>
      <w:pPr>
        <w:overflowPunct w:val="false"/>
        <w:rPr/>
      </w:pPr>
      <w:r>
        <w:annotationRef/>
      </w:r>
      <w:r>
        <w:rPr>
          <w:lang w:val="pt-PT"/>
        </w:rPr>
        <w:t>Vamos meter aqui uma imagem</w:t>
      </w:r>
    </w:p>
  </w:comment>
  <w:comment w:id="12" w:author="Unknown Author" w:date="2026-07-04T18:35:39Z" w:initials="">
    <w:p>
      <w:pPr>
        <w:overflowPunct w:val="false"/>
        <w:rPr/>
      </w:pPr>
      <w:r>
        <w:annotationRef/>
      </w:r>
      <w:r>
        <w:rPr>
          <w:lang w:val="pt-PT"/>
        </w:rPr>
        <w:t>Não te esqueças de adicionar ao indice estas siglas.</w:t>
      </w:r>
    </w:p>
  </w:comment>
  <w:comment w:id="13" w:author="Unknown Author" w:date="2026-07-04T18:51:43Z" w:initials="">
    <w:p>
      <w:pPr>
        <w:overflowPunct w:val="false"/>
        <w:rPr/>
      </w:pPr>
      <w:r>
        <w:annotationRef/>
      </w:r>
      <w:r>
        <w:rPr>
          <w:lang w:val="pt-PT"/>
        </w:rPr>
        <w:t>Faz sentido integrar uma parte sobre a E-nable e os modelos deles.</w:t>
      </w:r>
    </w:p>
  </w:comment>
  <w:comment w:id="14" w:author="Unknown Author" w:date="2026-07-04T18:53:29Z" w:initials="">
    <w:p>
      <w:pPr>
        <w:overflowPunct w:val="false"/>
        <w:rPr/>
      </w:pPr>
      <w:r>
        <w:annotationRef/>
      </w:r>
      <w:r>
        <w:rPr>
          <w:lang w:val="pt-PT"/>
        </w:rPr>
        <w:t>Parametros de hardware</w:t>
      </w:r>
    </w:p>
  </w:comment>
  <w:comment w:id="15" w:author="Unknown Author" w:date="2026-07-04T21:37:44Z" w:initials="">
    <w:p>
      <w:pPr>
        <w:overflowPunct w:val="false"/>
        <w:rPr/>
      </w:pPr>
      <w:r>
        <w:annotationRef/>
      </w:r>
      <w:r>
        <w:rPr>
          <w:lang w:val="pt-PT"/>
        </w:rPr>
        <w:t>Isto está no indice? Vai lá ver</w:t>
      </w:r>
    </w:p>
  </w:comment>
  <w:comment w:id="16" w:author="Unknown Author" w:date="2026-07-05T12:22:53Z" w:initials="">
    <w:p>
      <w:pPr>
        <w:overflowPunct w:val="false"/>
        <w:rPr/>
      </w:pPr>
      <w:r>
        <w:annotationRef/>
      </w:r>
      <w:r>
        <w:rPr>
          <w:lang w:val="pt-PT"/>
        </w:rPr>
        <w:t>Não esquecer de meter no índice</w:t>
      </w:r>
    </w:p>
  </w:comment>
  <w:comment w:id="17" w:author="Unknown Author" w:date="2026-07-05T12:26:47Z" w:initials="">
    <w:p>
      <w:pPr>
        <w:overflowPunct w:val="false"/>
        <w:rPr/>
      </w:pPr>
      <w:r>
        <w:annotationRef/>
      </w:r>
      <w:r>
        <w:rPr>
          <w:lang w:val="pt-PT"/>
        </w:rPr>
        <w:t>Adicionar uma nota a explicar e adicionar no indice a sigla</w:t>
      </w:r>
    </w:p>
  </w:comment>
  <w:comment w:id="18" w:author="Unknown Author" w:date="2026-07-05T14:28:24Z" w:initials="">
    <w:p>
      <w:pPr>
        <w:overflowPunct w:val="true"/>
        <w:rPr/>
      </w:pPr>
      <w:r>
        <w:annotationRef/>
      </w:r>
      <w:r>
        <w:rPr>
          <w:lang w:val="pt-PT"/>
        </w:rPr>
        <w:t>Isto é uma repetição</w:t>
      </w:r>
    </w:p>
  </w:comment>
  <w:comment w:id="19" w:author="Unknown Author" w:date="2026-07-05T14:29:31Z" w:initials="">
    <w:p>
      <w:pPr>
        <w:overflowPunct w:val="true"/>
        <w:rPr/>
      </w:pPr>
      <w:r>
        <w:annotationRef/>
      </w:r>
      <w:r>
        <w:rPr>
          <w:lang w:val="pt-PT"/>
        </w:rPr>
        <w:t>Inserir notas de rodapé</w:t>
      </w:r>
    </w:p>
  </w:comment>
  <w:comment w:id="20" w:author="Unknown Author" w:date="2026-07-05T15:25:09Z" w:initials="">
    <w:p>
      <w:pPr>
        <w:overflowPunct w:val="true"/>
        <w:rPr/>
      </w:pPr>
      <w:r>
        <w:annotationRef/>
      </w:r>
      <w:r>
        <w:rPr>
          <w:lang w:val="pt-PT"/>
        </w:rPr>
        <w:t>Inserir um comentário</w:t>
      </w:r>
    </w:p>
  </w:comment>
  <w:comment w:id="21" w:author="Unknown Author" w:date="2026-07-05T16:14:55Z" w:initials="">
    <w:p>
      <w:pPr>
        <w:overflowPunct w:val="true"/>
        <w:rPr/>
      </w:pPr>
      <w:r>
        <w:annotationRef/>
      </w:r>
      <w:r>
        <w:rPr>
          <w:lang w:val="pt-PT"/>
        </w:rPr>
        <w:t>Se calhar introduzir uma tabela com os prompts</w:t>
      </w:r>
    </w:p>
  </w:comment>
  <w:comment w:id="22" w:author="Unknown Author" w:date="2026-07-05T17:43:41Z" w:initials="">
    <w:p>
      <w:pPr>
        <w:overflowPunct w:val="false"/>
        <w:rPr/>
      </w:pPr>
      <w:r>
        <w:annotationRef/>
      </w:r>
      <w:r>
        <w:rPr>
          <w:lang w:val="pt-PT"/>
        </w:rPr>
        <w:t>Introduzir aqui uma tabela com valores</w:t>
      </w:r>
    </w:p>
  </w:comment>
  <w:comment w:id="23" w:author="Unknown Author" w:date="2026-07-05T19:22:29Z" w:initials="">
    <w:p>
      <w:pPr>
        <w:overflowPunct w:val="false"/>
        <w:rPr/>
      </w:pPr>
      <w:r>
        <w:annotationRef/>
      </w:r>
      <w:r>
        <w:rPr>
          <w:lang w:val="pt-PT"/>
        </w:rPr>
        <w:t>indice</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Ex w15:paraId="02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Consolas">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Propriocepção designa a perceção corporal da posição, movimento e esforço dos segmentos do corpo. Em próteses acionadas pelo corpo, o feedback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r>
    </w:p>
  </w:footnote>
  <w:footnote w:id="4">
    <w:p>
      <w:pPr>
        <w:pStyle w:val="FootnoteText"/>
        <w:rPr/>
      </w:pPr>
      <w:r>
        <w:rPr>
          <w:rStyle w:val="FootnoteCharacters"/>
        </w:rPr>
        <w:footnoteRef/>
      </w:r>
      <w:r>
        <w:rPr/>
        <w:t xml:space="preserve"> </w:t>
      </w:r>
      <w:r>
        <w:rPr/>
        <w:t>PRISMA corresponde a Preferred Reporting Items for Systematic Reviews and Meta Analyses, um conjunto de orientações para a elaboração e apresentação transparente de revisões sistemáticas e meta-análises.</w:t>
      </w:r>
    </w:p>
  </w:footnote>
  <w:footnote w:id="5">
    <w:p>
      <w:pPr>
        <w:pStyle w:val="FootnoteText"/>
        <w:rPr/>
      </w:pPr>
      <w:r>
        <w:rPr>
          <w:rStyle w:val="FootnoteCharacters"/>
        </w:rPr>
        <w:footnoteRef/>
      </w:r>
      <w:r>
        <w:rPr/>
        <w:t xml:space="preserve"> </w:t>
      </w:r>
      <w:r>
        <w:rPr/>
        <w:t xml:space="preserve">Por </w:t>
      </w:r>
      <w:r>
        <w:rPr>
          <w:rStyle w:val="Emphasis"/>
        </w:rPr>
        <w:t>seed design</w:t>
      </w:r>
      <w:r>
        <w:rPr/>
        <w:t xml:space="preserve"> entende-se um modelo inicial de projeto concebido como base reutilizável para a geração de variantes. Em sistemas paramétricos, este modelo preserva uma estrutura formal e construtiva estável, mas permite ajustamentos controlados através da alteração de parâmetros previamente definidos, funcionando como ponto de partida para processos de personalização.</w:t>
      </w:r>
    </w:p>
  </w:footnote>
  <w:footnote w:id="6">
    <w:p>
      <w:pPr>
        <w:pStyle w:val="FootnoteText"/>
        <w:rPr/>
      </w:pPr>
      <w:r>
        <w:rPr>
          <w:rStyle w:val="FootnoteCharacters"/>
        </w:rPr>
        <w:footnoteRef/>
      </w:r>
      <w:r>
        <w:rPr/>
        <w:t xml:space="preserve"> </w:t>
      </w:r>
      <w:r>
        <w:rPr>
          <w:rStyle w:val="Emphasi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7">
    <w:p>
      <w:pPr>
        <w:pStyle w:val="FootnoteText"/>
        <w:rPr/>
      </w:pPr>
      <w:r>
        <w:rPr>
          <w:rStyle w:val="FootnoteCharacters"/>
        </w:rPr>
        <w:footnoteRef/>
      </w:r>
      <w:r>
        <w:rPr/>
        <w:t xml:space="preserve"> </w:t>
      </w:r>
      <w:r>
        <w:rPr/>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8">
    <w:p>
      <w:pPr>
        <w:pStyle w:val="FootnoteText"/>
        <w:rPr/>
      </w:pPr>
      <w:r>
        <w:rPr>
          <w:rStyle w:val="FootnoteCharacters"/>
        </w:rPr>
        <w:footnoteRef/>
      </w:r>
      <w:r>
        <w:rPr/>
        <w:t xml:space="preserve"> </w:t>
      </w:r>
      <w:r>
        <w:rPr/>
        <w:t>A modelação estatística de forma consiste na análise de variações geométricas entre diferentes anatomias, permitindo identificar padrões recorrentes e estimar formas prováveis a partir de dados incompletos ou parciais.</w:t>
      </w:r>
    </w:p>
  </w:footnote>
  <w:footnote w:id="9">
    <w:p>
      <w:pPr>
        <w:pStyle w:val="FootnoteText"/>
        <w:rPr/>
      </w:pPr>
      <w:r>
        <w:rPr>
          <w:rStyle w:val="FootnoteCharacters"/>
        </w:rPr>
        <w:footnoteRef/>
      </w:r>
      <w:r>
        <w:rPr/>
        <w:t xml:space="preserve"> </w:t>
      </w:r>
      <w:r>
        <w:rP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10">
    <w:p>
      <w:pPr>
        <w:pStyle w:val="FootnoteText"/>
        <w:rPr/>
      </w:pPr>
      <w:r>
        <w:rPr>
          <w:rStyle w:val="FootnoteCharacters"/>
        </w:rPr>
        <w:footnoteRef/>
      </w:r>
      <w:r>
        <w:rPr/>
        <w:t xml:space="preserve"> </w:t>
      </w:r>
      <w:r>
        <w:rPr/>
        <w:t>Redes neuronais artificiais são modelos computacionais compostos por camadas de unidades interligadas, que ajustam os seus parâmetros internos durante o treino para identificar padrões nos dados.</w:t>
      </w:r>
    </w:p>
  </w:footnote>
  <w:footnote w:id="11">
    <w:p>
      <w:pPr>
        <w:pStyle w:val="FootnoteText"/>
        <w:rPr/>
      </w:pPr>
      <w:r>
        <w:rPr>
          <w:rStyle w:val="FootnoteCharacters"/>
        </w:rPr>
        <w:footnoteRef/>
      </w:r>
      <w:r>
        <w:rPr/>
        <w:t xml:space="preserve"> </w:t>
      </w:r>
      <w:r>
        <w:rPr/>
        <w:t xml:space="preserve">Em sistemas de IA generativa, um </w:t>
      </w:r>
      <w:r>
        <w:rPr>
          <w:rStyle w:val="Emphasi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2">
    <w:p>
      <w:pPr>
        <w:pStyle w:val="FootnoteText"/>
        <w:rPr/>
      </w:pPr>
      <w:r>
        <w:rPr>
          <w:rStyle w:val="FootnoteCharacters"/>
        </w:rPr>
        <w:footnoteRef/>
      </w:r>
      <w:r>
        <w:rPr/>
        <w:t xml:space="preserve"> </w:t>
      </w:r>
      <w:r>
        <w:rPr/>
        <w:t xml:space="preserve">Um </w:t>
      </w:r>
      <w:r>
        <w:rPr>
          <w:rStyle w:val="Emphasi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3">
    <w:p>
      <w:pPr>
        <w:pStyle w:val="FootnoteText"/>
        <w:rPr/>
      </w:pPr>
      <w:r>
        <w:rPr>
          <w:rStyle w:val="FootnoteCharacters"/>
        </w:rPr>
        <w:footnoteRef/>
      </w:r>
      <w:r>
        <w:rPr>
          <w:rStyle w:val="Emphasis"/>
        </w:rPr>
        <w:t xml:space="preserve"> </w:t>
      </w:r>
      <w:r>
        <w:rPr>
          <w:rStyle w:val="Emphasis"/>
        </w:rPr>
        <w:t>Virtual coaching</w:t>
      </w:r>
      <w:r>
        <w:rPr/>
        <w:t xml:space="preserve"> designa sistemas digitais de orientação e acompanhamento que fornecem instruções, recomendações ou feedback ao utilizador durante atividades de treino, reabilitação ou aprendizagem, apoiando a adaptação do programa ao seu desempenho e evolução.</w:t>
      </w:r>
    </w:p>
  </w:footnote>
  <w:footnote w:id="14">
    <w:p>
      <w:pPr>
        <w:pStyle w:val="FootnoteText"/>
        <w:rPr/>
      </w:pPr>
      <w:r>
        <w:rPr>
          <w:rStyle w:val="FootnoteCharacters"/>
        </w:rPr>
        <w:footnoteRef/>
      </w:r>
      <w:r>
        <w:rPr>
          <w:rStyle w:val="Emphasis"/>
        </w:rPr>
        <w:t xml:space="preserve"> </w:t>
      </w:r>
      <w:r>
        <w:rPr>
          <w:rStyle w:val="Emphasi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5">
    <w:p>
      <w:pPr>
        <w:pStyle w:val="FootnoteText"/>
        <w:rPr/>
      </w:pPr>
      <w:r>
        <w:rPr>
          <w:rStyle w:val="FootnoteCharacters"/>
        </w:rPr>
        <w:footnoteRef/>
      </w:r>
      <w:r>
        <w:rPr/>
        <w:t xml:space="preserve"> </w:t>
      </w:r>
      <w:r>
        <w:rPr/>
        <w:t xml:space="preserve">O </w:t>
      </w:r>
      <w:r>
        <w:rPr>
          <w:rStyle w:val="Emphasi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 w:id="16">
    <w:p>
      <w:pPr>
        <w:pStyle w:val="FootnoteText"/>
        <w:rPr/>
      </w:pPr>
      <w:r>
        <w:rPr>
          <w:rStyle w:val="FootnoteCharacters"/>
        </w:rPr>
        <w:footnoteRef/>
      </w:r>
      <w:r>
        <w:rPr>
          <w:rStyle w:val="Emphasis"/>
        </w:rPr>
        <w:t xml:space="preserve"> </w:t>
      </w:r>
      <w:r>
        <w:rPr>
          <w:rStyle w:val="Emphasis"/>
        </w:rPr>
        <w:t>Human-in-the-loop designa uma abordagem em que uma pessoa permanece integrada num processo automatizado, assumindo funções de supervisão, interpretação, validação ou decisão.</w:t>
      </w:r>
    </w:p>
  </w:footnote>
  <w:footnote w:id="17">
    <w:p>
      <w:pPr>
        <w:pStyle w:val="FootnoteText"/>
        <w:rPr/>
      </w:pPr>
      <w:r>
        <w:rPr>
          <w:rStyle w:val="FootnoteCharacters"/>
        </w:rPr>
        <w:footnoteRef/>
      </w:r>
      <w:r>
        <w:rPr>
          <w:rStyle w:val="Emphasis"/>
          <w:color w:val="auto"/>
          <w:kern w:val="0"/>
          <w:sz w:val="22"/>
        </w:rPr>
        <w:t xml:space="preserve"> </w:t>
      </w:r>
      <w:r>
        <w:rPr>
          <w:rStyle w:val="Emphasis"/>
          <w:color w:val="auto"/>
          <w:kern w:val="0"/>
          <w:sz w:val="20"/>
          <w:szCs w:val="20"/>
        </w:rPr>
        <w:t>Camada intermédia de comunicação que permite ao servidor gerir os pedidos enviados a serviços externos, protegendo credenciais sensíveis, controlando o acesso e reduzindo a exposição direta da aplicação a sistemas externos.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pt-PT"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mphasis">
    <w:name w:val="Emphasis"/>
    <w:qFormat/>
    <w:rPr>
      <w:i/>
      <w:iCs/>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lef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hyperlink" Target="https://www.mdpi.com/2673-1592/7/2/26/pdf?version=1740996517"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yperlink" Target="https://www.semanticscholar.org/paper/305d55af5fda06b4d1b33e7d29c1f16d1b7ea488" TargetMode="External"/><Relationship Id="rId14" Type="http://schemas.openxmlformats.org/officeDocument/2006/relationships/hyperlink" Target="https://www.semanticscholar.org/paper/305d55af5fda06b4d1b33e7d29c1f16d1b7ea488" TargetMode="External"/><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yperlink" Target="https://doi.org/10.1109/BioRob60516.2024.10719909" TargetMode="External"/><Relationship Id="rId20" Type="http://schemas.openxmlformats.org/officeDocument/2006/relationships/image" Target="media/image13.png"/><Relationship Id="rId21" Type="http://schemas.openxmlformats.org/officeDocument/2006/relationships/hyperlink" Target="https://doi.org/10.1115/DETC2018-85645" TargetMode="External"/><Relationship Id="rId22" Type="http://schemas.openxmlformats.org/officeDocument/2006/relationships/image" Target="media/image14.png"/><Relationship Id="rId23" Type="http://schemas.openxmlformats.org/officeDocument/2006/relationships/hyperlink" Target="https://doi.org/10.1109/BioRob60516.2024.10719909" TargetMode="External"/><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yperlink" Target="https://doi.org/10.1088/1742-6596/2198/1/012040" TargetMode="External"/><Relationship Id="rId27" Type="http://schemas.openxmlformats.org/officeDocument/2006/relationships/image" Target="media/image17.png"/><Relationship Id="rId28" Type="http://schemas.openxmlformats.org/officeDocument/2006/relationships/hyperlink" Target="https://doi.org/10.1080/17483107.2025.2483953" TargetMode="External"/><Relationship Id="rId29" Type="http://schemas.openxmlformats.org/officeDocument/2006/relationships/image" Target="media/image18.png"/><Relationship Id="rId30" Type="http://schemas.openxmlformats.org/officeDocument/2006/relationships/hyperlink" Target="https://doi.org/10.1016/j.inffus.2019.12.012" TargetMode="External"/><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footnotes" Target="footnotes.xml"/><Relationship Id="rId34" Type="http://schemas.openxmlformats.org/officeDocument/2006/relationships/comments" Target="comments.xml"/><Relationship Id="rId35" Type="http://schemas.microsoft.com/office/2011/relationships/commentsExtended" Target="commentsExtended.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4431</TotalTime>
  <Application>LibreOffice/26.2.4.2$Linux_X86_64 LibreOffice_project/3346a99e6b841765b75a9b29714a5b95c6761ce3</Application>
  <AppVersion>15.0000</AppVersion>
  <Pages>135</Pages>
  <Words>48848</Words>
  <Characters>308548</Characters>
  <CharactersWithSpaces>355864</CharactersWithSpaces>
  <Paragraphs>1665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cp:lastPrinted>2026-07-08T20:43:53Z</cp:lastPrinted>
  <dcterms:modified xsi:type="dcterms:W3CDTF">2026-07-08T21:06:14Z</dcterms:modified>
  <cp:revision>141</cp:revision>
  <dc:subject/>
  <dc:title>projecto-completo</dc:title>
</cp:coreProperties>
</file>

<file path=docProps/custom.xml><?xml version="1.0" encoding="utf-8"?>
<Properties xmlns="http://schemas.openxmlformats.org/officeDocument/2006/custom-properties" xmlns:vt="http://schemas.openxmlformats.org/officeDocument/2006/docPropsVTypes"/>
</file>