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pt-PT"/>
        </w:rPr>
      </w:pPr>
      <w:r>
        <w:rPr>
          <w:lang w:val="pt-PT"/>
        </w:rPr>
        <w:t>Projecto completo</w:t>
      </w:r>
    </w:p>
    <w:p>
      <w:pPr>
        <w:pStyle w:val="Normal"/>
        <w:bidi w:val="0"/>
        <w:jc w:val="left"/>
        <w:rPr>
          <w:lang w:val="pt-PT"/>
        </w:rPr>
      </w:pPr>
      <w:r>
        <w:rPr/>
        <w:t>Versão do documento:0.4.22</w:t>
      </w:r>
    </w:p>
    <w:p>
      <w:pPr>
        <w:pStyle w:val="Normal"/>
        <w:bidi w:val="0"/>
        <w:jc w:val="left"/>
        <w:rPr>
          <w:lang w:val="pt-PT"/>
        </w:rPr>
      </w:pPr>
      <w:r>
        <w:rPr>
          <w:lang w:val="pt-PT"/>
        </w:rPr>
      </w:r>
    </w:p>
    <w:p>
      <w:pPr>
        <w:pStyle w:val="Heading2"/>
        <w:rPr/>
      </w:pPr>
      <w:r>
        <w:rPr/>
        <w:t>INTEGRAÇÃO DO DESIGN E DA INTELIGÊNCIA ARTIFICIAL EM PROCESSOS PARAMÉTRICOS PARA O DESENVOLVIMENTO DE PRÓTESES DE MEMBROS SUPERIORES EM IMPRESSÃO 3D.</w:t>
      </w:r>
    </w:p>
    <w:p>
      <w:pPr>
        <w:pStyle w:val="Normal"/>
        <w:bidi w:val="0"/>
        <w:jc w:val="left"/>
        <w:rPr>
          <w:lang w:val="pt-PT"/>
        </w:rPr>
      </w:pPr>
      <w:r>
        <w:rPr>
          <w:lang w:val="pt-PT"/>
        </w:rPr>
      </w:r>
    </w:p>
    <w:p>
      <w:pPr>
        <w:pStyle w:val="Heading2"/>
        <w:rPr/>
      </w:pPr>
      <w:r>
        <w:rPr/>
        <w:t>Resumo</w:t>
      </w:r>
    </w:p>
    <w:p>
      <w:pPr>
        <w:pStyle w:val="Normal"/>
        <w:rPr/>
      </w:pPr>
      <w:r>
        <w:rPr/>
        <w:t>A personalização de próteses de membros superiores continua a ser condicionada por custos elevados, dependência de competências técnicas especializadas e dificuldade em traduzir dados antropométricos em geometrias ajustadas, reprodutíveis e fabricáveis. Esta dissertação investiga de que modo o design industrial, articulado com modelação paramétrica e inteligência artificial, pode apoiar processos mais acessíveis, explícitos e controláveis de desenvolvimento de próteses personalizadas para impressão 3D. A investigação adota uma abordagem de Research Through Design, combinando revisão crítica da literatura, análise de soluções open source, estruturação de uma base local de dados antropométricos, desenvolvimento de modelos paramétricos em OpenSCAD, integração numa plataforma web e avaliação por testes de perfil, exportação de geometrias e prototipagem física. O sistema desenvolvido permite converter descrições e medidas do utilizador em sugestões paramétricas, visualizar o modelo no navegador, exportar ficheiros STL/3MF e verificar a sua passagem para fabrico digital. A validação incidiu sobre a coerência entre perfil, parâmetros, geometria exportada e protótipo físico, usando dados antropométricos públicos e testes de impressão realizados a partir do mesmo perfil de base, com alteração controlada da idade.</w:t>
      </w:r>
    </w:p>
    <w:p>
      <w:pPr>
        <w:pStyle w:val="Normal"/>
        <w:rPr/>
      </w:pPr>
      <w:r>
        <w:rPr/>
        <w:t xml:space="preserve">Os resultados mostram que a combinação entre regras paramétricas explícitas, apoio de IA e verificação material pode tornar o processo de personalização mais </w:t>
      </w:r>
      <w:commentRangeStart w:id="0"/>
      <w:r>
        <w:rPr>
          <w:shd w:fill="FFFF00" w:val="clear"/>
        </w:rPr>
        <w:t xml:space="preserve">rastreável </w:t>
      </w:r>
      <w:r>
        <w:rPr>
          <w:shd w:fill="FFFF00" w:val="clear"/>
        </w:rPr>
      </w:r>
      <w:commentRangeEnd w:id="0"/>
      <w:r>
        <w:commentReference w:id="0"/>
      </w:r>
      <w:r>
        <w:rPr/>
        <w:t>e replicável, embora não substitua validação clínica, avaliação biomecânica completa ou testes com utilizadores reais. O contributo principal reside na formulação de um processo metodológico que articula design, dados antropométricos, IA e fabrico digital de forma crítica e operacional.</w:t>
      </w:r>
    </w:p>
    <w:p>
      <w:pPr>
        <w:pStyle w:val="Normal"/>
        <w:rPr>
          <w:b/>
          <w:bCs/>
        </w:rPr>
      </w:pPr>
      <w:r>
        <w:rPr>
          <w:b/>
          <w:bCs/>
        </w:rPr>
      </w:r>
    </w:p>
    <w:p>
      <w:pPr>
        <w:pStyle w:val="Normal"/>
        <w:rPr/>
      </w:pPr>
      <w:r>
        <w:rPr>
          <w:b/>
          <w:bCs/>
        </w:rPr>
        <w:t>Palavras-chave</w:t>
      </w:r>
      <w:r>
        <w:rPr/>
        <w:t>: design industrial; próteses de membro superior; design paramétrico; inteligência artificial; impressão 3D; dados antropométricos; fabrico digital.</w:t>
      </w:r>
    </w:p>
    <w:p>
      <w:pPr>
        <w:pStyle w:val="Heading2"/>
        <w:rPr/>
      </w:pPr>
      <w:r>
        <w:rPr/>
      </w:r>
    </w:p>
    <w:p>
      <w:pPr>
        <w:pStyle w:val="Heading2"/>
        <w:rPr/>
      </w:pPr>
      <w:r>
        <w:rPr/>
        <w:t>Abstract</w:t>
      </w:r>
    </w:p>
    <w:p>
      <w:pPr>
        <w:pStyle w:val="Normal"/>
        <w:rPr/>
      </w:pPr>
      <w:r>
        <w:rPr/>
        <w:t>The personalisation of upper-limb prostheses remains constrained by high costs, dependence on specialised technical expertise, and the difficulty of translating anthropometric data into geometries that are fitted, reproducible, and manufacturable. This dissertation investigates how industrial design, combined with parametric modelling and artificial intelligence, can support more accessible, explicit, and controllable processes for developing personalised prostheses for 3D printing. The research follows a Research Through Design approach, combining a critical literature review, analysis of open-source prosthetic solutions, the structuring of a local anthropometric database, the development of parametric models in OpenSCAD, integration into a web platform, and evaluation through profile tests, geometry export, and physical prototyping. The developed system converts user descriptions and measurements into parametric suggestions, enables browser-based model visualisation, exports STL/3MF files, and supports verification of the transition from digital model to digital fabrication. Validation focused on coherence between profile, parameters, exported geometry, and physical prototype, using public anthropometric data and print tests derived from the same base profile, with age changed as a controlled variable. The results indicate that combining explicit parametric rules, AI support, and material verification can make personalisation processes more traceable and replicable, although it does not replace clinical validation, full biomechanical assessment, or tests with real users. The main contribution lies in the formulation of a methodological process that critically and operationally connects design, anthropometric data, AI, and digital fabrication.</w:t>
      </w:r>
    </w:p>
    <w:p>
      <w:pPr>
        <w:pStyle w:val="Normal"/>
        <w:rPr/>
      </w:pPr>
      <w:r>
        <w:rPr/>
        <w:t>Keywords: industrial design; upper-limb prostheses; parametric design; artificial intelligence; 3D printing; anthropometric data; digital fabrication.</w:t>
      </w:r>
    </w:p>
    <w:p>
      <w:pPr>
        <w:pStyle w:val="Normal"/>
        <w:rPr/>
      </w:pPr>
      <w:r>
        <w:rPr/>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1259"/>
        <w:gridCol w:w="7767"/>
      </w:tblGrid>
      <w:tr>
        <w:trPr>
          <w:tblHeader w:val="true"/>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AMS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Automatic Material System; sistema automático de alimentação de filamento usado em impressoras Bambu Lab.</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1259" w:type="dxa"/>
            <w:tcBorders>
              <w:left w:val="single" w:sz="4" w:space="0" w:color="808080"/>
              <w:bottom w:val="single" w:sz="4" w:space="0" w:color="808080"/>
              <w:right w:val="single" w:sz="4" w:space="0" w:color="808080"/>
            </w:tcBorders>
          </w:tcPr>
          <w:p>
            <w:pPr>
              <w:pStyle w:val="BodyText"/>
              <w:bidi w:val="0"/>
              <w:spacing w:before="0" w:after="140"/>
              <w:jc w:val="left"/>
              <w:rPr>
                <w:lang w:val="pt-PT"/>
              </w:rPr>
            </w:pPr>
            <w:r>
              <w:rPr>
                <w:lang w:val="pt-PT"/>
              </w:rPr>
              <w:t>SQLite</w:t>
            </w:r>
          </w:p>
        </w:tc>
        <w:tc>
          <w:tcPr>
            <w:tcW w:w="7767" w:type="dxa"/>
            <w:tcBorders>
              <w:left w:val="single" w:sz="4" w:space="0" w:color="808080"/>
              <w:bottom w:val="single" w:sz="4" w:space="0" w:color="808080"/>
              <w:right w:val="single" w:sz="4" w:space="0" w:color="808080"/>
            </w:tcBorders>
          </w:tcPr>
          <w:p>
            <w:pPr>
              <w:pStyle w:val="Normal"/>
              <w:rPr/>
            </w:pPr>
            <w:r>
              <w:rPr/>
              <w:t>Motor leve de base de dados relacional baseado em SQL, autónomo e incorporável na aplicação.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rPr/>
      </w:pPr>
      <w:r>
        <w:rPr/>
        <w:t>Lista de tabelas</w:t>
      </w:r>
    </w:p>
    <w:tbl>
      <w:tblPr>
        <w:tblStyle w:val="TableGrid"/>
        <w:tblW w:w="5000" w:type="pct"/>
        <w:jc w:val="left"/>
        <w:tblInd w:w="103" w:type="dxa"/>
        <w:tblLayout w:type="fixed"/>
        <w:tblCellMar>
          <w:top w:w="0" w:type="dxa"/>
          <w:left w:w="108" w:type="dxa"/>
          <w:bottom w:w="0" w:type="dxa"/>
          <w:right w:w="108" w:type="dxa"/>
        </w:tblCellMar>
      </w:tblPr>
      <w:tblGrid>
        <w:gridCol w:w="1501"/>
        <w:gridCol w:w="6727"/>
        <w:gridCol w:w="798"/>
      </w:tblGrid>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Tabela 2.1</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Papéis dos profissionais de saúde no desenvolvimento de dispositivos médicos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15</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Tabela 2.2</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Elementos centrais na configuração da participação em sistemas configuráveis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36</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Tabela 4.1</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Principais parâmetros antropométricos da mão e do membro superior relevantes para modelação paramétrica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54</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Tabela 4.2</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Conjuntos mínimos de parâmetros por nível de amputação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54</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Tabela 4.3</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Métodos de recolha de dados antropométricos e suas características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56</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Tabela 4.4</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Fontes integradas na base local de dados antropométricos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58</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Tabela 4.5</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Estrutura hierárquica dos parâmetros no modelo paramétrico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62</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Tabela 4.6</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Mapeamento entre parâmetros antropométricos e elementos do modelo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64</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Tabela 4.7</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Estrutura técnica em camadas de um modelo paramétrico em OpenSCAD para próteses personalizadas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66</w:t>
            </w:r>
          </w:p>
        </w:tc>
      </w:tr>
      <w:tr>
        <w:trPr/>
        <w:tc>
          <w:tcPr>
            <w:tcW w:w="1501" w:type="dxa"/>
            <w:tcBorders/>
          </w:tcPr>
          <w:p>
            <w:pPr>
              <w:pStyle w:val="Normal"/>
              <w:rPr/>
            </w:pPr>
            <w:r>
              <w:rPr/>
              <w:t>Tabela 6.1</w:t>
            </w:r>
          </w:p>
        </w:tc>
        <w:tc>
          <w:tcPr>
            <w:tcW w:w="6727" w:type="dxa"/>
            <w:tcBorders/>
          </w:tcPr>
          <w:p>
            <w:pPr>
              <w:pStyle w:val="Normal"/>
              <w:rPr/>
            </w:pPr>
            <w:r>
              <w:rPr/>
              <w:t>Especificação técnica dos modelos de IA e do contrato de sugestão paramétrica</w:t>
            </w:r>
          </w:p>
        </w:tc>
        <w:tc>
          <w:tcPr>
            <w:tcW w:w="798" w:type="dxa"/>
            <w:tcBorders/>
          </w:tcPr>
          <w:p>
            <w:pPr>
              <w:pStyle w:val="Normal"/>
              <w:rPr/>
            </w:pPr>
            <w:r>
              <w:rPr/>
              <w:t>87</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Tabela 8.1</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Síntese dos resultados da validação por impressão 3D</w:t>
            </w:r>
          </w:p>
        </w:tc>
        <w:tc>
          <w:tcPr>
            <w:tcW w:w="798" w:type="dxa"/>
            <w:tcBorders/>
          </w:tcPr>
          <w:p>
            <w:pPr>
              <w:pStyle w:val="Normal"/>
              <w:rPr/>
            </w:pPr>
            <w:r>
              <w:rPr/>
              <w:t>100</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Tabela 8.2</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Entradas/prompt utilizadas para criação dos perfis de validação antropométrica por IA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101</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Tabela 8.3</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Síntese da validação antropométrica assistida por IA</w:t>
            </w:r>
          </w:p>
        </w:tc>
        <w:tc>
          <w:tcPr>
            <w:tcW w:w="798" w:type="dxa"/>
            <w:tcBorders/>
          </w:tcPr>
          <w:p>
            <w:pPr>
              <w:pStyle w:val="Normal"/>
              <w:rPr/>
            </w:pPr>
            <w:r>
              <w:rPr/>
              <w:t>104</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Tabela 8.4</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Modelos e mecanismos de escala avaliados</w:t>
            </w:r>
          </w:p>
        </w:tc>
        <w:tc>
          <w:tcPr>
            <w:tcW w:w="798" w:type="dxa"/>
            <w:tcBorders/>
          </w:tcPr>
          <w:p>
            <w:pPr>
              <w:pStyle w:val="Normal"/>
              <w:rPr/>
            </w:pPr>
            <w:r>
              <w:rPr/>
              <w:t>105</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Tabela 8.5</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Rácio adimensional da maior dimensão da palma exportada face ao baseline</w:t>
            </w:r>
          </w:p>
        </w:tc>
        <w:tc>
          <w:tcPr>
            <w:tcW w:w="798" w:type="dxa"/>
            <w:tcBorders/>
          </w:tcPr>
          <w:p>
            <w:pPr>
              <w:pStyle w:val="Normal"/>
              <w:rPr/>
            </w:pPr>
            <w:r>
              <w:rPr/>
              <w:t>105</w:t>
            </w:r>
          </w:p>
        </w:tc>
      </w:tr>
    </w:tbl>
    <w:p>
      <w:pPr>
        <w:pStyle w:val="Normal"/>
        <w:rPr/>
      </w:pPr>
      <w:r>
        <w:rPr/>
      </w:r>
    </w:p>
    <w:p>
      <w:pPr>
        <w:pStyle w:val="Heading2"/>
        <w:rPr/>
      </w:pPr>
      <w:r>
        <w:rPr/>
        <w:t>Lista de figuras</w:t>
      </w:r>
    </w:p>
    <w:tbl>
      <w:tblPr>
        <w:tblStyle w:val="TableGrid"/>
        <w:tblW w:w="5000" w:type="pct"/>
        <w:jc w:val="left"/>
        <w:tblInd w:w="103" w:type="dxa"/>
        <w:tblLayout w:type="fixed"/>
        <w:tblCellMar>
          <w:top w:w="0" w:type="dxa"/>
          <w:left w:w="108" w:type="dxa"/>
          <w:bottom w:w="0" w:type="dxa"/>
          <w:right w:w="108" w:type="dxa"/>
        </w:tblCellMar>
      </w:tblPr>
      <w:tblGrid>
        <w:gridCol w:w="1501"/>
        <w:gridCol w:w="6727"/>
        <w:gridCol w:w="798"/>
      </w:tblGrid>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1.1</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e dispositivos associados à fabricação aditiva em contexto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2.1</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de membro superior impressas em 3D, ilustrando diversidade tipológica e construtiva.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11</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2.2</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Utilização, rejeição primária e rejeição secundária de próteses do membro superior adquiridas.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13</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2.3</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Fluxo digital entre aquisição, CAD/CAM e fabricação aditiva em próteses e ortóteses.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18</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2.4</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Exemplo de configurador digital para personalização de uma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21</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2.5</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Marcos anatómicos e medidas de referência da mão para fins de personalização.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26</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2.6</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Enquadramento de um fluxo de CAD assistido por IA para desenvolvimento de produto.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30</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2.7</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Modelo de processo para configurar participação em ecossistemas de inovação e cocriação.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35</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2.8</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40</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3.1</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Processo interdisciplinar de desenvolvimento de uma prótese de membro superior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45</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3.2</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Exemplo de recolha dimensional para ajuste de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49</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4.1</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Parâmetros antropométricos utilizados na modelação paramétrica de dedos protésicos.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53</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4.2</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Comparação entre o escalonamento uniforme e a modelação paramétrica de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56</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4.3</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Relação entre modelo paramétrico digital, prototipagem e verificação de um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66</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5.1</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plataforma web – Hand Fab</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72</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5.2</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digitalização, CAD adaptativo e fabrico aditivo.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74</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5.3</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Ferramenta paramétrica para configuração de ajudas técnicas com variação de dimensões, materiais e peso.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78</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6.1</w:t>
            </w:r>
          </w:p>
        </w:tc>
        <w:tc>
          <w:tcPr>
            <w:tcW w:w="672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compreensão dos sistemas de IA e princípios de IA responsável.</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90</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7.1</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Teste de uma prótese impressa em 3D com utilizador em contexto aplicado.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95</w:t>
            </w:r>
          </w:p>
        </w:tc>
      </w:tr>
      <w:tr>
        <w:trPr/>
        <w:tc>
          <w:tcPr>
            <w:tcW w:w="1501" w:type="dxa"/>
            <w:tcBorders>
              <w:top w:val="single" w:sz="4" w:space="0" w:color="808080"/>
              <w:left w:val="single" w:sz="4" w:space="0" w:color="808080"/>
              <w:bottom w:val="single" w:sz="4" w:space="0" w:color="808080"/>
              <w:right w:val="single" w:sz="4" w:space="0" w:color="808080"/>
            </w:tcBorders>
          </w:tcPr>
          <w:p>
            <w:pPr>
              <w:pStyle w:val="Normal"/>
              <w:rPr/>
            </w:pPr>
            <w:r>
              <w:rPr/>
              <w:t>Figura 8.1</w:t>
            </w:r>
          </w:p>
        </w:tc>
        <w:tc>
          <w:tcPr>
            <w:tcW w:w="6727" w:type="dxa"/>
            <w:tcBorders>
              <w:top w:val="single" w:sz="4" w:space="0" w:color="808080"/>
              <w:left w:val="single" w:sz="4" w:space="0" w:color="808080"/>
              <w:bottom w:val="single" w:sz="4" w:space="0" w:color="808080"/>
              <w:right w:val="single" w:sz="4" w:space="0" w:color="808080"/>
            </w:tcBorders>
          </w:tcPr>
          <w:p>
            <w:pPr>
              <w:pStyle w:val="Normal"/>
              <w:rPr/>
            </w:pPr>
            <w:r>
              <w:rPr/>
              <w:t>Tarefas funcionais usadas em avaliação de prótese personalizada de membro superior.</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100</w:t>
            </w:r>
          </w:p>
        </w:tc>
      </w:tr>
    </w:tbl>
    <w:p>
      <w:pPr>
        <w:pStyle w:val="Normal"/>
        <w:rPr/>
      </w:pPr>
      <w:r>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de projeto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w:t>
      </w:r>
      <w:r>
        <w:rPr/>
        <w:t>No entanto, muitos desses modelos dependem de geometrias fixas, isto é, formas pré-definidas sem adaptação automática, ou de ajustes manuais pouco padronizados. Esta condição resulta em alterações sem protocolo uniforme e dificulta a expansão, a geração de variantes consistentes e a integração robusta de dados antropométricos, ou seja, de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4963160" cy="3408045"/>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4963160" cy="340804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1.1 — Exemplos de próteses  produzidas por fabricação aditiva.</w:t>
      </w:r>
    </w:p>
    <w:p>
      <w:pPr>
        <w:pStyle w:val="Normal"/>
        <w:bidi w:val="0"/>
        <w:jc w:val="left"/>
        <w:rPr>
          <w:lang w:val="pt-PT"/>
        </w:rPr>
      </w:pPr>
      <w:r>
        <w:rPr>
          <w:lang w:val="pt-PT"/>
        </w:rPr>
        <w:t>Fonte: elaboração própria.</w:t>
      </w:r>
    </w:p>
    <w:p>
      <w:pPr>
        <w:pStyle w:val="Normal"/>
        <w:bidi w:val="0"/>
        <w:jc w:val="left"/>
        <w:rPr>
          <w:lang w:val="pt-PT"/>
        </w:rPr>
      </w:pPr>
      <w:r>
        <w:rPr>
          <w:lang w:val="pt-PT"/>
        </w:rPr>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Normal"/>
        <w:bidi w:val="0"/>
        <w:jc w:val="left"/>
        <w:rPr>
          <w:lang w:val="pt-PT"/>
        </w:rPr>
      </w:pPr>
      <w:r>
        <w:rPr>
          <w:lang w:val="pt-PT"/>
        </w:rPr>
      </w:r>
    </w:p>
    <w:p>
      <w:pPr>
        <w:pStyle w:val="Heading3"/>
        <w:bidi w:val="0"/>
        <w:jc w:val="left"/>
        <w:rPr>
          <w:lang w:val="pt-PT"/>
        </w:rPr>
      </w:pPr>
      <w:r>
        <w:rPr>
          <w:lang w:val="pt-PT"/>
        </w:rPr>
        <w:t>1.2 Problema de investigação</w:t>
      </w:r>
    </w:p>
    <w:p>
      <w:pPr>
        <w:pStyle w:val="Heading3"/>
        <w:bidi w:val="0"/>
        <w:jc w:val="left"/>
        <w:rPr>
          <w:lang w:val="pt-PT"/>
        </w:rPr>
      </w:pPr>
      <w:r>
        <w:rPr>
          <w:lang w:val="pt-PT"/>
        </w:rPr>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A validação da abordagem combina testes de perfil, exportação de geometrias, análise de malhas e prototipagem por impressão 3D, avaliando a coerência dimensional, a montagem preliminar, a viabilidade de fabrico e os limites materiais, sem reivindicar validação clínica do dispositivo.</w:t>
      </w:r>
    </w:p>
    <w:p>
      <w:pPr>
        <w:pStyle w:val="Normal"/>
        <w:bidi w:val="0"/>
        <w:jc w:val="left"/>
        <w:rPr>
          <w:lang w:val="pt-PT"/>
        </w:rPr>
      </w:pPr>
      <w:r>
        <w:rPr>
          <w:lang w:val="pt-PT"/>
        </w:rPr>
        <w:t xml:space="preserve">A investigação busca responder: como o design de produto, métodos paramétricos e inteligência artificial podem melhorar a personalização, o conforto e a adequação funcional de próteses, mantendo a acessibilidade e o controle projetual? </w:t>
      </w:r>
      <w:r>
        <w:rPr/>
        <w:t>Que metodologias e ferramentas permitem avaliar a eficácia, a usabilidade, a durabilidade e a replicação controlada de próteses impressas em 3D? Como pode o Design Industrial conciliar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Heading3"/>
        <w:bidi w:val="0"/>
        <w:jc w:val="left"/>
        <w:rPr>
          <w:lang w:val="pt-PT"/>
        </w:rPr>
      </w:pPr>
      <w:r>
        <w:rPr>
          <w:lang w:val="pt-PT"/>
        </w:rPr>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preliminar,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Heading3"/>
        <w:bidi w:val="0"/>
        <w:jc w:val="left"/>
        <w:rPr>
          <w:lang w:val="pt-PT"/>
        </w:rPr>
      </w:pPr>
      <w:r>
        <w:rPr>
          <w:lang w:val="pt-PT"/>
        </w:rPr>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Heading3"/>
        <w:bidi w:val="0"/>
        <w:jc w:val="left"/>
        <w:rPr>
          <w:lang w:val="pt-PT"/>
        </w:rPr>
      </w:pPr>
      <w:r>
        <w:rPr>
          <w:lang w:val="pt-PT"/>
        </w:rPr>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1"/>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 xml:space="preserve">As próteses mecânicas utilizam um sistema de arnês e cabos que converte movimentos do ombro, do tronco ou da cintura escapular em ação no dispositivo terminal, tipicamente um gancho ou uma mão mecânica. </w:t>
      </w:r>
      <w:r>
        <w:rPr/>
        <w:t>São soluções tradicionalmente valorizadas pela robustez, pelo comportamento mecânico previsível, pelo menor custo e pela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w:t>
      </w:r>
    </w:p>
    <w:p>
      <w:pPr>
        <w:pStyle w:val="Normal"/>
        <w:bidi w:val="0"/>
        <w:jc w:val="left"/>
        <w:rPr/>
      </w:pPr>
      <w:r>
        <w:rPr>
          <w:lang w:val="pt-PT"/>
        </w:rPr>
        <w:t xml:space="preserve">Adaptado de: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nem a evolução das capacidades físicas, sensoriais e cognitivas ao longo do tempo.</w:t>
      </w:r>
    </w:p>
    <w:p>
      <w:pPr>
        <w:pStyle w:val="Normal"/>
        <w:bidi w:val="0"/>
        <w:jc w:val="left"/>
        <w:rPr>
          <w:lang w:val="pt-PT"/>
        </w:rPr>
      </w:pPr>
      <w:r>
        <w:rPr>
          <w:lang w:val="pt-PT"/>
        </w:rPr>
        <w:t>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2"/>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3"/>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r: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9"/>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personalização em massa (mass customization) e personalização individualizada em escala (mass personalization), reduzindo custos marginais ao dispensar moldes e dispositivos específicos de fabrico.[^12] (Lei et al., 2016 (#ref-lei-2016); Stralen, 2018 (#ref-stralen-2018)).</w:t>
      </w:r>
      <w:r>
        <w:rPr>
          <w:rStyle w:val="FootnoteReference"/>
          <w:lang w:val="pt-PT"/>
        </w:rPr>
        <w:footnoteReference w:id="6"/>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10"/>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lang w:val="pt-PT"/>
        </w:rPr>
      </w:pPr>
      <w:r>
        <w:rPr>
          <w:lang w:val="pt-PT"/>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1"/>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w:t>
      </w:r>
    </w:p>
    <w:p>
      <w:pPr>
        <w:pStyle w:val="Normal"/>
        <w:bidi w:val="0"/>
        <w:jc w:val="left"/>
        <w:rPr>
          <w:lang w:val="pt-PT"/>
        </w:rPr>
      </w:pPr>
      <w:r>
        <w:rPr/>
        <w:t>A força reside na capacidade de lidar com informação complexa, heterogénea e volumosa. A fragilidade reside no facto de o sistema depender dos dados com que foi treinado, podendo reproduzir enviesamentos, simplificações e erros já presentes nesses dados.</w:t>
      </w:r>
      <w:r>
        <w:rPr>
          <w:lang w:val="pt-PT"/>
        </w:rPr>
        <w:t xml:space="preserve">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 xml:space="preserve">Em domínios como a reabilitação e as tecnologias de assistência, a personalização é frequentemente descrita como uma necessidade funcional, e não apenas como uma diferenciação de mercado. Isso significa que a adequação do produto ao utilizador </w:t>
      </w:r>
      <w:r>
        <w:rPr/>
        <w:t>pode ser determinante para a segurança, a usabilidade e a adoção sustentada, deslocando o foco do design de uma solução “média” para sistemas capazes de acomodar diferenças individuais de forma controlada.</w:t>
      </w:r>
      <w:r>
        <w:rPr>
          <w:lang w:val="pt-PT"/>
        </w:rPr>
        <w:t>(Fischer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BodyText"/>
        <w:bidi w:val="0"/>
        <w:jc w:val="left"/>
        <w:rPr>
          <w:highlight w:val="none"/>
          <w:shd w:fill="FFFF00" w:val="clear"/>
          <w:lang w:val="pt-PT"/>
        </w:rPr>
      </w:pPr>
      <w:r>
        <w:rPr>
          <w:shd w:fill="auto" w:val="clear"/>
          <w:lang w:val="pt-PT"/>
        </w:rPr>
        <w:t xml:space="preserve">Um enquadramento conceptual relevante para compreender os sistemas configuráveis é o dos </w:t>
      </w:r>
      <w:r>
        <w:rPr>
          <w:rStyle w:val="Emphasis"/>
          <w:shd w:fill="auto" w:val="clear"/>
          <w:lang w:val="pt-PT"/>
        </w:rPr>
        <w:t>toolkits for user innovation</w:t>
      </w:r>
      <w:r>
        <w:rPr>
          <w:shd w:fill="auto" w:val="clear"/>
          <w:lang w:val="pt-PT"/>
        </w:rPr>
        <w:t>. Este conceito refere-se a conjuntos estruturados de ferramentas, regras e mecanismos de feedback que permitem aos utilizadores participar diretamente na definição ou adaptação de produtos, sem assumirem a totalidade do processo técnico de desenvolvimento. Nestes sistemas, parte do trabalho de tradução das necessidades individuais é deslocada para o utilizador, enquanto fabricantes, designers ou especialistas mantêm responsabilidade sobre tarefas críticas de resolução técnica, produção, validação e controlo de qualidade.</w:t>
      </w:r>
    </w:p>
    <w:p>
      <w:pPr>
        <w:pStyle w:val="BodyText"/>
        <w:bidi w:val="0"/>
        <w:jc w:val="left"/>
        <w:rPr>
          <w:highlight w:val="none"/>
          <w:shd w:fill="FFFF00" w:val="clear"/>
          <w:lang w:val="pt-PT"/>
        </w:rPr>
      </w:pPr>
      <w:r>
        <w:rPr>
          <w:shd w:fill="auto" w:val="clear"/>
          <w:lang w:val="pt-PT"/>
        </w:rPr>
        <w:t xml:space="preserve">Esta abordagem permite distinguir configuradores, centrados sobretudo na seleção entre opções previamente definidas, de </w:t>
      </w:r>
      <w:r>
        <w:rPr>
          <w:rStyle w:val="Emphasis"/>
          <w:shd w:fill="auto" w:val="clear"/>
          <w:lang w:val="pt-PT"/>
        </w:rPr>
        <w:t>toolkits</w:t>
      </w:r>
      <w:r>
        <w:rPr>
          <w:shd w:fill="auto" w:val="clear"/>
          <w:lang w:val="pt-PT"/>
        </w:rPr>
        <w:t>, que oferecem ao utilizador a possibilidade de criar ou ajustar soluções dentro de um espaço de projeto delimitado por regras, parâmetros e feedback operacional (Franke &amp; Hippel, 2002 (#ref-franke-2002); Hippel &amp; Katz, 2002 (#ref-hippel-2002)).</w:t>
      </w:r>
    </w:p>
    <w:p>
      <w:pPr>
        <w:pStyle w:val="BodyText"/>
        <w:rPr>
          <w:highlight w:val="none"/>
          <w:shd w:fill="auto" w:val="clear"/>
          <w:lang w:val="pt-PT"/>
        </w:rPr>
      </w:pPr>
      <w:r>
        <w:rPr>
          <w:shd w:fill="auto" w:val="clear"/>
          <w:lang w:val="pt-PT"/>
        </w:rPr>
        <w:t>O meta-design aprofunda esta lógica ao deslocar o foco do projeto de uma solução fechada para a criação das condições que permitem a sua evolução posterior. Neste enquadramento, o papel do designer não se limita à definição inicial do artefacto ou da interface, mas inclui a construção de ambientes, ferramentas e estruturas sociais que possibilitam a participação ativa dos utilizadores ao longo do tempo. O meta-design pode, assim, ser entendido como uma abordagem em que se projeta o próprio sistema de adaptação: em vez de antecipar todas as necessidades futuras, cria-se uma infraestrutura que permite aos utilizadores, técnicos ou comunidades ajustar, expandir e reconfigurar a solução em contexto de uso.</w:t>
      </w:r>
    </w:p>
    <w:p>
      <w:pPr>
        <w:pStyle w:val="BodyText"/>
        <w:rPr>
          <w:lang w:val="pt-PT"/>
        </w:rPr>
      </w:pPr>
      <w:r>
        <w:rPr>
          <w:shd w:fill="auto" w:val="clear"/>
          <w:lang w:val="pt-PT"/>
        </w:rPr>
        <w:t xml:space="preserve">O modelo </w:t>
      </w:r>
      <w:r>
        <w:rPr>
          <w:rStyle w:val="Emphasis"/>
          <w:shd w:fill="auto" w:val="clear"/>
          <w:lang w:val="pt-PT"/>
        </w:rPr>
        <w:t>Seeding, Evolutionary Growth, and Reseeding</w:t>
      </w:r>
      <w:r>
        <w:rPr>
          <w:shd w:fill="auto" w:val="clear"/>
          <w:lang w:val="pt-PT"/>
        </w:rPr>
        <w:t xml:space="preserve"> formaliza este processo em três momentos articulados. A fase de </w:t>
      </w:r>
      <w:r>
        <w:rPr>
          <w:rStyle w:val="Emphasis"/>
          <w:shd w:fill="auto" w:val="clear"/>
          <w:lang w:val="pt-PT"/>
        </w:rPr>
        <w:t>seeding</w:t>
      </w:r>
      <w:r>
        <w:rPr>
          <w:shd w:fill="auto" w:val="clear"/>
          <w:lang w:val="pt-PT"/>
        </w:rPr>
        <w:t xml:space="preserve"> corresponde à criação de uma estrutura inicial suficientemente robusta para orientar a utilização, mas suficientemente aberta para permitir desenvolvimento posterior. A fase de </w:t>
      </w:r>
      <w:r>
        <w:rPr>
          <w:rStyle w:val="Emphasis"/>
          <w:shd w:fill="auto" w:val="clear"/>
          <w:lang w:val="pt-PT"/>
        </w:rPr>
        <w:t>evolutionary growth</w:t>
      </w:r>
      <w:r>
        <w:rPr>
          <w:shd w:fill="auto" w:val="clear"/>
          <w:lang w:val="pt-PT"/>
        </w:rPr>
        <w:t xml:space="preserve"> corresponde ao crescimento do sistema através das adaptações, usos e contribuições dos utilizadores. Por fim, a fase de </w:t>
      </w:r>
      <w:r>
        <w:rPr>
          <w:rStyle w:val="Emphasis"/>
          <w:shd w:fill="auto" w:val="clear"/>
          <w:lang w:val="pt-PT"/>
        </w:rPr>
        <w:t>reseeding</w:t>
      </w:r>
      <w:r>
        <w:rPr>
          <w:shd w:fill="auto" w:val="clear"/>
          <w:lang w:val="pt-PT"/>
        </w:rPr>
        <w:t xml:space="preserve"> implica a reorganização periódica dessas contribuições, consolidando aprendizagens, corrigindo inconsistências e reestruturando o sistema para novos ciclos de utilização e desenvolvimento</w:t>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2"/>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2894"/>
        <w:gridCol w:w="6132"/>
      </w:tblGrid>
      <w:tr>
        <w:trPr>
          <w:tblHeader w:val="true"/>
        </w:trPr>
        <w:tc>
          <w:tcPr>
            <w:tcW w:w="289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613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289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613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289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613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289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613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289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613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Heading3"/>
        <w:bidi w:val="0"/>
        <w:jc w:val="left"/>
        <w:rPr>
          <w:lang w:val="pt-PT"/>
        </w:rPr>
      </w:pPr>
      <w:r>
        <w:rPr>
          <w:lang w:val="pt-PT"/>
        </w:rPr>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 xml:space="preserve">Na reabilitação, plataformas de </w:t>
      </w:r>
      <w:r>
        <w:rPr>
          <w:i/>
          <w:iCs/>
          <w:lang w:val="pt-PT"/>
        </w:rPr>
        <w:t>virtual coaching</w:t>
      </w:r>
      <w:r>
        <w:rPr>
          <w:rStyle w:val="FootnoteReference"/>
          <w:i/>
          <w:iCs/>
          <w:lang w:val="pt-PT"/>
        </w:rPr>
        <w:footnoteReference w:id="13"/>
      </w:r>
      <w:r>
        <w:rPr>
          <w:lang w:val="pt-PT"/>
        </w:rPr>
        <w:t xml:space="preserve">, </w:t>
      </w:r>
      <w:r>
        <w:rPr>
          <w:i/>
          <w:iCs/>
          <w:lang w:val="pt-PT"/>
        </w:rPr>
        <w:t>serious games</w:t>
      </w:r>
      <w:r>
        <w:rPr>
          <w:rStyle w:val="FootnoteReference"/>
          <w:i/>
          <w:iCs/>
          <w:lang w:val="pt-PT"/>
        </w:rPr>
        <w:footnoteReference w:id="14"/>
      </w:r>
      <w:r>
        <w:rPr>
          <w:lang w:val="pt-PT"/>
        </w:rPr>
        <w:t xml:space="preserve"> configuráveis e modelos de cocriação tecnológica são apresentados como formas de personalizar os tratamentos com base no estado clínico, nos objetivos terapêuticos e no </w:t>
      </w:r>
      <w:r>
        <w:rPr>
          <w:i/>
          <w:iCs/>
          <w:lang w:val="pt-PT"/>
        </w:rPr>
        <w:t>feedback</w:t>
      </w:r>
      <w:r>
        <w:rPr>
          <w:lang w:val="pt-PT"/>
        </w:rPr>
        <w:t xml:space="preserve">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w:t>
      </w:r>
    </w:p>
    <w:p>
      <w:pPr>
        <w:pStyle w:val="Normal"/>
        <w:bidi w:val="0"/>
        <w:jc w:val="left"/>
        <w:rPr>
          <w:lang w:val="pt-PT"/>
        </w:rPr>
      </w:pPr>
      <w:r>
        <w:rPr/>
        <w:t>Estudos sobre próteses pediátricas, serviços de reabilitação e modelos como o Victoria Hand Project mostram que a personalização pode combinar prototipagem iterativa, módulos intercambiáveis, criação digital de encaixes e circulação de feedback entre contextos clínicos locais e equipas técnicas responsáveis pela coordenação e desenvolvimento do sistema.</w:t>
      </w:r>
    </w:p>
    <w:p>
      <w:pPr>
        <w:pStyle w:val="Normal"/>
        <w:bidi w:val="0"/>
        <w:jc w:val="left"/>
        <w:rPr>
          <w:lang w:val="pt-PT"/>
        </w:rPr>
      </w:pPr>
      <w:r>
        <w:rPr>
          <w:lang w:val="pt-PT"/>
        </w:rPr>
        <w:t>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segurança, qualidade e justificação documentada das decisões de projeto,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auto" w:val="clear"/>
          <w:lang w:val="pt-PT"/>
        </w:rPr>
        <w:t>por nível de prontidão tecnológica, ou Technology Readiness Level (TRL)</w:t>
      </w:r>
      <w:r>
        <w:rPr>
          <w:rStyle w:val="FootnoteReference"/>
          <w:shd w:fill="FFFF00" w:val="clear"/>
          <w:lang w:val="pt-PT"/>
        </w:rPr>
        <w:footnoteReference w:id="15"/>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5"/>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6"/>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4"/>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 xml:space="preserve">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w:t>
      </w:r>
      <w:r>
        <w:rPr/>
        <w:t>Paralelamente, realiza-se uma análise comparativa de soluções open-source existentes no domínio das próteses impressas em 3D, identificando abordagens formais, estruturais e tecnológicas, bem como limitações quanto à personalização, à adaptação paramétrica e à replicação controlada dos modelos.</w:t>
      </w:r>
    </w:p>
    <w:p>
      <w:pPr>
        <w:pStyle w:val="Normal"/>
        <w:bidi w:val="0"/>
        <w:jc w:val="left"/>
        <w:rPr>
          <w:lang w:val="pt-PT"/>
        </w:rPr>
      </w:pPr>
      <w:r>
        <w:rPr>
          <w:lang w:val="pt-PT"/>
        </w:rPr>
        <w:t>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as configurações resultantes dos testes de perfil são exportadas para fabrico e produzidas por impressão 3D. Esta fase permite avaliar a passagem do perfil simulado para a geometria exportada e desta para o protótipo físico, observando a exequibilidade de impressão, a integridade estrutural preliminar, a montagem, a ajustabilidade e a coerência formal perante variações dimensionais.</w:t>
      </w:r>
    </w:p>
    <w:p>
      <w:pPr>
        <w:pStyle w:val="Normal"/>
        <w:bidi w:val="0"/>
        <w:jc w:val="left"/>
        <w:rPr>
          <w:lang w:val="pt-PT"/>
        </w:rPr>
      </w:pPr>
      <w:r>
        <w:rPr/>
        <w:commentReference w:id="5"/>
      </w:r>
    </w:p>
    <w:p>
      <w:pPr>
        <w:pStyle w:val="Heading3"/>
        <w:bidi w:val="0"/>
        <w:jc w:val="left"/>
        <w:rPr>
          <w:lang w:val="pt-PT"/>
        </w:rPr>
      </w:pPr>
      <w:r>
        <w:rPr>
          <w:lang w:val="pt-PT"/>
        </w:rPr>
        <w:t>3.4 Métodos de recolha e análise de dados</w:t>
      </w:r>
    </w:p>
    <w:p>
      <w:pPr>
        <w:pStyle w:val="Heading3"/>
        <w:bidi w:val="0"/>
        <w:jc w:val="left"/>
        <w:rPr>
          <w:lang w:val="pt-PT"/>
        </w:rPr>
      </w:pPr>
      <w:r>
        <w:rPr>
          <w:lang w:val="pt-PT"/>
        </w:rPr>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6"/>
      </w:r>
      <w:r>
        <w:rPr>
          <w:lang w:val="pt-PT"/>
        </w:rPr>
        <w:t>. Estes dados são analisados de forma iterativa, permitindo reformular o modelo paramétrico e otimizar o seu desempenho.</w:t>
      </w:r>
    </w:p>
    <w:p>
      <w:pPr>
        <w:pStyle w:val="Normal"/>
        <w:bidi w:val="0"/>
        <w:jc w:val="left"/>
        <w:rPr>
          <w:lang w:val="pt-PT"/>
        </w:rPr>
      </w:pPr>
      <w:r>
        <w:rPr/>
        <w:t>Na fase de prototipagem, a análise incide sobre os critérios de exequibilidade de fabrico, robustez estrutural preliminar, coerência dimensional, facilidade de montagem e comportamento material inicial. Os modelos exportados a partir dos testes de perfil foram preparados para fabrico digital em dois programas de preparação para impressão 3D: PrusaSlicer 2.9.6 e Bambu Studio. Estes programas permitem converter o modelo tridimensional num conjunto de instruções interpretáveis pela impressora, definindo parâmetros como orientação da peça, altura de camada, preenchimento interno, suportes, temperaturas, velocidades e trajetórias de deposição do material. A utilização de dois ambientes de preparação permitiu verificar a compatibilidade dos ficheiros exportados e observar eventuais diferenças na interpretação da geometria antes da produção física.</w:t>
      </w:r>
    </w:p>
    <w:p>
      <w:pPr>
        <w:pStyle w:val="BodyText"/>
        <w:rPr/>
      </w:pPr>
      <w:r>
        <w:rPr/>
        <w:t>A materialização dos modelos foi realizada em duas impressoras FDM: Bambu Lab A1 com AMS e Prusa Mini. Os testes de impressão usaram o mesmo perfil de base criado na plataforma, alterando-se a idade como variável controlada para produzir variações dimensionais comparáveis entre configurações. Ambas são impressoras 3D de extrusão de filamento, adequadas à produção rápida de protótipos em materiais termoplásticos. O sistema AMS, associado à Bambu Lab A1, permite gerir automaticamente vários rolos de filamento, facilitando a alternância entre materiais ou cores durante o processo de impressão.</w:t>
      </w:r>
    </w:p>
    <w:p>
      <w:pPr>
        <w:pStyle w:val="BodyText"/>
        <w:rPr/>
      </w:pPr>
      <w:r>
        <w:rPr/>
        <w:t>Foram utilizados dois materiais: PLA e PETG. O PLA foi selecionado por ser rígido, estável, económico e adequado à verificação rápida da geometria, permitindo avaliar dimensões gerais, encaixes preliminares e coerência formal. O PETG foi utilizado como alternativa mais resistente e menos frágil, permitindo observar o comportamento dos componentes em situações de manipulação, encaixe e montagem preliminar. Esta comparação permitiu verificar se a geometria gerada pelo sistema permanecia compatível com a preparação para impressão 3D, com a manipulação física dos componentes e com a transição do ambiente digital para o objeto materializado.</w:t>
      </w:r>
    </w:p>
    <w:p>
      <w:pPr>
        <w:pStyle w:val="Normal"/>
        <w:bidi w:val="0"/>
        <w:jc w:val="left"/>
        <w:rPr>
          <w:lang w:val="pt-PT"/>
        </w:rPr>
      </w:pPr>
      <w:r>
        <w:rPr/>
        <w:t>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7"/>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 xml:space="preserve">No caso específico da parametrização assistida por IA, a avaliação foi organizada em dois patamares. </w:t>
      </w:r>
      <w:r>
        <w:rPr/>
        <w:t>O primeiro patamar incidiu sobre a coerência numérica das sugestões, avaliando a conformidade com o esquema de parâmetros, o enquadramento nos intervalos mínimos e máximos definidos, a proporcionalidade entre dedos, a adequação etária e a coerência da lateralidade em casos de amputação unilateral.</w:t>
      </w:r>
    </w:p>
    <w:p>
      <w:pPr>
        <w:pStyle w:val="Normal"/>
        <w:bidi w:val="0"/>
        <w:jc w:val="left"/>
        <w:rPr>
          <w:lang w:val="pt-PT"/>
        </w:rPr>
      </w:pPr>
      <w:r>
        <w:rPr>
          <w:lang w:val="pt-PT"/>
        </w:rPr>
        <w:t>O segundo prolongou essa verificação até à geometria exportada, testando se os valores sugeridos eram efetivamente aplicados nos modelo</w:t>
      </w:r>
      <w:commentRangeStart w:id="7"/>
      <w:r>
        <w:rPr>
          <w:lang w:val="pt-PT"/>
        </w:rPr>
        <w:t xml:space="preserve">s OpenSCAD/WebAssembly </w:t>
      </w:r>
      <w:r>
        <w:rPr>
          <w:lang w:val="pt-PT"/>
        </w:rPr>
      </w:r>
      <w:commentRangeEnd w:id="7"/>
      <w:r>
        <w:commentReference w:id="7"/>
      </w:r>
      <w:r>
        <w:rPr>
          <w:lang w:val="pt-PT"/>
        </w:rPr>
        <w:t xml:space="preserve">e se os ficheiros </w:t>
      </w:r>
      <w:commentRangeStart w:id="8"/>
      <w:r>
        <w:rPr>
          <w:lang w:val="pt-PT"/>
        </w:rPr>
        <w:t>3MF e STL</w:t>
      </w:r>
      <w:r>
        <w:rPr>
          <w:lang w:val="pt-PT"/>
        </w:rPr>
      </w:r>
      <w:commentRangeEnd w:id="8"/>
      <w:r>
        <w:commentReference w:id="8"/>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 xml:space="preserve">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w:t>
      </w:r>
      <w:r>
        <w:rPr/>
        <w:t>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pStyle w:val="Normal"/>
        <w:bidi w:val="0"/>
        <w:jc w:val="left"/>
        <w:rPr>
          <w:lang w:val="pt-PT"/>
        </w:rPr>
      </w:pPr>
      <w:r>
        <w:rPr>
          <w:lang w:val="pt-PT"/>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9"/>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8"/>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20"/>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personalização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pStyle w:val="BodyText"/>
        <w:bidi w:val="0"/>
        <w:jc w:val="left"/>
        <w:rPr>
          <w:lang w:val="pt-PT"/>
        </w:rPr>
      </w:pPr>
      <w:r>
        <w:rPr>
          <w:lang w:val="pt-PT"/>
        </w:rP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pStyle w:val="BodyText"/>
        <w:bidi w:val="0"/>
        <w:jc w:val="left"/>
        <w:rPr>
          <w:lang w:val="pt-PT"/>
        </w:rPr>
      </w:pP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baseado em texto simples, o ficheiro-fonte pode ser mantido sob controlo de versões, comparado, revisto e reutilizado, permitindo reconstituir as decisões de modelação e replicar as variantes geradas.</w:t>
      </w:r>
    </w:p>
    <w:p>
      <w:pPr>
        <w:pStyle w:val="Normal"/>
        <w:bidi w:val="0"/>
        <w:jc w:val="left"/>
        <w:rPr>
          <w:lang w:val="pt-PT"/>
        </w:rPr>
      </w:pPr>
      <w:r>
        <w:rPr/>
        <w:t>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w:t>
        <w:br/>
        <w:t>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3510"/>
        <w:gridCol w:w="5516"/>
      </w:tblGrid>
      <w:tr>
        <w:trPr>
          <w:tblHeader w:val="true"/>
        </w:trPr>
        <w:tc>
          <w:tcPr>
            <w:tcW w:w="3510"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551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3510"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551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3510"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551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3510"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551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3510"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551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3510"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551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w:t>
      </w:r>
    </w:p>
    <w:p>
      <w:pPr>
        <w:pStyle w:val="Normal"/>
        <w:bidi w:val="0"/>
        <w:jc w:val="left"/>
        <w:rPr>
          <w:lang w:val="pt-PT"/>
        </w:rPr>
      </w:pPr>
      <w:r>
        <w:rPr>
          <w:lang w:val="pt-PT"/>
        </w:rPr>
        <w:t>Os estudos revistos sobre modelação paramétrica aplicada a próteses e sobre modelação CAD programável reforçam esta perspetiva, ao associarem estas abordagens à possibilidade de explicitar decisões de modelação, manter consistência entre variantes e automatizar etapas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2"/>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membro residual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0"/>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0"/>
      <w:r>
        <w:commentReference w:id="10"/>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1"/>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1"/>
      <w:r>
        <w:commentReference w:id="11"/>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2"/>
      <w:r>
        <w:rPr>
          <w:lang w:val="pt-PT"/>
        </w:rPr>
        <w:t>ivamente técnica (Peixoto et al., 2025 (#ref-peixoto-2025)).</w:t>
      </w:r>
      <w:commentRangeEnd w:id="12"/>
      <w:r>
        <w:commentReference w:id="12"/>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24"/>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r>
    </w:p>
    <w:p>
      <w:pPr>
        <w:pStyle w:val="Normal"/>
        <w:bidi w:val="0"/>
        <w:jc w:val="left"/>
        <w:rPr>
          <w:lang w:val="pt-PT"/>
        </w:rPr>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731510" cy="3234055"/>
            <wp:effectExtent l="0" t="0" r="0" b="0"/>
            <wp:wrapSquare wrapText="largest"/>
            <wp:docPr id="16"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1"/>
                    <pic:cNvPicPr>
                      <a:picLocks noChangeAspect="1" noChangeArrowheads="1"/>
                    </pic:cNvPicPr>
                  </pic:nvPicPr>
                  <pic:blipFill>
                    <a:blip r:embed="rId25"/>
                    <a:stretch>
                      <a:fillRect/>
                    </a:stretch>
                  </pic:blipFill>
                  <pic:spPr bwMode="auto">
                    <a:xfrm>
                      <a:off x="0" y="0"/>
                      <a:ext cx="5731510" cy="3234055"/>
                    </a:xfrm>
                    <a:prstGeom prst="rect">
                      <a:avLst/>
                    </a:prstGeom>
                    <a:noFill/>
                  </pic:spPr>
                </pic:pic>
              </a:graphicData>
            </a:graphic>
          </wp:anchor>
        </w:drawing>
      </w:r>
      <w:r>
        <w:rPr>
          <w:lang w:val="pt-PT"/>
        </w:rPr>
        <w:t>Figura 5.2 — Painel de configuração do perfil de utilizador na plataforma – Hand Fab</w:t>
      </w:r>
    </w:p>
    <w:p>
      <w:pPr>
        <w:pStyle w:val="Normal"/>
        <w:bidi w:val="0"/>
        <w:jc w:val="left"/>
        <w:rPr>
          <w:lang w:val="pt-PT"/>
        </w:rPr>
      </w:pPr>
      <w:r>
        <w:rPr/>
        <w:t>Produção própria</w:t>
      </w:r>
    </w:p>
    <w:p>
      <w:pPr>
        <w:pStyle w:val="Normal"/>
        <w:bidi w:val="0"/>
        <w:jc w:val="left"/>
        <w:rPr>
          <w:lang w:val="pt-PT"/>
        </w:rPr>
      </w:pPr>
      <w:r>
        <w:rPr>
          <w:lang w:val="pt-PT"/>
        </w:rPr>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 xml:space="preserve">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w:t>
      </w:r>
      <w:r>
        <w:rPr/>
        <w:t>Em termos conceptuais, esta separação prolonga a lógica já discutida nas secções anteriores: a personalização digital exige sistemas suficientemente configuráveis para acomodar a variação, mas também suficientemente estruturados para preservar a coerência, documentar decisões e facilitar a manutenção</w:t>
      </w:r>
      <w:r>
        <w:rPr>
          <w:lang w:val="pt-PT"/>
        </w:rPr>
        <w:t xml:space="preserve"> (Ozdemir et al., 2022 (#ref-ozdemir-2022); Lei et al., 2016 (#ref-lei-2016)).</w:t>
      </w:r>
    </w:p>
    <w:p>
      <w:pPr>
        <w:pStyle w:val="Normal"/>
        <w:bidi w:val="0"/>
        <w:jc w:val="left"/>
        <w:rPr>
          <w:lang w:val="pt-PT"/>
        </w:rPr>
      </w:pPr>
      <w:r>
        <w:rPr>
          <w:lang w:val="pt-PT"/>
        </w:rPr>
        <w:t>A Figura 5.2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7"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5" descr="Image 15"/>
                    <pic:cNvPicPr>
                      <a:picLocks noChangeAspect="1" noChangeArrowheads="1"/>
                    </pic:cNvPicPr>
                  </pic:nvPicPr>
                  <pic:blipFill>
                    <a:blip r:embed="rId26"/>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5.3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7">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 xml:space="preserve">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w:t>
      </w:r>
      <w:r>
        <w:rPr/>
        <w:t>Neste sentido, a arquitetura traduz uma opção por robustez e capacidade de expansão controlada, ao articular os diferentes componentes numa estrutura técnica coerente com os requisitos de personalização assistida, gestão multiutilizador e evolução futura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xml:space="preserve">,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w:t>
      </w:r>
      <w:r>
        <w:rPr/>
        <w:t>Este fluxo estabelece uma ligação direta entre edição paramétrica, cálculo geométrico e feedback visual, permitindo que o processo seja documentado, verificado e revisto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731510" cy="4450080"/>
            <wp:effectExtent l="0" t="0" r="0" b="0"/>
            <wp:wrapSquare wrapText="largest"/>
            <wp:docPr id="18"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2"/>
                    <pic:cNvPicPr>
                      <a:picLocks noChangeAspect="1" noChangeArrowheads="1"/>
                    </pic:cNvPicPr>
                  </pic:nvPicPr>
                  <pic:blipFill>
                    <a:blip r:embed="rId28"/>
                    <a:stretch>
                      <a:fillRect/>
                    </a:stretch>
                  </pic:blipFill>
                  <pic:spPr bwMode="auto">
                    <a:xfrm>
                      <a:off x="0" y="0"/>
                      <a:ext cx="5731510" cy="4450080"/>
                    </a:xfrm>
                    <a:prstGeom prst="rect">
                      <a:avLst/>
                    </a:prstGeom>
                    <a:noFill/>
                  </pic:spPr>
                </pic:pic>
              </a:graphicData>
            </a:graphic>
          </wp:anchor>
        </w:drawing>
      </w:r>
    </w:p>
    <w:p>
      <w:pPr>
        <w:pStyle w:val="Normal"/>
        <w:bidi w:val="0"/>
        <w:jc w:val="left"/>
        <w:rPr>
          <w:lang w:val="pt-PT"/>
        </w:rPr>
      </w:pPr>
      <w:r>
        <w:rPr>
          <w:lang w:val="pt-PT"/>
        </w:rPr>
        <w:t>Figura 5.4 —  Modelo paramétrico através da visualização do código que o compõe, na plataforma Hand Fab.</w:t>
      </w:r>
    </w:p>
    <w:p>
      <w:pPr>
        <w:pStyle w:val="Normal"/>
        <w:bidi w:val="0"/>
        <w:jc w:val="left"/>
        <w:rPr>
          <w:lang w:val="pt-PT"/>
        </w:rPr>
      </w:pPr>
      <w:r>
        <w:rPr/>
        <w:t>Fonte original: Produção própria</w:t>
      </w:r>
    </w:p>
    <w:p>
      <w:pPr>
        <w:pStyle w:val="Normal"/>
        <w:bidi w:val="0"/>
        <w:jc w:val="left"/>
        <w:rPr>
          <w:lang w:val="pt-PT"/>
        </w:rPr>
      </w:pPr>
      <w:r>
        <w:rPr>
          <w:lang w:val="pt-PT"/>
        </w:rPr>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5.3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9"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6" descr="Image 16"/>
                    <pic:cNvPicPr>
                      <a:picLocks noChangeAspect="1" noChangeArrowheads="1"/>
                    </pic:cNvPicPr>
                  </pic:nvPicPr>
                  <pic:blipFill>
                    <a:blip r:embed="rId29"/>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5.3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30">
        <w:r>
          <w:rPr>
            <w:rStyle w:val="Hyperlink"/>
            <w:lang w:val="pt-PT"/>
          </w:rPr>
          <w:t>https://doi.org/10.1080/17483107.2025.2483953</w:t>
        </w:r>
      </w:hyperlink>
      <w:r>
        <w:br w:type="page"/>
      </w:r>
    </w:p>
    <w:p>
      <w:pPr>
        <w:pStyle w:val="Normal"/>
        <w:bidi w:val="0"/>
        <w:jc w:val="left"/>
        <w:rPr>
          <w:lang w:val="pt-PT"/>
        </w:rPr>
      </w:pPr>
      <w:r>
        <w:rPr>
          <w:lang w:val="pt-PT"/>
        </w:rPr>
      </w:r>
    </w:p>
    <w:tbl>
      <w:tblPr>
        <w:tblW w:w="5000" w:type="pct"/>
        <w:jc w:val="left"/>
        <w:tblInd w:w="0" w:type="dxa"/>
        <w:tblLayout w:type="fixed"/>
        <w:tblCellMar>
          <w:top w:w="0" w:type="dxa"/>
          <w:left w:w="0" w:type="dxa"/>
          <w:bottom w:w="0" w:type="dxa"/>
          <w:right w:w="0" w:type="dxa"/>
        </w:tblCellMar>
      </w:tblPr>
      <w:tblGrid>
        <w:gridCol w:w="4512"/>
        <w:gridCol w:w="4514"/>
      </w:tblGrid>
      <w:tr>
        <w:trPr>
          <w:trHeight w:val="2515" w:hRule="atLeast"/>
        </w:trPr>
        <w:tc>
          <w:tcPr>
            <w:tcW w:w="4512" w:type="dxa"/>
            <w:tcBorders/>
          </w:tcPr>
          <w:p>
            <w:pPr>
              <w:pStyle w:val="TableContents"/>
              <w:rPr/>
            </w:pPr>
            <w:r>
              <w:rPr/>
              <w:drawing>
                <wp:anchor distT="0" distB="0" distL="0" distR="0" simplePos="0" relativeHeight="27" behindDoc="0" locked="0" layoutInCell="0" allowOverlap="1">
                  <wp:simplePos x="0" y="0"/>
                  <wp:positionH relativeFrom="margin">
                    <wp:align>left</wp:align>
                  </wp:positionH>
                  <wp:positionV relativeFrom="paragraph">
                    <wp:posOffset>635</wp:posOffset>
                  </wp:positionV>
                  <wp:extent cx="2865755" cy="1600835"/>
                  <wp:effectExtent l="0" t="0" r="0" b="0"/>
                  <wp:wrapSquare wrapText="largest"/>
                  <wp:docPr id="20"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3"/>
                          <pic:cNvPicPr>
                            <a:picLocks noChangeAspect="1" noChangeArrowheads="1"/>
                          </pic:cNvPicPr>
                        </pic:nvPicPr>
                        <pic:blipFill>
                          <a:blip r:embed="rId31"/>
                          <a:stretch>
                            <a:fillRect/>
                          </a:stretch>
                        </pic:blipFill>
                        <pic:spPr bwMode="auto">
                          <a:xfrm>
                            <a:off x="0" y="0"/>
                            <a:ext cx="2865755" cy="1600835"/>
                          </a:xfrm>
                          <a:prstGeom prst="rect">
                            <a:avLst/>
                          </a:prstGeom>
                          <a:noFill/>
                        </pic:spPr>
                      </pic:pic>
                    </a:graphicData>
                  </a:graphic>
                </wp:anchor>
              </w:drawing>
            </w:r>
          </w:p>
        </w:tc>
        <w:tc>
          <w:tcPr>
            <w:tcW w:w="4514" w:type="dxa"/>
            <w:tcBorders/>
          </w:tcPr>
          <w:p>
            <w:pPr>
              <w:pStyle w:val="TableContents"/>
              <w:rPr/>
            </w:pPr>
            <w:r>
              <w:rPr/>
              <w:drawing>
                <wp:anchor distT="0" distB="0" distL="0" distR="0" simplePos="0" relativeHeight="26" behindDoc="0" locked="0" layoutInCell="0" allowOverlap="1">
                  <wp:simplePos x="0" y="0"/>
                  <wp:positionH relativeFrom="margin">
                    <wp:align>right</wp:align>
                  </wp:positionH>
                  <wp:positionV relativeFrom="paragraph">
                    <wp:posOffset>635</wp:posOffset>
                  </wp:positionV>
                  <wp:extent cx="2865755" cy="1600835"/>
                  <wp:effectExtent l="0" t="0" r="0" b="0"/>
                  <wp:wrapSquare wrapText="largest"/>
                  <wp:docPr id="21"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4"/>
                          <pic:cNvPicPr>
                            <a:picLocks noChangeAspect="1" noChangeArrowheads="1"/>
                          </pic:cNvPicPr>
                        </pic:nvPicPr>
                        <pic:blipFill>
                          <a:blip r:embed="rId32"/>
                          <a:stretch>
                            <a:fillRect/>
                          </a:stretch>
                        </pic:blipFill>
                        <pic:spPr bwMode="auto">
                          <a:xfrm>
                            <a:off x="0" y="0"/>
                            <a:ext cx="2865755" cy="1600835"/>
                          </a:xfrm>
                          <a:prstGeom prst="rect">
                            <a:avLst/>
                          </a:prstGeom>
                          <a:noFill/>
                        </pic:spPr>
                      </pic:pic>
                    </a:graphicData>
                  </a:graphic>
                </wp:anchor>
              </w:drawing>
            </w:r>
          </w:p>
        </w:tc>
      </w:tr>
      <w:tr>
        <w:trPr/>
        <w:tc>
          <w:tcPr>
            <w:tcW w:w="4512" w:type="dxa"/>
            <w:tcBorders/>
          </w:tcPr>
          <w:p>
            <w:pPr>
              <w:pStyle w:val="TableContents"/>
              <w:rPr/>
            </w:pPr>
            <w:r>
              <w:rPr/>
              <w:drawing>
                <wp:anchor distT="0" distB="0" distL="0" distR="0" simplePos="0" relativeHeight="25" behindDoc="0" locked="0" layoutInCell="0" allowOverlap="1">
                  <wp:simplePos x="0" y="0"/>
                  <wp:positionH relativeFrom="margin">
                    <wp:align>left</wp:align>
                  </wp:positionH>
                  <wp:positionV relativeFrom="paragraph">
                    <wp:posOffset>635</wp:posOffset>
                  </wp:positionV>
                  <wp:extent cx="2865755" cy="1600835"/>
                  <wp:effectExtent l="0" t="0" r="0" b="0"/>
                  <wp:wrapSquare wrapText="largest"/>
                  <wp:docPr id="22"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5"/>
                          <pic:cNvPicPr>
                            <a:picLocks noChangeAspect="1" noChangeArrowheads="1"/>
                          </pic:cNvPicPr>
                        </pic:nvPicPr>
                        <pic:blipFill>
                          <a:blip r:embed="rId33"/>
                          <a:stretch>
                            <a:fillRect/>
                          </a:stretch>
                        </pic:blipFill>
                        <pic:spPr bwMode="auto">
                          <a:xfrm>
                            <a:off x="0" y="0"/>
                            <a:ext cx="2865755" cy="1600835"/>
                          </a:xfrm>
                          <a:prstGeom prst="rect">
                            <a:avLst/>
                          </a:prstGeom>
                          <a:noFill/>
                        </pic:spPr>
                      </pic:pic>
                    </a:graphicData>
                  </a:graphic>
                </wp:anchor>
              </w:drawing>
            </w:r>
          </w:p>
        </w:tc>
        <w:tc>
          <w:tcPr>
            <w:tcW w:w="4514" w:type="dxa"/>
            <w:tcBorders/>
          </w:tcPr>
          <w:p>
            <w:pPr>
              <w:pStyle w:val="TableContents"/>
              <w:rPr/>
            </w:pPr>
            <w:r>
              <w:rPr/>
              <w:drawing>
                <wp:anchor distT="0" distB="0" distL="0" distR="0" simplePos="0" relativeHeight="24" behindDoc="0" locked="0" layoutInCell="0" allowOverlap="1">
                  <wp:simplePos x="0" y="0"/>
                  <wp:positionH relativeFrom="margin">
                    <wp:align>right</wp:align>
                  </wp:positionH>
                  <wp:positionV relativeFrom="paragraph">
                    <wp:posOffset>635</wp:posOffset>
                  </wp:positionV>
                  <wp:extent cx="2865755" cy="1600835"/>
                  <wp:effectExtent l="0" t="0" r="0" b="0"/>
                  <wp:wrapSquare wrapText="largest"/>
                  <wp:docPr id="23"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6"/>
                          <pic:cNvPicPr>
                            <a:picLocks noChangeAspect="1" noChangeArrowheads="1"/>
                          </pic:cNvPicPr>
                        </pic:nvPicPr>
                        <pic:blipFill>
                          <a:blip r:embed="rId34"/>
                          <a:stretch>
                            <a:fillRect/>
                          </a:stretch>
                        </pic:blipFill>
                        <pic:spPr bwMode="auto">
                          <a:xfrm>
                            <a:off x="0" y="0"/>
                            <a:ext cx="2865755" cy="1600835"/>
                          </a:xfrm>
                          <a:prstGeom prst="rect">
                            <a:avLst/>
                          </a:prstGeom>
                          <a:noFill/>
                        </pic:spPr>
                      </pic:pic>
                    </a:graphicData>
                  </a:graphic>
                </wp:anchor>
              </w:drawing>
            </w:r>
          </w:p>
        </w:tc>
      </w:tr>
    </w:tbl>
    <w:p>
      <w:pPr>
        <w:pStyle w:val="Normal"/>
        <w:bidi w:val="0"/>
        <w:jc w:val="left"/>
        <w:rPr>
          <w:lang w:val="pt-PT"/>
        </w:rPr>
      </w:pPr>
      <w:r>
        <w:rPr>
          <w:lang w:val="pt-PT"/>
        </w:rPr>
      </w:r>
    </w:p>
    <w:p>
      <w:pPr>
        <w:pStyle w:val="Normal"/>
        <w:bidi w:val="0"/>
        <w:jc w:val="left"/>
        <w:rPr>
          <w:lang w:val="pt-PT"/>
        </w:rPr>
      </w:pPr>
      <w:r>
        <w:rPr/>
        <w:t xml:space="preserve">Figura 5.4 </w:t>
      </w:r>
      <w:r>
        <w:rPr>
          <w:lang w:val="pt-PT"/>
        </w:rPr>
        <w:t>— Ferramentas para edição de modelo paramétrico na plataforma Hand Fab.</w:t>
      </w:r>
    </w:p>
    <w:p>
      <w:pPr>
        <w:pStyle w:val="Normal"/>
        <w:bidi w:val="0"/>
        <w:jc w:val="left"/>
        <w:rPr>
          <w:lang w:val="pt-PT"/>
        </w:rPr>
      </w:pPr>
      <w:r>
        <w:rPr>
          <w:lang w:val="pt-PT"/>
        </w:rPr>
        <w:t>Fonte: Produção própria.</w:t>
      </w:r>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3"/>
      <w:r>
        <w:rPr>
          <w:lang w:val="pt-PT"/>
        </w:rPr>
        <w:t>STL ou 3MF</w:t>
      </w:r>
      <w:r>
        <w:rPr>
          <w:lang w:val="pt-PT"/>
        </w:rPr>
      </w:r>
      <w:commentRangeEnd w:id="13"/>
      <w:r>
        <w:commentReference w:id="13"/>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rStyle w:val="FootnoteReference"/>
          <w:i/>
          <w:iCs/>
          <w:lang w:val="pt-PT"/>
        </w:rPr>
        <w:footnoteReference w:id="16"/>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Normal"/>
        <w:bidi w:val="0"/>
        <w:jc w:val="left"/>
        <w:rPr>
          <w:lang w:val="pt-PT"/>
        </w:rPr>
      </w:pPr>
      <w:r>
        <w:rP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w:t>
      </w:r>
      <w:r>
        <w:rPr>
          <w:rStyle w:val="FootnoteReference"/>
        </w:rPr>
        <w:footnoteReference w:id="17"/>
      </w:r>
      <w:r>
        <w:rPr/>
        <w:t>, enquadrando essa capacidade numa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4"/>
      <w:r>
        <w:rPr>
          <w:lang w:val="pt-PT"/>
        </w:rPr>
        <w:t>No caso do Paraglider Hand, também conhecido como Flexible Flyer, a integração partiu de uma mão mecânica acionada pelo corpo, derivada da linhagem Phoenix e UnLimbited.</w:t>
      </w:r>
      <w:r>
        <w:rPr>
          <w:lang w:val="pt-PT"/>
        </w:rPr>
      </w:r>
      <w:commentRangeEnd w:id="14"/>
      <w:r>
        <w:commentReference w:id="14"/>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5"/>
      <w:r>
        <w:rPr>
          <w:lang w:val="pt-PT"/>
        </w:rPr>
        <w:t>parâmetros de hardware</w:t>
      </w:r>
      <w:r>
        <w:rPr>
          <w:lang w:val="pt-PT"/>
        </w:rPr>
      </w:r>
      <w:commentRangeEnd w:id="15"/>
      <w:r>
        <w:commentReference w:id="15"/>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w:t>
      </w:r>
      <w:r>
        <w:rPr/>
        <w:t>A primeira vantagem é a explicitação da estrutura paramétrica, uma vez que permite identificar quais variáveis são editáveis, quais são os seus intervalos válidos e de que modo se articulam com os controlos disponibilizados pela interface.</w:t>
      </w:r>
      <w:r>
        <w:rPr>
          <w:lang w:val="pt-PT"/>
        </w:rPr>
        <w:t xml:space="preserv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w:t>
      </w:r>
      <w:r>
        <w:rPr/>
        <w:t xml:space="preserve">Cada configuração registada pode, assim, ser entendida como uma instância documentada do processo de personalização, passível de recuperação, comparação e revisão, e não apenas como um ficheiro transitório. </w:t>
      </w:r>
      <w:r>
        <w:rPr>
          <w:lang w:val="pt-PT"/>
        </w:rPr>
        <w:t>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6"/>
      <w:r>
        <w:rPr>
          <w:lang w:val="pt-PT"/>
        </w:rPr>
        <w:t>SQLite</w:t>
      </w:r>
      <w:r>
        <w:rPr>
          <w:lang w:val="pt-PT"/>
        </w:rPr>
      </w:r>
      <w:commentRangeEnd w:id="16"/>
      <w:r>
        <w:commentReference w:id="16"/>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7"/>
      <w:r>
        <w:rPr>
          <w:lang w:val="pt-PT"/>
        </w:rPr>
        <w:t>IA</w:t>
      </w:r>
      <w:r>
        <w:rPr>
          <w:lang w:val="pt-PT"/>
        </w:rPr>
      </w:r>
      <w:commentRangeEnd w:id="17"/>
      <w:r>
        <w:commentReference w:id="17"/>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18"/>
      <w:r>
        <w:rPr>
          <w:lang w:val="pt-PT"/>
        </w:rPr>
        <w:t>EMG</w:t>
      </w:r>
      <w:r>
        <w:rPr>
          <w:lang w:val="pt-PT"/>
        </w:rPr>
      </w:r>
      <w:commentRangeEnd w:id="18"/>
      <w:r>
        <w:commentReference w:id="18"/>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Neste enquadramento, a IA é tratada como camada complementar de apoio à configuração, operando sobre uma base paramétrica já definida. A literatura sobre próteses parametrizadas, dedos protésicos personalizados e encaixes transradiais confirma a utilidade de modelos explícitos e ajustáveis; neste sistema, esse princípio é retomado sem atribuir à IA a geração autónoma da geometria (da Silveira Romero et al., 2025 (#ref-da-silveira-romero-2025); Lim et al., 2018 (#ref-lim-2018); Saldarriaga et al., 2024 (#ref-saldarriaga-2024)).</w:t>
      </w:r>
      <w:r>
        <w:rPr/>
        <w:commentReference w:id="19"/>
      </w:r>
    </w:p>
    <w:p>
      <w:pPr>
        <w:pStyle w:val="Normal"/>
        <w:bidi w:val="0"/>
        <w:jc w:val="left"/>
        <w:rPr>
          <w:lang w:val="pt-PT"/>
        </w:rPr>
      </w:pPr>
      <w:r>
        <w:rPr>
          <w:lang w:val="pt-PT"/>
        </w:rPr>
        <w:t>A sua função específica é mediar a passagem entre dados de entrada e exploração inicial do espaço paramétrico: sugere valores plausíveis, sinaliza dependências e reduz a complexidade da configuração manual, sem substituir interpretação humana nem validação técnica. Esta posição aproxima-se de abordagens data-driven orientadas à adaptação estrutural e ao conforto (Gu et al., 2024 (#ref-gu-2024)).</w:t>
      </w:r>
      <w:r>
        <w:rPr/>
        <w:commentReference w:id="20"/>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descrita no capítulo anterior: a interface, a lógica paramétrica, a renderização local e a chamada à IA mantêm funções separadas. A IA reforça um processo já estruturado por regras, fabrico e responsabilidade humana, em vez de prometer automatização total (Romero et al., 2025 (#ref-da-silveira-romero-2025); Elbreki et al., 2022 (#ref-elbreki-2022); Idris et al., 2024 (#ref-idris-2024)).</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personalização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efetivamente implementada no protótipo e a sua relação com os modelos paramétricos disponibilizados na plataforma.</w:t>
      </w:r>
    </w:p>
    <w:p>
      <w:pPr>
        <w:pStyle w:val="Normal"/>
        <w:rPr/>
      </w:pPr>
      <w:r>
        <w:rPr/>
        <w:t>Tabela 6.1 — Especificação técnica dos modelos de IA e do contrato de sugestão paramétrica</w:t>
      </w:r>
    </w:p>
    <w:tbl>
      <w:tblPr>
        <w:tblW w:w="9026" w:type="dxa"/>
        <w:jc w:val="left"/>
        <w:tblInd w:w="103"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Elemento</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Especificação no protótipo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Função da IA</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Sugestão inicial de parâmetros antropométricos e geométricos a partir de descrições em linguagem natural; não gera autonomamente a geometria final nem valida clinicamente a prótese.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Endpoint de integração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rPr>
              <w:t>POST /api/ai/suggest</w:t>
            </w:r>
            <w:r>
              <w:rPr/>
              <w:t>, através de chamada autenticada e limitada por frequência, com as chaves de API mantidas no servidor.</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Fornecedor e modelo usados na validação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 xml:space="preserve">Anthropic, com o modelo </w:t>
            </w:r>
            <w:r>
              <w:rPr>
                <w:rFonts w:ascii="Consolas" w:hAnsi="Consolas"/>
              </w:rPr>
              <w:t>claude-sonnet-4-6</w:t>
            </w:r>
            <w:r>
              <w:rPr/>
              <w:t>, definido como opção predefinida no backend do protótipo.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Modelo alternativo disponibilizado</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 xml:space="preserve">OpenAI, com o modelo </w:t>
            </w:r>
            <w:r>
              <w:rPr>
                <w:rFonts w:ascii="Consolas" w:hAnsi="Consolas"/>
              </w:rPr>
              <w:t>gpt-4</w:t>
            </w:r>
            <w:r>
              <w:rPr/>
              <w:t>, acessível através da mesma rota de sugestão paramétrica.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Seleção do fornecedor</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 xml:space="preserve">A interface permite escolher entre </w:t>
            </w:r>
            <w:r>
              <w:rPr>
                <w:rFonts w:ascii="Consolas" w:hAnsi="Consolas"/>
              </w:rPr>
              <w:t>Anthropic (Claude)</w:t>
            </w:r>
            <w:r>
              <w:rPr/>
              <w:t xml:space="preserve"> e </w:t>
            </w:r>
            <w:r>
              <w:rPr>
                <w:rFonts w:ascii="Consolas" w:hAnsi="Consolas"/>
              </w:rPr>
              <w:t>OpenAI (GPT-4)</w:t>
            </w:r>
            <w:r>
              <w:rPr/>
              <w:t xml:space="preserve">; o pedido enviado ao servidor identifica o fornecedor através do campo </w:t>
            </w:r>
            <w:r>
              <w:rPr>
                <w:rFonts w:ascii="Consolas" w:hAnsi="Consolas"/>
              </w:rPr>
              <w:t>provider</w:t>
            </w:r>
            <w:r>
              <w:rPr/>
              <w:t>.</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Contrato de resposta</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Objeto JSON simples no formato parâmetro-valor; chaves desconhecidas são rejeitadas ou ignoradas e apenas parâmetros pertencentes ao modelo ativo podem ser aplicados.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Enquadramento dos dados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O pedido inclui o esquema vivo do modelo, limites mínimos e máximos, valores correntes, legendas dos parâmetros e, quando disponível, médias de perfis antropométricos populacionais.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Modelos CAD parametrizados abrangidos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Flexy Beast, Paraglider Hand e UnLimbited Phoenix, cada um com parâmetros, limites e mecanismos de escala próprios.</w:t>
            </w:r>
          </w:p>
        </w:tc>
      </w:tr>
    </w:tbl>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É por isso que, nesta investigação, a personalização assistida por IA deve ser entendida como uma prática de human-in-the-loop. O sistema procura ampliar a capacidade de análise e exploração do protesista, do designer ou do utilizador informado: sugere configurações iniciais, organiza alternativas e explicita dependências, mas a aceitação final continua dependente de verificação técnica e julgamento contextual.</w:t>
      </w:r>
      <w:r>
        <w:rPr/>
        <w:commentReference w:id="21"/>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uma verificação interna da consistência numérica e da coerência paramétrica, e não como validação clínica da prótese final.</w:t>
      </w:r>
    </w:p>
    <w:p>
      <w:pPr>
        <w:pStyle w:val="Normal"/>
        <w:bidi w:val="0"/>
        <w:jc w:val="left"/>
        <w:rPr>
          <w:lang w:val="pt-PT"/>
        </w:rPr>
      </w:pP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w:t>
      </w:r>
      <w:r>
        <w:rPr/>
        <w:t>O terceiro critério foi a coerência com intervalos antropométricos adultos, usando como referência os intervalos já adotados no sistema.</w:t>
      </w:r>
      <w:r>
        <w:rPr>
          <w:lang w:val="pt-PT"/>
        </w:rPr>
        <w:t xml:space="preserve">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2"/>
      <w:r>
        <w:rPr>
          <w:lang w:val="pt-PT"/>
        </w:rPr>
        <w:t>O protocolo considerou dois grupos de perfis: cinco descrições apenas demográficas ou contextuais e três cenários de amputação unilateral com diferentes níveis de medição. A função desta secção é delimitar o desenho do ensaio; os resultados detalhados, incluindo a resposta a entradas completas, parciais ou apenas demográficas, são apresentados na Secção 8.2.</w:t>
      </w:r>
      <w:commentRangeEnd w:id="22"/>
      <w:r>
        <w:commentReference w:id="22"/>
      </w:r>
      <w:r>
        <w:rPr>
          <w:lang w:val="pt-PT"/>
        </w:rPr>
      </w:r>
    </w:p>
    <w:p>
      <w:pPr>
        <w:pStyle w:val="Normal"/>
        <w:bidi w:val="0"/>
        <w:jc w:val="left"/>
        <w:rPr>
          <w:lang w:val="pt-PT"/>
        </w:rPr>
      </w:pPr>
      <w:r>
        <w:rPr>
          <w:lang w:val="pt-PT"/>
        </w:rPr>
        <w:t>A verificação prolongou-se depois da resposta numérica até à exportação dos modelos em STL e 3MF, etapa necessária para confirmar a continuidade entre sugestão paramétrica e geometria produzida.</w:t>
      </w:r>
    </w:p>
    <w:p>
      <w:pPr>
        <w:pStyle w:val="Normal"/>
        <w:bidi w:val="0"/>
        <w:jc w:val="left"/>
        <w:rPr>
          <w:lang w:val="pt-PT"/>
        </w:rPr>
      </w:pPr>
      <w:r>
        <w:rPr>
          <w:lang w:val="pt-PT"/>
        </w:rPr>
        <w:t>Essa etapa incidiu sobre os três modelos ativos da plataforma - Flexy Beast, Paraglider Hand e UnLimbited Phoenix - e os seus resultados são analisados na Secção 8.3.</w:t>
      </w:r>
      <w:r>
        <w:rPr/>
        <w:commentReference w:id="23"/>
      </w:r>
    </w:p>
    <w:p>
      <w:pPr>
        <w:pStyle w:val="Normal"/>
        <w:bidi w:val="0"/>
        <w:jc w:val="left"/>
        <w:rPr>
          <w:lang w:val="pt-PT"/>
        </w:rPr>
      </w:pPr>
      <w:r>
        <w:rPr>
          <w:lang w:val="pt-PT"/>
        </w:rPr>
        <w:t>A lateralidade foi incluída no protocolo como critério crítico, mas a descrição completa da falha observada e da correção determinística fica concentrada na Secção 8.2. Esta opção evita duplicar aqui a narrativa dos resultados e mantém a Secção 6.3 centrada no desenho da validação e nos seus limites.</w:t>
      </w:r>
    </w:p>
    <w:p>
      <w:pPr>
        <w:pStyle w:val="Normal"/>
        <w:bidi w:val="0"/>
        <w:jc w:val="left"/>
        <w:rPr>
          <w:lang w:val="pt-PT"/>
        </w:rPr>
      </w:pPr>
      <w:r>
        <w:rPr>
          <w:lang w:val="pt-PT"/>
        </w:rPr>
        <w:t>Deste modo, esta secção estabelece o alcance metodológico da validação antropométrica assistida por IA: verificar consistência interna, continuidade entre linguagem natural e parâmetros, e necessidade de revisão humana antes de qualquer utilização funcional ou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 (Panchal et al., 2019 (#ref-panchal-2019); Yüksel et al., 2023 (#ref-yuksel-2023)).</w:t>
      </w:r>
    </w:p>
    <w:p>
      <w:pPr>
        <w:pStyle w:val="Normal"/>
        <w:bidi w:val="0"/>
        <w:jc w:val="left"/>
        <w:rPr>
          <w:lang w:val="pt-PT"/>
        </w:rPr>
      </w:pPr>
      <w:r>
        <w:rPr>
          <w:lang w:val="pt-PT"/>
        </w:rPr>
        <w:t>A Figura 6.1 sintetiza a relação entre os desafios de tornar os sistemas de IA compreensíveis e os princípios de IA responsável. No contexto desta investigação, a figura é útil porque evidencia que a responsabilidade em sistemas de IA resulta da articulação entre desempenho preditivo, transparência, possibilidade de verificação, privacidade, justiça e prestação de contas. Estes princípios reforçam a opção do sistema por uma IA de apoio,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24"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descr="Image 17"/>
                    <pic:cNvPicPr>
                      <a:picLocks noChangeAspect="1" noChangeArrowheads="1"/>
                    </pic:cNvPicPr>
                  </pic:nvPicPr>
                  <pic:blipFill>
                    <a:blip r:embed="rId35"/>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compreensão dos sistemas de IA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36">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acede às configurações e comunicar que a IA apoia a configuração sem assumir autoridade técnica ou clínica. Esta delimitação evita deslocamentos indevidos de responsabilidade e define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tornar acessível, através da interface, um sistema de modelação paramétrica baseado em código. Em vez de exigir contacto direto com a estrutura interna do modelo, a aplicação organiza a interação em torno de ações reconhecíveis e progressivas: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4"/>
      <w:r>
        <w:rPr>
          <w:lang w:val="pt-PT"/>
        </w:rPr>
        <w:t>UI/UX</w:t>
      </w:r>
      <w:r>
        <w:rPr>
          <w:lang w:val="pt-PT"/>
        </w:rPr>
      </w:r>
      <w:commentRangeEnd w:id="24"/>
      <w:r>
        <w:commentReference w:id="24"/>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compreensão dos efeitos de cada ação e o registo das alterações, mediando a passagem entre os dados do utilizador, as regras paramétricas, a assistência algorítmica e o resultado tridimensional.</w:t>
      </w:r>
    </w:p>
    <w:p>
      <w:pPr>
        <w:pStyle w:val="Normal"/>
        <w:bidi w:val="0"/>
        <w:jc w:val="left"/>
        <w:rPr>
          <w:lang w:val="pt-PT"/>
        </w:rPr>
      </w:pPr>
      <w:r>
        <w:rPr>
          <w:lang w:val="pt-PT"/>
        </w:rPr>
        <w:t>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Para o designer, técnico especialista em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25"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18" descr="Image 18"/>
                    <pic:cNvPicPr>
                      <a:picLocks noChangeAspect="1" noChangeArrowheads="1"/>
                    </pic:cNvPicPr>
                  </pic:nvPicPr>
                  <pic:blipFill>
                    <a:blip r:embed="rId37"/>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 xml:space="preserve">Uma interface bem desenhada pode criar a sensação de evidência ou de neutralidade em decisões que continuam condicionadas por critérios de projeto, pressupostos técnicos e escolhas interpretativas. </w:t>
      </w:r>
      <w:r>
        <w:rPr/>
        <w:t>O facto de um parâmetro ser apresentado como controlo disponível, ou de uma sugestão aparentar coerência técnica, não significa que a solução esteja validada ou que represente a opção mais adequada em todos os contextos.</w:t>
      </w:r>
    </w:p>
    <w:p>
      <w:pPr>
        <w:pStyle w:val="Normal"/>
        <w:bidi w:val="0"/>
        <w:jc w:val="left"/>
        <w:rPr>
          <w:lang w:val="pt-PT"/>
        </w:rPr>
      </w:pPr>
      <w:r>
        <w:rPr>
          <w:lang w:val="pt-PT"/>
        </w:rPr>
        <w:t>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u w:val="double"/>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a coerência técnica do modelo paramétrico, o funcionamento da plataforma digital e a consistência das sugestões assistidas por IA face aos critérios numéricos e paramétricos definidos.</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critérios mínimos de consistência numérica, paramétrica e geométrica antes da preparação para fabrico.</w:t>
      </w:r>
    </w:p>
    <w:p>
      <w:pPr>
        <w:pStyle w:val="Normal"/>
        <w:bidi w:val="0"/>
        <w:jc w:val="left"/>
        <w:rPr>
          <w:lang w:val="pt-PT"/>
        </w:rPr>
      </w:pPr>
      <w:r>
        <w:rPr/>
        <w:t>A avaliação de conforto, desempenho funcional em uso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t>A validação foi depois prolongada para prototipagem física. Com base nos resultados dos testes de perfil, foram selecionadas configurações representativas dos cenários avaliados, incluindo perfis de mão pequena, perfil adulto feminino e perfil adulto masculino. Nos testes de impressão, estas configurações foram geradas a partir do mesmo perfil de base criado na plataforma, alterando-se a idade como variável controlada para observar a forma como o sistema propagava essa alteração para a geometria exportada e para a viabilidade de impressão. Estas geometrias foram exportadas em STL/3MF, preparadas e impressas com os programas, materiais e equipamentos definidos na metodologia, para verificar a passagem do modelo exportado ao protótipo físico.</w:t>
      </w:r>
    </w:p>
    <w:p>
      <w:pPr>
        <w:pStyle w:val="Normal"/>
        <w:bidi w:val="0"/>
        <w:jc w:val="left"/>
        <w:rPr>
          <w:lang w:val="pt-PT"/>
        </w:rPr>
      </w:pPr>
      <w:r>
        <w:rPr/>
        <w:t>A validação física seguiu cinco verificações principais: compatibilidade do ficheiro exportado com o software de preparação para impressão, ausência de falhas críticas de malha ou escala, conclusão da impressão sem defeitos impeditivos, inspeção visual e dimensional das zonas críticas e, quando aplicável, teste de encaixe ou montagem entre componentes. Esta etapa não teve como objetivo demonstrar eficácia clínica, conforto de uso ou durabilidade prolongada; o seu objetivo foi confirmar que os resultados dos perfis testados podiam atravessar a cadeia completa perfil -&gt; parâmetros -&gt; OpenSCAD/WebAssembly -&gt; STL/3MF -&gt; impressão 3D, mantendo coerência geométrica e viabilidade produtiva.</w:t>
      </w:r>
    </w:p>
    <w:p>
      <w:pPr>
        <w:pStyle w:val="Normal"/>
        <w:rPr/>
      </w:pPr>
      <w:r>
        <w:rPr/>
      </w:r>
    </w:p>
    <w:p>
      <w:pPr>
        <w:pStyle w:val="Normal"/>
        <w:bidi w:val="0"/>
        <w:jc w:val="left"/>
        <w:rPr>
          <w:lang w:val="pt-PT"/>
        </w:rPr>
      </w:pPr>
      <w:r>
        <w:rPr/>
        <w:t>A Tabela 8.1 sintetiza os resultados observados nas impressões realizadas. A leitura deve ser entendida como registo técnico preliminar de produção e verificação material, e não como ensaio mecânico normalizado ou validação clínica.</w:t>
      </w:r>
    </w:p>
    <w:p>
      <w:pPr>
        <w:pStyle w:val="Normal"/>
        <w:rPr/>
      </w:pPr>
      <w:r>
        <w:rPr/>
      </w:r>
    </w:p>
    <w:p>
      <w:pPr>
        <w:pStyle w:val="Normal"/>
        <w:bidi w:val="0"/>
        <w:jc w:val="left"/>
        <w:rPr>
          <w:lang w:val="pt-PT"/>
        </w:rPr>
      </w:pPr>
      <w:r>
        <w:rPr/>
        <w:t>Tabela 8.1 — Síntese dos resultados da validação por impressão 3D</w:t>
      </w:r>
    </w:p>
    <w:p>
      <w:pPr>
        <w:pStyle w:val="Normal"/>
        <w:bidi w:val="0"/>
        <w:jc w:val="left"/>
        <w:rPr>
          <w:lang w:val="pt-PT"/>
        </w:rPr>
      </w:pPr>
      <w:r>
        <w:rPr>
          <w:lang w:val="pt-PT"/>
        </w:rPr>
      </w:r>
    </w:p>
    <w:tbl>
      <w:tblPr>
        <w:tblStyle w:val="TableGrid"/>
        <w:tblW w:w="5000" w:type="pct"/>
        <w:jc w:val="left"/>
        <w:tblInd w:w="103" w:type="dxa"/>
        <w:tblLayout w:type="fixed"/>
        <w:tblCellMar>
          <w:top w:w="0" w:type="dxa"/>
          <w:left w:w="108" w:type="dxa"/>
          <w:bottom w:w="0" w:type="dxa"/>
          <w:right w:w="108" w:type="dxa"/>
        </w:tblCellMar>
      </w:tblPr>
      <w:tblGrid>
        <w:gridCol w:w="1342"/>
        <w:gridCol w:w="892"/>
        <w:gridCol w:w="2835"/>
        <w:gridCol w:w="3957"/>
      </w:tblGrid>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Configuração testada</w:t>
            </w:r>
          </w:p>
        </w:tc>
        <w:tc>
          <w:tcPr>
            <w:tcW w:w="892" w:type="dxa"/>
            <w:tcBorders>
              <w:top w:val="single" w:sz="4" w:space="0" w:color="808080"/>
              <w:left w:val="single" w:sz="4" w:space="0" w:color="808080"/>
              <w:bottom w:val="single" w:sz="4" w:space="0" w:color="808080"/>
              <w:right w:val="single" w:sz="4" w:space="0" w:color="808080"/>
            </w:tcBorders>
          </w:tcPr>
          <w:p>
            <w:pPr>
              <w:pStyle w:val="Normal"/>
              <w:rPr/>
            </w:pPr>
            <w:r>
              <w:rPr/>
              <w:t>Material</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Verificações realizadas</w:t>
            </w:r>
          </w:p>
        </w:tc>
        <w:tc>
          <w:tcPr>
            <w:tcW w:w="3957" w:type="dxa"/>
            <w:tcBorders>
              <w:top w:val="single" w:sz="4" w:space="0" w:color="808080"/>
              <w:left w:val="single" w:sz="4" w:space="0" w:color="808080"/>
              <w:bottom w:val="single" w:sz="4" w:space="0" w:color="808080"/>
              <w:right w:val="single" w:sz="4" w:space="0" w:color="808080"/>
            </w:tcBorders>
          </w:tcPr>
          <w:p>
            <w:pPr>
              <w:pStyle w:val="Normal"/>
              <w:rPr/>
            </w:pPr>
            <w:r>
              <w:rPr/>
              <w:t>Resultado observado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2"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zonas finas</w:t>
            </w:r>
          </w:p>
        </w:tc>
        <w:tc>
          <w:tcPr>
            <w:tcW w:w="3957"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sem defeitos impeditivos; geometria imprimível, mantendo necessidade de atenção às espessuras nas zonas reduzidas.</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2"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encaixe preliminar</w:t>
            </w:r>
          </w:p>
        </w:tc>
        <w:tc>
          <w:tcPr>
            <w:tcW w:w="3957"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comportamento material menos frágil na manipulação e no encaixe preliminar.</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2"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integridade formal</w:t>
            </w:r>
          </w:p>
        </w:tc>
        <w:tc>
          <w:tcPr>
            <w:tcW w:w="3957"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proporções e escala mantiveram coerência com o modelo exportado.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2"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zonas críticas e montagem preliminar</w:t>
            </w:r>
          </w:p>
        </w:tc>
        <w:tc>
          <w:tcPr>
            <w:tcW w:w="3957"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zonas críticas e encaixes verificáveis no protótipo físico.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2"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 escala aumentada</w:t>
            </w:r>
          </w:p>
        </w:tc>
        <w:tc>
          <w:tcPr>
            <w:tcW w:w="3957"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a escala maior não impediu a produção do protótipo.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2"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montagem preliminar</w:t>
            </w:r>
          </w:p>
        </w:tc>
        <w:tc>
          <w:tcPr>
            <w:tcW w:w="3957"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manipulação preliminar sem falhas impeditivas observadas.</w:t>
            </w:r>
          </w:p>
        </w:tc>
      </w:tr>
    </w:tbl>
    <w:p>
      <w:pPr>
        <w:pStyle w:val="Normal"/>
        <w:rPr/>
      </w:pPr>
      <w:r>
        <w:rPr/>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6"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19" descr="Image 19"/>
                    <pic:cNvPicPr>
                      <a:picLocks noChangeAspect="1" noChangeArrowheads="1"/>
                    </pic:cNvPicPr>
                  </pic:nvPicPr>
                  <pic:blipFill>
                    <a:blip r:embed="rId38"/>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8.2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consistência numérica e paramétrica das sugestões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t>Tabela 8.3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 xml:space="preserve">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w:t>
      </w:r>
      <w:r>
        <w:rPr/>
        <w:t>Esta variação entre execuções confirma que a avaliação deve privilegiar propriedades estáveis do sistema, taxas de aceitação das sugestões e comportamento em cenários com informação antropométrica limitada, reduzindo a centralidade de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8.4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t xml:space="preserve">Tabela 8.5 — Rácio adimensional da maior dimensão da palma exportada face ao </w:t>
      </w:r>
      <w:commentRangeStart w:id="25"/>
      <w:r>
        <w:rPr/>
        <w:t>baseline</w:t>
      </w:r>
      <w:commentRangeEnd w:id="25"/>
      <w:r>
        <w:commentReference w:id="25"/>
      </w:r>
      <w:r>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Esta etapa confirmou que a validação das sugestões de IA deve prolongar-se para além da resposta em JSON, pois a geometria exportada e a sua materialização por impressão 3D podem revelar dependências internas, limites de escala, problemas de espessura, folgas insuficientes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w:t>
      </w:r>
    </w:p>
    <w:p>
      <w:pPr>
        <w:pStyle w:val="Normal"/>
        <w:bidi w:val="0"/>
        <w:jc w:val="left"/>
        <w:rPr>
          <w:lang w:val="pt-PT"/>
        </w:rPr>
      </w:pPr>
      <w:r>
        <w:rPr>
          <w:lang w:val="pt-PT"/>
        </w:rPr>
        <w:t>A variação entre execuções produzida pela IA impede tratar uma saída isolada como prescrição fixa; a ausência de uma referência clínica direta limita a afirmação de precisão individual; e a lateralidade revelou-se um parâmetro crítico que deve permanecer sob controlo determinístico da plataforma.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e física demonstra que cada modelo transporta constrangimentos próprios: alguns aceitam escalas pequenas, outros impõem pisos mínimos ou preservam proporções globais herdadas do desenho original. A prototipagem física confirmou a viabilidade das configurações selecionadas, mas também reforçou que a passagem para o objeto físico deve ser tratada como etapa de verificação material e não como prova clínica. Consequentemente, os resultados são promissores enquanto validação de coerência interna, acessibilidade paramétrica e viabilidade de prototipagem, mas permanecem preliminares enquanto validação protésica.</w:t>
      </w:r>
    </w:p>
    <w:p>
      <w:pPr>
        <w:pStyle w:val="Normal"/>
        <w:bidi w:val="0"/>
        <w:jc w:val="left"/>
        <w:rPr>
          <w:lang w:val="pt-PT"/>
        </w:rPr>
      </w:pPr>
      <w:r>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a exportação em STL/3MF, a preparação para impressão e a impressão 3D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em síntese, que as sugestões respeitaram os limites do modelo, preservaram proporções anatómicas e se adaptaram à riqueza variável das entradas, desde medições completas até descrições apenas contextuais.</w:t>
      </w:r>
    </w:p>
    <w:p>
      <w:pPr>
        <w:pStyle w:val="Normal"/>
        <w:bidi w:val="0"/>
        <w:jc w:val="left"/>
        <w:rPr>
          <w:lang w:val="pt-PT"/>
        </w:rPr>
      </w:pPr>
      <w:r>
        <w:rPr/>
        <w:t>A validação geométrica e a prototipagem física acrescentaram uma verificação indispensável: a cadeia até STL/3MF e impressão 3D revelou constrangimentos de escala, dependências do código original, zonas críticas e montagem preliminar que a resposta numérica isolada não evidenciava.</w:t>
      </w:r>
    </w:p>
    <w:p>
      <w:pPr>
        <w:pStyle w:val="Normal"/>
        <w:bidi w:val="0"/>
        <w:jc w:val="left"/>
        <w:rPr>
          <w:lang w:val="pt-PT"/>
        </w:rPr>
      </w:pPr>
      <w:r>
        <w:rPr/>
        <w:t>A avaliação centrada no utilizador reforçou a mesma conclusão metodológica: a acessibilidade paramétrica depende tanto da inferência da IA como de salvaguardas explícitas na interface, em particular para lateralidade, adequação do modelo escolhido e proveniência das estimativas.</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 xml:space="preserve">O alcance das conclusões deve ser entendido a partir do caráter metodológico e técnico da validação realizada. </w:t>
      </w:r>
      <w:r>
        <w:rPr/>
        <w:t>A avaliação incidiu sobre perfis simulados, dados secundários e critérios internos de verificação numérica e coerência paramétrica, deixando para investigação futura os testes com utilizadores reais, as avaliações clínicas, as medições diretas de conforto, os ensaios funcionais prolongados e a validação biomecânica completa.</w:t>
      </w:r>
    </w:p>
    <w:p>
      <w:pPr>
        <w:pStyle w:val="Normal"/>
        <w:bidi w:val="0"/>
        <w:jc w:val="left"/>
        <w:rPr>
          <w:lang w:val="pt-PT"/>
        </w:rPr>
      </w:pPr>
      <w:r>
        <w:rPr>
          <w:lang w:val="pt-PT"/>
        </w:rPr>
        <w:t>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O carácter probabilístico das respostas da IA deve ser avaliado através de múltiplas extrações por perfil, reportando valores médios, dispersão e taxas de aprovação das propriedades estáveis do sistema.</w:t>
      </w:r>
    </w:p>
    <w:p>
      <w:pPr>
        <w:pStyle w:val="Normal"/>
        <w:bidi w:val="0"/>
        <w:jc w:val="left"/>
        <w:rPr>
          <w:lang w:val="pt-PT"/>
        </w:rPr>
      </w:pPr>
      <w:r>
        <w:rPr>
          <w:lang w:val="pt-PT"/>
        </w:rPr>
        <w:t>A comparação com bases de dados antropométricas ou medições reais permitiria evoluir de uma verificação interna de coerência para uma estimativa mais rigorosa do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a validação física inicial deve ser aprofundada através de ensaios mais sistemáticos de montagem, controlo de tolerâncias, resistência, desgaste, consistência entre impressões sucessivas e adequação ao uso.</w:t>
      </w:r>
    </w:p>
    <w:p>
      <w:pPr>
        <w:pStyle w:val="Normal"/>
        <w:bidi w:val="0"/>
        <w:jc w:val="left"/>
        <w:rPr>
          <w:lang w:val="pt-PT"/>
        </w:rPr>
      </w:pPr>
      <w:r>
        <w:rPr>
          <w:lang w:val="pt-PT"/>
        </w:rPr>
        <w:t>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ao material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clareza com que a interface comunica o processo de configuração, a confiança nas sugestões, a distribuição de responsabilidade e a utilidade real do fluxo em contextos de prototipagem.</w:t>
      </w:r>
    </w:p>
    <w:p>
      <w:pPr>
        <w:pStyle w:val="Normal"/>
        <w:bidi w:val="0"/>
        <w:jc w:val="left"/>
        <w:rPr>
          <w:lang w:val="pt-PT"/>
        </w:rPr>
      </w:pPr>
      <w:r>
        <w:rPr>
          <w:lang w:val="pt-PT"/>
        </w:rPr>
        <w:t>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rPr/>
      </w:pPr>
      <w:r>
        <w:rPr/>
      </w:r>
    </w:p>
    <w:p>
      <w:pPr>
        <w:pStyle w:val="Heading3"/>
        <w:rPr/>
      </w:pPr>
      <w:r>
        <w:rPr/>
        <w:t>A.4 Processo de Extração de Dados</w:t>
      </w:r>
    </w:p>
    <w:p>
      <w:pPr>
        <w:pStyle w:val="Heading3"/>
        <w:rPr/>
      </w:pPr>
      <w:r>
        <w:rPr/>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personalização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O trabalho de Moreo (2016), dissertação de mestrado sobre design paramétrico de prótese de mão para crianças.</w:t>
      </w:r>
    </w:p>
    <w:p>
      <w:pPr>
        <w:pStyle w:val="Normal"/>
        <w:rPr/>
      </w:pPr>
      <w:r>
        <w:rPr/>
        <w:t>A Tabela 6.1 apresenta valores percentílicos de comprimento de dedo por grupo etário, mas estes valores são extraídos da base de dados DINED (TU Delft, n=965 crianças neerlandesas) — Uma vez que não constituem uma recolha primária por parte do autor, a inclusão destes valores equivaleria a duplicar uma fonte secundária sem ligação direta verificável ao estudo DINED original.</w:t>
      </w:r>
    </w:p>
    <w:p>
      <w:pPr>
        <w:pStyle w:val="Normal"/>
        <w:rPr>
          <w:b/>
        </w:rPr>
      </w:pP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o processo foi implementado em Python puro, sem dependências externas, de modo a reduzir variações associadas ao ambiente de execução e a assegurar que o ficheiro possa ser regenerado de forma consistente a partir das mesmas entradas.</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Registo completo do processo</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Heading3"/>
        <w:rPr/>
      </w:pPr>
      <w:r>
        <w:rPr/>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origem verificável dos dados — cada valor está imediatamente associado à respetiva citação e nota metodológica; (2) regeneração consistente dos dados — a execução do script produz novamente o CSV a partir das mesmas regras e dos mesmos valores de origem;</w:t>
        <w:br/>
        <w:t xml:space="preserve">(3) controlo de versões — as alterações aos dados tornam-se visíveis no </w:t>
      </w:r>
      <w:r>
        <w:rPr>
          <w:rStyle w:val="SourceText"/>
        </w:rPr>
        <w:t>diff</w:t>
      </w:r>
      <w:r>
        <w:rPr/>
        <w:t xml:space="preserve"> do Git, permitindo identificar que estudo foi modificado e em que contexto.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rFonts w:ascii="Consolas" w:hAnsi="Consolas"/>
          <w:sz w:val="20"/>
        </w:rPr>
      </w:pPr>
      <w:r>
        <w:rPr>
          <w:rFonts w:ascii="Consolas" w:hAnsi="Consolas"/>
          <w:sz w:val="20"/>
        </w:rPr>
        <w:t>A base de dados foi construída com o objetivo de reunir dados sobre a variação antropométrica da mão humana em diferentes dimensões de análise, incluindo distribuição geográfica, características demográficas, grupos etários e tipos de estatística descritiva disponíveis.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variações antropométricas documentadas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2T12:45:07Z" w:initials="">
    <w:p>
      <w:pPr>
        <w:overflowPunct w:val="true"/>
        <w:rPr/>
      </w:pPr>
      <w:r>
        <w:annotationRef/>
      </w:r>
      <w:r>
        <w:rPr>
          <w:lang w:val="pt-PT"/>
        </w:rPr>
        <w:t>Encontrar alternativa</w:t>
      </w:r>
    </w:p>
  </w:comment>
  <w:comment w:id="1"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2" w:author="Unknown Author" w:date="2026-06-30T20:08:54Z" w:initials="">
    <w:p>
      <w:pPr>
        <w:overflowPunct w:val="false"/>
        <w:bidi w:val="0"/>
        <w:rPr/>
      </w:pPr>
      <w:r>
        <w:annotationRef/>
      </w:r>
      <w:r>
        <w:rPr>
          <w:lang w:val="pt-PT"/>
        </w:rPr>
        <w:t>Meter a norma na bibliografia</w:t>
      </w:r>
    </w:p>
  </w:comment>
  <w:comment w:id="3"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4" w:author="Unknown Author" w:date="2026-07-02T17:25:21Z" w:initials="">
    <w:p>
      <w:pPr>
        <w:overflowPunct w:val="true"/>
        <w:bidi w:val="0"/>
        <w:rPr/>
      </w:pPr>
      <w:r>
        <w:annotationRef/>
      </w:r>
      <w:r>
        <w:rPr>
          <w:lang w:val="pt-PT"/>
        </w:rPr>
        <w:t>Podemos adicionar aquele gráfico todo bonito que fizeste antes.</w:t>
      </w:r>
    </w:p>
  </w:comment>
  <w:comment w:id="5" w:author="Unknown Author" w:date="2026-07-02T17:57:37Z" w:initials="">
    <w:p>
      <w:pPr>
        <w:overflowPunct w:val="true"/>
        <w:bidi w:val="0"/>
        <w:rPr/>
      </w:pPr>
      <w:r>
        <w:annotationRef/>
      </w:r>
      <w:r>
        <w:rPr>
          <w:lang w:val="pt-PT"/>
        </w:rPr>
        <w:t>Aqui é que podemos meter o nosso gráfico bonitolas</w:t>
      </w:r>
    </w:p>
  </w:comment>
  <w:comment w:id="6" w:author="Unknown Author" w:date="2026-07-02T18:05:03Z" w:initials="">
    <w:p>
      <w:pPr>
        <w:overflowPunct w:val="true"/>
        <w:bidi w:val="0"/>
        <w:rPr/>
      </w:pPr>
      <w:r>
        <w:annotationRef/>
      </w:r>
      <w:r>
        <w:rPr>
          <w:lang w:val="pt-PT"/>
        </w:rPr>
        <w:t>Falo disto? Acho que não faço em PLA e PETG</w:t>
      </w:r>
    </w:p>
  </w:comment>
  <w:comment w:id="7" w:author="Unknown Author" w:date="2026-07-03T19:16:18Z" w:initials="">
    <w:p w14:paraId="01000000">
      <w:pPr>
        <w:overflowPunct w:val="false"/>
        <w:rPr/>
      </w:pPr>
      <w:r>
        <w:annotationRef/>
      </w:r>
      <w:r>
        <w:rPr>
          <w:lang w:val="pt-PT"/>
        </w:rPr>
        <w:t>Isto é a primeira vez que estás a falar do Openscad</w:t>
      </w:r>
    </w:p>
  </w:comment>
  <w:comment w:id="8" w:author="Unknown Author" w:date="2026-07-03T19:16:31Z" w:initials="">
    <w:p w14:paraId="02000000">
      <w:pPr>
        <w:overflowPunct w:val="false"/>
        <w:rPr/>
      </w:pPr>
      <w:r>
        <w:annotationRef/>
      </w:r>
      <w:r>
        <w:rPr>
          <w:lang w:val="pt-PT"/>
        </w:rPr>
        <w:t>É preciso dizer o que é STL e 3MF</w:t>
      </w:r>
    </w:p>
  </w:comment>
  <w:comment w:id="9" w:author="Unknown Author" w:date="2026-07-03T13:45:05Z" w:initials="">
    <w:p>
      <w:pPr>
        <w:overflowPunct w:val="true"/>
        <w:bidi w:val="0"/>
        <w:rPr/>
      </w:pPr>
      <w:r>
        <w:annotationRef/>
      </w:r>
      <w:r>
        <w:rPr>
          <w:lang w:val="pt-PT"/>
        </w:rPr>
        <w:t>Estás a entrar em modo repetição outra vez.</w:t>
      </w:r>
    </w:p>
  </w:comment>
  <w:comment w:id="10"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1" w:author="Unknown Author" w:date="2026-07-04T13:27:11Z" w:initials="">
    <w:p>
      <w:pPr>
        <w:overflowPunct w:val="false"/>
        <w:rPr/>
      </w:pPr>
      <w:r>
        <w:annotationRef/>
      </w:r>
      <w:r>
        <w:rPr>
          <w:lang w:val="pt-PT"/>
        </w:rPr>
        <w:t>Meter aqui umas imagens!</w:t>
      </w:r>
    </w:p>
  </w:comment>
  <w:comment w:id="12" w:author="Unknown Author" w:date="2026-07-04T15:20:50Z" w:initials="">
    <w:p>
      <w:pPr>
        <w:overflowPunct w:val="false"/>
        <w:rPr/>
      </w:pPr>
      <w:r>
        <w:annotationRef/>
      </w:r>
      <w:r>
        <w:rPr>
          <w:lang w:val="pt-PT"/>
        </w:rPr>
        <w:t>Vamos meter aqui uma imagem</w:t>
      </w:r>
    </w:p>
  </w:comment>
  <w:comment w:id="13" w:author="Unknown Author" w:date="2026-07-04T18:35:39Z" w:initials="">
    <w:p w14:paraId="03000000">
      <w:pPr>
        <w:overflowPunct w:val="false"/>
        <w:rPr/>
      </w:pPr>
      <w:r>
        <w:annotationRef/>
      </w:r>
      <w:r>
        <w:rPr>
          <w:lang w:val="pt-PT"/>
        </w:rPr>
        <w:t>Não te esqueças de adicionar ao indice estas siglas.</w:t>
      </w:r>
    </w:p>
  </w:comment>
  <w:comment w:id="14" w:author="Unknown Author" w:date="2026-07-04T18:51:43Z" w:initials="">
    <w:p w14:paraId="04000000">
      <w:pPr>
        <w:overflowPunct w:val="false"/>
        <w:rPr/>
      </w:pPr>
      <w:r>
        <w:annotationRef/>
      </w:r>
      <w:r>
        <w:rPr>
          <w:lang w:val="pt-PT"/>
        </w:rPr>
        <w:t>Faz sentido integrar uma parte sobre a E-nable e os modelos deles.</w:t>
      </w:r>
    </w:p>
  </w:comment>
  <w:comment w:id="15" w:author="Unknown Author" w:date="2026-07-04T18:53:29Z" w:initials="">
    <w:p>
      <w:pPr>
        <w:overflowPunct w:val="false"/>
        <w:rPr/>
      </w:pPr>
      <w:r>
        <w:annotationRef/>
      </w:r>
      <w:r>
        <w:rPr>
          <w:lang w:val="pt-PT"/>
        </w:rPr>
        <w:t>Parametros de hardware</w:t>
      </w:r>
    </w:p>
  </w:comment>
  <w:comment w:id="16" w:author="Unknown Author" w:date="2026-07-04T21:37:44Z" w:initials="">
    <w:p w14:paraId="05000000">
      <w:pPr>
        <w:overflowPunct w:val="false"/>
        <w:rPr/>
      </w:pPr>
      <w:r>
        <w:annotationRef/>
      </w:r>
      <w:r>
        <w:rPr>
          <w:lang w:val="pt-PT"/>
        </w:rPr>
        <w:t>Isto está no indice? Vai lá ver</w:t>
      </w:r>
    </w:p>
  </w:comment>
  <w:comment w:id="17" w:author="Unknown Author" w:date="2026-07-05T12:22:53Z" w:initials="">
    <w:p w14:paraId="06000000">
      <w:pPr>
        <w:overflowPunct w:val="false"/>
        <w:rPr/>
      </w:pPr>
      <w:r>
        <w:annotationRef/>
      </w:r>
      <w:r>
        <w:rPr>
          <w:lang w:val="pt-PT"/>
        </w:rPr>
        <w:t>Não esquecer de meter no índice</w:t>
      </w:r>
    </w:p>
  </w:comment>
  <w:comment w:id="18" w:author="Unknown Author" w:date="2026-07-05T12:26:47Z" w:initials="">
    <w:p w14:paraId="07000000">
      <w:pPr>
        <w:overflowPunct w:val="false"/>
        <w:rPr/>
      </w:pPr>
      <w:r>
        <w:annotationRef/>
      </w:r>
      <w:r>
        <w:rPr>
          <w:lang w:val="pt-PT"/>
        </w:rPr>
        <w:t>Adicionar uma nota a explicar e adicionar no indice a sigla</w:t>
      </w:r>
    </w:p>
  </w:comment>
  <w:comment w:id="19" w:author="Unknown Author" w:date="2026-07-05T14:28:24Z" w:initials="">
    <w:p>
      <w:pPr>
        <w:overflowPunct w:val="true"/>
        <w:rPr/>
      </w:pPr>
      <w:r>
        <w:annotationRef/>
      </w:r>
      <w:r>
        <w:rPr>
          <w:lang w:val="pt-PT"/>
        </w:rPr>
        <w:t>Isto é uma repetição</w:t>
      </w:r>
    </w:p>
  </w:comment>
  <w:comment w:id="20" w:author="Unknown Author" w:date="2026-07-05T14:29:31Z" w:initials="">
    <w:p>
      <w:pPr>
        <w:overflowPunct w:val="true"/>
        <w:rPr/>
      </w:pPr>
      <w:r>
        <w:annotationRef/>
      </w:r>
      <w:r>
        <w:rPr>
          <w:lang w:val="pt-PT"/>
        </w:rPr>
        <w:t>Inserir notas de rodapé</w:t>
      </w:r>
    </w:p>
  </w:comment>
  <w:comment w:id="21" w:author="Unknown Author" w:date="2026-07-05T15:25:09Z" w:initials="">
    <w:p>
      <w:pPr>
        <w:overflowPunct w:val="true"/>
        <w:rPr/>
      </w:pPr>
      <w:r>
        <w:annotationRef/>
      </w:r>
      <w:r>
        <w:rPr>
          <w:lang w:val="pt-PT"/>
        </w:rPr>
        <w:t>Inserir um comentário</w:t>
      </w:r>
    </w:p>
  </w:comment>
  <w:comment w:id="22" w:author="Unknown Author" w:date="2026-07-05T16:14:55Z" w:initials="">
    <w:p>
      <w:pPr>
        <w:overflowPunct w:val="true"/>
        <w:rPr/>
      </w:pPr>
      <w:r>
        <w:annotationRef/>
      </w:r>
      <w:r>
        <w:rPr>
          <w:lang w:val="pt-PT"/>
        </w:rPr>
        <w:t>Se calhar introduzir uma tabela com os prompts</w:t>
      </w:r>
    </w:p>
  </w:comment>
  <w:comment w:id="23" w:author="Unknown Author" w:date="2026-07-05T17:43:41Z" w:initials="">
    <w:p>
      <w:pPr>
        <w:overflowPunct w:val="false"/>
        <w:rPr/>
      </w:pPr>
      <w:r>
        <w:annotationRef/>
      </w:r>
      <w:r>
        <w:rPr>
          <w:lang w:val="pt-PT"/>
        </w:rPr>
        <w:t>Introduzir aqui uma tabela com valores</w:t>
      </w:r>
    </w:p>
  </w:comment>
  <w:comment w:id="24" w:author="Unknown Author" w:date="2026-07-05T19:22:29Z" w:initials="">
    <w:p>
      <w:pPr>
        <w:overflowPunct w:val="false"/>
        <w:rPr/>
      </w:pPr>
      <w:r>
        <w:annotationRef/>
      </w:r>
      <w:r>
        <w:rPr>
          <w:lang w:val="pt-PT"/>
        </w:rPr>
        <w:t>indice</w:t>
      </w:r>
    </w:p>
  </w:comment>
  <w:comment w:id="25" w:author="Unknown Author" w:date="2026-07-12T19:00:14Z" w:initials="">
    <w:p>
      <w:pPr>
        <w:overflowPunct w:val="true"/>
        <w:rPr/>
      </w:pPr>
      <w:r>
        <w:annotationRef/>
      </w:r>
      <w:r>
        <w:rPr>
          <w:lang w:val="pt-PT"/>
        </w:rPr>
        <w:t>Meter isto em português</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Ex w15:paraId="04000000" w15:done="1"/>
  <w15:commentEx w15:paraId="05000000" w15:done="1"/>
  <w15:commentEx w15:paraId="06000000" w15:done="1"/>
  <w15:commentEx w15:paraId="07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rStyle w:val="Emphasis"/>
        </w:rPr>
        <w:t xml:space="preserve"> </w:t>
      </w:r>
      <w:r>
        <w:rPr>
          <w:rStyle w:val="Emphasis"/>
        </w:rPr>
        <w:t>Virtual coaching</w:t>
      </w:r>
      <w:r>
        <w:rPr/>
        <w:t xml:space="preserve"> designa sistemas digitais de orientação e acompanhamento que fornecem instruções, recomendações ou feedback ao utilizador durante atividades de treino, reabilitação ou aprendizagem, apoiando a adaptação do programa ao seu desempenho e evolução.</w:t>
      </w:r>
    </w:p>
  </w:footnote>
  <w:footnote w:id="14">
    <w:p>
      <w:pPr>
        <w:pStyle w:val="FootnoteText"/>
        <w:rPr/>
      </w:pPr>
      <w:r>
        <w:rPr>
          <w:rStyle w:val="FootnoteCharacters"/>
        </w:rPr>
        <w:footnoteRef/>
      </w:r>
      <w:r>
        <w:rPr>
          <w:rStyle w:val="Emphasis"/>
        </w:rPr>
        <w:t xml:space="preserve"> </w:t>
      </w:r>
      <w:r>
        <w:rPr>
          <w:rStyle w:val="Emphasi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5">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 w:id="16">
    <w:p>
      <w:pPr>
        <w:pStyle w:val="FootnoteText"/>
        <w:rPr/>
      </w:pPr>
      <w:r>
        <w:rPr>
          <w:rStyle w:val="FootnoteCharacters"/>
        </w:rPr>
        <w:footnoteRef/>
      </w:r>
      <w:r>
        <w:rPr>
          <w:rStyle w:val="Emphasis"/>
        </w:rPr>
        <w:t xml:space="preserve"> </w:t>
      </w:r>
      <w:r>
        <w:rPr>
          <w:rStyle w:val="Emphasis"/>
        </w:rPr>
        <w:t>Human-in-the-loop designa uma abordagem em que uma pessoa permanece integrada num processo automatizado, assumindo funções de supervisão, interpretação, validação ou decisão.</w:t>
      </w:r>
    </w:p>
  </w:footnote>
  <w:footnote w:id="17">
    <w:p>
      <w:pPr>
        <w:pStyle w:val="FootnoteText"/>
        <w:rPr/>
      </w:pPr>
      <w:r>
        <w:rPr>
          <w:rStyle w:val="FootnoteCharacters"/>
        </w:rPr>
        <w:footnoteRef/>
      </w:r>
      <w:r>
        <w:rPr>
          <w:rStyle w:val="Emphasis"/>
          <w:color w:val="auto"/>
          <w:kern w:val="0"/>
          <w:sz w:val="22"/>
        </w:rPr>
        <w:t xml:space="preserve"> </w:t>
      </w:r>
      <w:r>
        <w:rPr>
          <w:rStyle w:val="Emphasis"/>
          <w:color w:val="auto"/>
          <w:kern w:val="0"/>
          <w:sz w:val="20"/>
          <w:szCs w:val="20"/>
        </w:rPr>
        <w:t>Camada intermédia de comunicação que permite ao servidor gerir os pedidos enviados a serviços externos, protegendo credenciais sensíveis, controlando o acesso e reduzindo a exposição direta da aplicação a sistemas externos.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doi.org/10.1088/1742-6596/2198/1/012040"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https://doi.org/10.1080/17483107.2025.2483953" TargetMode="External"/><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hyperlink" Target="https://doi.org/10.1016/j.inffus.2019.12.012" TargetMode="External"/><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footnotes" Target="footnotes.xml"/><Relationship Id="rId40" Type="http://schemas.openxmlformats.org/officeDocument/2006/relationships/comments" Target="comments.xml"/><Relationship Id="rId41" Type="http://schemas.microsoft.com/office/2011/relationships/commentsExtended" Target="commentsExtended.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4694</TotalTime>
  <Application>LibreOffice/26.2.4.2$Linux_X86_64 LibreOffice_project/3346a99e6b841765b75a9b29714a5b95c6761ce3</Application>
  <AppVersion>15.0000</AppVersion>
  <Pages>137</Pages>
  <Words>48535</Words>
  <Characters>307083</Characters>
  <CharactersWithSpaces>354065</CharactersWithSpaces>
  <Paragraphs>1690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cp:lastPrinted>2026-07-08T20:43:53Z</cp:lastPrinted>
  <dcterms:modified xsi:type="dcterms:W3CDTF">2026-07-13T07:47:09Z</dcterms:modified>
  <cp:revision>149</cp:revision>
  <dc:subject/>
  <dc:title>projecto-completo</dc:title>
</cp:coreProperties>
</file>

<file path=docProps/custom.xml><?xml version="1.0" encoding="utf-8"?>
<Properties xmlns="http://schemas.openxmlformats.org/officeDocument/2006/custom-properties" xmlns:vt="http://schemas.openxmlformats.org/officeDocument/2006/docPropsVTypes"/>
</file>