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lang w:val="pt-PT"/>
        </w:rPr>
      </w:pPr>
      <w:r>
        <w:rPr>
          <w:lang w:val="pt-PT"/>
        </w:rPr>
        <w:t>Projecto completo</w:t>
      </w:r>
    </w:p>
    <w:p>
      <w:pPr>
        <w:pStyle w:val="Normal"/>
        <w:bidi w:val="0"/>
        <w:jc w:val="left"/>
        <w:rPr>
          <w:lang w:val="pt-PT"/>
        </w:rPr>
      </w:pPr>
      <w:r>
        <w:rPr/>
        <w:t>Versão do documento:0.4.17</w:t>
      </w:r>
    </w:p>
    <w:p>
      <w:pPr>
        <w:pStyle w:val="Normal"/>
        <w:bidi w:val="0"/>
        <w:jc w:val="left"/>
        <w:rPr>
          <w:lang w:val="pt-PT"/>
        </w:rPr>
      </w:pPr>
      <w:r>
        <w:rPr>
          <w:lang w:val="pt-PT"/>
        </w:rPr>
      </w:r>
    </w:p>
    <w:p>
      <w:pPr>
        <w:pStyle w:val="Heading2"/>
        <w:rPr/>
      </w:pPr>
      <w:r>
        <w:rPr/>
        <w:t>INTEGRAÇÃO DO DESIGN E DA INTELIGÊNCIA ARTIFICIAL EM PROCESSOS PARAMÉTRICOS PARA O DESENVOLVIMENTO DE PRÓTESES DE MEMBROS SUPERIORES EM IMPRESSÃO 3D.</w:t>
      </w:r>
    </w:p>
    <w:p>
      <w:pPr>
        <w:pStyle w:val="Normal"/>
        <w:bidi w:val="0"/>
        <w:jc w:val="left"/>
        <w:rPr>
          <w:lang w:val="pt-PT"/>
        </w:rPr>
      </w:pPr>
      <w:r>
        <w:rPr>
          <w:lang w:val="pt-PT"/>
        </w:rPr>
      </w:r>
    </w:p>
    <w:p>
      <w:pPr>
        <w:pStyle w:val="Heading2"/>
        <w:rPr/>
      </w:pPr>
      <w:r>
        <w:rPr/>
        <w:t>Lista de acrónimos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1259"/>
        <w:gridCol w:w="7767"/>
      </w:tblGrid>
      <w:tr>
        <w:trPr>
          <w:tblHeader w:val="true"/>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2D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Bidimensional.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Tridimensional.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AMS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Automatic Material System; sistema automático de alimentação de filamento usado em impressoras Bambu Lab.</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Printing</w:t>
            </w:r>
            <w:r>
              <w:rPr/>
              <w:t>;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3MF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Manufacturing Format</w:t>
            </w:r>
            <w:r>
              <w:rPr/>
              <w:t>; formato de ficheiro para fabrico aditivo.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ANSUR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Anthropometric Survey of U.S. Army Personnel</w:t>
            </w:r>
            <w:r>
              <w:rPr/>
              <w:t>; inquérito antropométrico do Exército dos Estados Unidos.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API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Application Programming Interface</w:t>
            </w:r>
            <w:r>
              <w:rPr/>
              <w:t>; interface de programação de aplicações.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ASTM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American Society for Testing and Materials</w:t>
            </w:r>
            <w:r>
              <w:rPr/>
              <w:t>; organismo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Design</w:t>
            </w:r>
            <w:r>
              <w:rPr/>
              <w:t>; desenho ou projeto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Manufacturing</w:t>
            </w:r>
            <w:r>
              <w:rPr/>
              <w:t>; fabrico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Conformité Européenne</w:t>
            </w:r>
            <w:r>
              <w:rPr/>
              <w:t>; marcação europeia de conformidade.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Constructive Solid Geometry</w:t>
            </w:r>
            <w:r>
              <w:rPr/>
              <w:t>; geometria sólida construtiva.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CSV</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Comma-Separated Values</w:t>
            </w:r>
            <w:r>
              <w:rPr/>
              <w:t>; formato de valores separados por vírgulas.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Computed Tomography</w:t>
            </w:r>
            <w:r>
              <w:rPr/>
              <w:t>; tomografia computorizada.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DfAM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Design for Additive Manufacturing</w:t>
            </w:r>
            <w:r>
              <w:rPr/>
              <w:t>; design para 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DINED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Delft Institute of Ergonomics and Design</w:t>
            </w:r>
            <w:r>
              <w:rPr/>
              <w:t>; base de dados antropométrica da TU Delft.</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DOI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Digital Object Identifier</w:t>
            </w:r>
            <w:r>
              <w:rPr/>
              <w:t>; identificador digital de objeto.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EMG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Eletromiografia; registo da atividade elétrica muscular.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European Union</w:t>
            </w:r>
            <w:r>
              <w:rPr/>
              <w:t>; União Europeia.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Estados Unidos da América.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FA/FdA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Food and Drug Administration</w:t>
            </w:r>
            <w:r>
              <w:rPr/>
              <w:t>; agência reguladora dos Estados Unidos para alimentos, medicamentos e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Deposition Modelling</w:t>
            </w:r>
            <w:r>
              <w:rPr/>
              <w:t>; modelação por deposição fundida.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Analysis</w:t>
            </w:r>
            <w:r>
              <w:rPr/>
              <w:t>; análise por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Method</w:t>
            </w:r>
            <w:r>
              <w:rPr/>
              <w:t>; método dos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Filament Fabrication</w:t>
            </w:r>
            <w:r>
              <w:rPr/>
              <w:t>; fabricação por filamento fundido.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Free-Form Deformation</w:t>
            </w:r>
            <w:r>
              <w:rPr/>
              <w:t>; deformação de forma livre.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GB/T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Norma nacional recomendada chinesa.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HB</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Breadth</w:t>
            </w:r>
            <w:r>
              <w:rPr/>
              <w:t>; largura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Human-Centred Design</w:t>
            </w:r>
            <w:r>
              <w:rPr/>
              <w:t>; design centrado no humano.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HGD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Grip Diameter</w:t>
            </w:r>
            <w:r>
              <w:rPr/>
              <w:t>; diâmetro de preensão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Length</w:t>
            </w:r>
            <w:r>
              <w:rPr/>
              <w:t>; comprimento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HTML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HyperText Markup Language</w:t>
            </w:r>
            <w:r>
              <w:rPr/>
              <w:t>; linguagem de marcação de hipertexto.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Inteligência Artificial.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ICF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Classification of Functioning, Disability and Health</w:t>
            </w:r>
            <w:r>
              <w:rPr/>
              <w:t>; Classificação Internacional de Funcionalidade, Incapacidade e Saúde.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IEEE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Institute of Electrical and Electronics Engineers</w:t>
            </w:r>
            <w:r>
              <w:rPr/>
              <w:t>; associação técnico-científica e entidade editorial/de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ISO</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Organization for Standardization</w:t>
            </w:r>
            <w:r>
              <w:rPr/>
              <w:t>; Organização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JSON</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JavaScript Object Notation</w:t>
            </w:r>
            <w:r>
              <w:rPr/>
              <w:t>; formato leve de intercâmbio de dados.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JWT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JSON Web Token</w:t>
            </w:r>
            <w:r>
              <w:rPr/>
              <w:t>; token web em formato JSON para autenticação e autorização.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LL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Lower Limb</w:t>
            </w:r>
            <w:r>
              <w:rPr/>
              <w:t>; membro inferior.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MCP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Metacarpophalangeal</w:t>
            </w:r>
            <w:r>
              <w:rPr/>
              <w:t>; articulação metacarpofalângica.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MDR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Medical Device Regulation</w:t>
            </w:r>
            <w:r>
              <w:rPr/>
              <w:t>; Regulamento Europeu dos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MPT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Matching Person and Technology</w:t>
            </w:r>
            <w:r>
              <w:rPr/>
              <w:t>; modelo de adequação entre pessoa e tecnologia.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MRI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Magnetic Resonance Imaging</w:t>
            </w:r>
            <w:r>
              <w:rPr/>
              <w:t>; ressonância magnética.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PCA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Principal Component Analysis</w:t>
            </w:r>
            <w:r>
              <w:rPr/>
              <w:t>; análise de componentes principais.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PDF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Portable Document Format</w:t>
            </w:r>
            <w:r>
              <w:rPr/>
              <w:t>; formato portátil de documento.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PIP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Proximal Interphalangeal</w:t>
            </w:r>
            <w:r>
              <w:rPr/>
              <w:t>; articulação interfalângica proximal.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Palm Length</w:t>
            </w:r>
            <w:r>
              <w:rPr/>
              <w:t>; comprimento da palma.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PRISMA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Preferred Reporting Items for Systematic Reviews and Meta-Analyses</w:t>
            </w:r>
            <w:r>
              <w:rPr/>
              <w:t>; diretrizes para reporte de revisões sistemáticas e meta-análises.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RTD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Research Through Design</w:t>
            </w:r>
            <w:r>
              <w:rPr/>
              <w:t>; investigação através do design.</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Standard Deviation</w:t>
            </w:r>
            <w:r>
              <w:rPr/>
              <w:t>; desvio-padrão.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estereolitografia.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Selective Laser Sintering</w:t>
            </w:r>
            <w:r>
              <w:rPr/>
              <w:t>; sinterização seletiva a laser.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Statistical Shape Modelling</w:t>
            </w:r>
            <w:r>
              <w:rPr/>
              <w:t>; modelação estatística da forma.</w:t>
            </w:r>
          </w:p>
        </w:tc>
      </w:tr>
      <w:tr>
        <w:trPr/>
        <w:tc>
          <w:tcPr>
            <w:tcW w:w="1259" w:type="dxa"/>
            <w:tcBorders>
              <w:left w:val="single" w:sz="4" w:space="0" w:color="808080"/>
              <w:bottom w:val="single" w:sz="4" w:space="0" w:color="808080"/>
              <w:right w:val="single" w:sz="4" w:space="0" w:color="808080"/>
            </w:tcBorders>
          </w:tcPr>
          <w:p>
            <w:pPr>
              <w:pStyle w:val="BodyText"/>
              <w:bidi w:val="0"/>
              <w:spacing w:before="0" w:after="140"/>
              <w:jc w:val="left"/>
              <w:rPr>
                <w:lang w:val="pt-PT"/>
              </w:rPr>
            </w:pPr>
            <w:r>
              <w:rPr>
                <w:lang w:val="pt-PT"/>
              </w:rPr>
              <w:t>SQLite</w:t>
            </w:r>
          </w:p>
        </w:tc>
        <w:tc>
          <w:tcPr>
            <w:tcW w:w="7767" w:type="dxa"/>
            <w:tcBorders>
              <w:left w:val="single" w:sz="4" w:space="0" w:color="808080"/>
              <w:bottom w:val="single" w:sz="4" w:space="0" w:color="808080"/>
              <w:right w:val="single" w:sz="4" w:space="0" w:color="808080"/>
            </w:tcBorders>
          </w:tcPr>
          <w:p>
            <w:pPr>
              <w:pStyle w:val="Normal"/>
              <w:rPr/>
            </w:pPr>
            <w:r>
              <w:rPr/>
              <w:t>Motor leve de base de dados relacional baseado em SQL, autónomo e incorporável na aplicação.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STL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formato de ficheiro de malha tridimensional usado em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TC</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Technical Committee</w:t>
            </w:r>
            <w:r>
              <w:rPr/>
              <w:t>; comité técnico.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TRL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Technology Readiness Level</w:t>
            </w:r>
            <w:r>
              <w:rPr/>
              <w:t>; nível de prontidão tecnológica.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User-Centred Design</w:t>
            </w:r>
            <w:r>
              <w:rPr/>
              <w:t>; design centrado no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Interface</w:t>
            </w:r>
            <w:r>
              <w:rPr/>
              <w:t>; interface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Upper Limb</w:t>
            </w:r>
            <w:r>
              <w:rPr/>
              <w:t>; membro superior.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UX</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Experience</w:t>
            </w:r>
            <w:r>
              <w:rPr/>
              <w:t>; experiência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WASM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WebAssembly</w:t>
            </w:r>
            <w:r>
              <w:rPr/>
              <w:t>; tecnologia para execução de código compilado no navegador.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XAI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Explainable Artificial Intelligence</w:t>
            </w:r>
            <w:r>
              <w:rPr/>
              <w:t>; inteligência artificial explicável.</w:t>
            </w:r>
          </w:p>
        </w:tc>
      </w:tr>
    </w:tbl>
    <w:p>
      <w:pPr>
        <w:pStyle w:val="Heading2"/>
        <w:bidi w:val="0"/>
        <w:jc w:val="left"/>
        <w:rPr>
          <w:lang w:val="pt-PT"/>
        </w:rPr>
      </w:pPr>
      <w:r>
        <w:rPr>
          <w:lang w:val="pt-PT"/>
        </w:rPr>
      </w:r>
    </w:p>
    <w:p>
      <w:pPr>
        <w:pStyle w:val="Heading2"/>
        <w:rPr/>
      </w:pPr>
      <w:r>
        <w:rPr/>
        <w:t>Lista de tabelas</w:t>
      </w:r>
    </w:p>
    <w:tbl>
      <w:tblPr>
        <w:tblStyle w:val="TableGrid"/>
        <w:tblW w:w="5000" w:type="pct"/>
        <w:jc w:val="left"/>
        <w:tblInd w:w="103" w:type="dxa"/>
        <w:tblLayout w:type="fixed"/>
        <w:tblCellMar>
          <w:top w:w="0" w:type="dxa"/>
          <w:left w:w="108" w:type="dxa"/>
          <w:bottom w:w="0" w:type="dxa"/>
          <w:right w:w="108" w:type="dxa"/>
        </w:tblCellMar>
      </w:tblPr>
      <w:tblGrid>
        <w:gridCol w:w="1503"/>
        <w:gridCol w:w="6725"/>
        <w:gridCol w:w="798"/>
      </w:tblGrid>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Identificação</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Página</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2.1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Papéis dos profissionais de saúde no desenvolvimento de dispositivos médicos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2.2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Elementos centrais na configuração da participação em sistemas configuráveis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34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Principais parâmetros antropométricos da mão e do membro superior relevantes para modelação paramétrica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Conjuntos mínimos de parâmetros por nível de amputação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Métodos de recolha de dados antropométricos e suas características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Fontes integradas na base local de dados antropométricos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57</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Estrutura hierárquica dos parâmetros no modelo paramétrico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4.6</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Mapeamento entre parâmetros antropométricos e elementos do modelo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4.7</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Estrutura técnica em camadas de um modelo paramétrico em OpenSCAD para próteses personalizadas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Síntese dos resultados da validação por impressão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98</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Entradas/prompt utilizadas para criação dos perfis de validação antropométrica por IA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Síntese da validação antropométrica assistida por IA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102</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Modelos e mecanismos de escala avaliados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Rácio adimensional da maior dimensão da palma exportada face ao baseline</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103</w:t>
            </w:r>
          </w:p>
        </w:tc>
      </w:tr>
    </w:tbl>
    <w:p>
      <w:pPr>
        <w:pStyle w:val="Normal"/>
        <w:rPr/>
      </w:pPr>
      <w:r>
        <w:rPr/>
      </w:r>
    </w:p>
    <w:p>
      <w:pPr>
        <w:pStyle w:val="Heading2"/>
        <w:rPr/>
      </w:pPr>
      <w:r>
        <w:rPr/>
        <w:t>Lista de figuras</w:t>
      </w:r>
    </w:p>
    <w:tbl>
      <w:tblPr>
        <w:tblStyle w:val="TableGrid"/>
        <w:tblW w:w="5000" w:type="pct"/>
        <w:jc w:val="left"/>
        <w:tblInd w:w="103" w:type="dxa"/>
        <w:tblLayout w:type="fixed"/>
        <w:tblCellMar>
          <w:top w:w="0" w:type="dxa"/>
          <w:left w:w="108" w:type="dxa"/>
          <w:bottom w:w="0" w:type="dxa"/>
          <w:right w:w="108" w:type="dxa"/>
        </w:tblCellMar>
      </w:tblPr>
      <w:tblGrid>
        <w:gridCol w:w="1503"/>
        <w:gridCol w:w="6725"/>
        <w:gridCol w:w="798"/>
      </w:tblGrid>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Identificação</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Página</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1.1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Exemplos de próteses e dispositivos associados à fabricação aditiva em contexto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Exemplos de próteses de membro superior impressas em 3D, ilustrando diversidade tipológica e construtiva.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Utilização, rejeição primária e rejeição secundária de próteses do membro superior adquiridas.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12</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digital entre aquisição, CAD/CAM e fabricação aditiva em próteses e ortóteses.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 de configurador digital para personalização de uma prótese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20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Marcos anatómicos e medidas de referência da mão para fins de personalização.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25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2.6</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Enquadramento de um fluxo de CAD assistido por IA para desenvolvimento de produto.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29</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2.7</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Modelo de processo para configurar participação em ecossistemas de inovação e cocriação.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34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2.8</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39</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3.1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Processo interdisciplinar de desenvolvimento de uma prótese de membro superior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44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3.2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 de recolha dimensional para ajuste de prótese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Parâmetros antropométricos utilizados na modelação paramétrica de dedos protésicos.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Comparação entre o escalonamento uniforme e a modelação paramétrica de dedo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Relação entre modelo paramétrico digital, prototipagem e verificação de um dedo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geral de produção personalizada de próteses a partir de plataforma web – Hand Fab</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71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geral de produção personalizada de próteses a partir de digitalização, CAD adaptativo e fabrico aditivo.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73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Ferramenta paramétrica para configuração de ajudas técnicas com variação de dimensões, materiais e peso.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77</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6.1</w:t>
            </w:r>
          </w:p>
        </w:tc>
        <w:tc>
          <w:tcPr>
            <w:tcW w:w="672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compreensão dos sistemas de IA e princípios de IA responsável.</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89</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7.1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Teste de uma prótese impressa em 3D com utilizador em contexto aplicado.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94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8.1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Tarefas funcionais usadas em avaliação de prótese personalizada de membro superior.</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99</w:t>
            </w:r>
          </w:p>
        </w:tc>
      </w:tr>
    </w:tbl>
    <w:p>
      <w:pPr>
        <w:pStyle w:val="Normal"/>
        <w:rPr/>
      </w:pPr>
      <w:r>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de projeto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w:t>
      </w:r>
      <w:r>
        <w:rPr/>
        <w:t>No entanto, muitos desses modelos dependem de geometrias fixas, isto é, formas pré-definidas sem adaptação automática, ou de ajustes manuais pouco padronizados. Esta condição resulta em alterações sem protocolo uniforme e dificulta a expansão, a geração de variantes consistentes e a integração robusta de dados antropométricos, ou seja, de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wp:inline distT="0" distB="0" distL="0" distR="0">
            <wp:extent cx="5715000" cy="3924300"/>
            <wp:effectExtent l="0" t="0" r="0" b="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r>
    </w:p>
    <w:p>
      <w:pPr>
        <w:pStyle w:val="Heading3"/>
        <w:bidi w:val="0"/>
        <w:jc w:val="left"/>
        <w:rPr>
          <w:lang w:val="pt-PT"/>
        </w:rPr>
      </w:pPr>
      <w:r>
        <w:rPr>
          <w:lang w:val="pt-PT"/>
        </w:rPr>
        <w:t>1.3 Objetivos da investigação</w:t>
      </w:r>
    </w:p>
    <w:p>
      <w:pPr>
        <w:pStyle w:val="Heading3"/>
        <w:bidi w:val="0"/>
        <w:jc w:val="left"/>
        <w:rPr>
          <w:lang w:val="pt-PT"/>
        </w:rPr>
      </w:pPr>
      <w:r>
        <w:rPr>
          <w:lang w:val="pt-PT"/>
        </w:rPr>
      </w:r>
    </w:p>
    <w:p>
      <w:pPr>
        <w:pStyle w:val="Heading3"/>
        <w:bidi w:val="0"/>
        <w:jc w:val="left"/>
        <w:rPr>
          <w:lang w:val="pt-PT"/>
        </w:rPr>
      </w:pPr>
      <w:r>
        <w:rPr>
          <w:lang w:val="pt-PT"/>
        </w:rPr>
        <w:t>1.3.1 Objetivo geral</w:t>
      </w:r>
    </w:p>
    <w:p>
      <w:pPr>
        <w:pStyle w:val="Normal"/>
        <w:bidi w:val="0"/>
        <w:jc w:val="left"/>
        <w:rPr>
          <w:lang w:val="pt-PT"/>
        </w:rPr>
      </w:pPr>
      <w:r>
        <w:rPr>
          <w:lang w:val="pt-PT"/>
        </w:rPr>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A validação da abordagem combina testes de perfil, exportação de geometrias, análise de malhas e prototipagem por impressão 3D, avaliando a coerência dimensional, a montagem preliminar, a viabilidade de fabrico e os limites materiais, sem reivindicar validação clínica do dispositivo.</w:t>
      </w:r>
    </w:p>
    <w:p>
      <w:pPr>
        <w:pStyle w:val="Normal"/>
        <w:bidi w:val="0"/>
        <w:jc w:val="left"/>
        <w:rPr>
          <w:lang w:val="pt-PT"/>
        </w:rPr>
      </w:pPr>
      <w:r>
        <w:rPr>
          <w:lang w:val="pt-PT"/>
        </w:rPr>
        <w:t xml:space="preserve">A investigação busca responder: como o design de produto, métodos paramétricos e inteligência artificial podem melhorar a personalização, o conforto e a adequação funcional de próteses, mantendo a acessibilidade e o controle projetual? </w:t>
      </w:r>
      <w:r>
        <w:rPr/>
        <w:t>Que metodologias e ferramentas permitem avaliar a eficácia, a usabilidade, a durabilidade e a replicação controlada de próteses impressas em 3D? Como pode o Design Industrial conciliar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preliminar,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BodyText"/>
        <w:rPr>
          <w:lang w:val="pt-PT"/>
        </w:rPr>
      </w:pPr>
      <w:r>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 xml:space="preserve">As próteses mecânicas utilizam um sistema de arnês e cabos que converte movimentos do ombro, do tronco ou da cintura escapular em ação no dispositivo terminal, tipicamente um gancho ou uma mão mecânica. </w:t>
      </w:r>
      <w:r>
        <w:rPr/>
        <w:t>São soluções tradicionalmente valorizadas pela robustez, pelo comportamento mecânico previsível, pelo menor custo e pela relativa facilidade de manutenção.</w:t>
      </w:r>
    </w:p>
    <w:p>
      <w:pPr>
        <w:pStyle w:val="Normal"/>
        <w:bidi w:val="0"/>
        <w:jc w:val="left"/>
        <w:rPr>
          <w:lang w:val="pt-PT"/>
        </w:rPr>
      </w:pPr>
      <w:r>
        <w:rPr>
          <w:lang w:val="pt-PT"/>
        </w:rPr>
        <w:t>Um atributo particularmente relevante é o feedback proprioceptivo</w:t>
      </w:r>
      <w:r>
        <w:rPr>
          <w:rStyle w:val="FootnoteReference"/>
          <w:lang w:val="pt-PT"/>
        </w:rPr>
        <w:footnoteReference w:id="2"/>
      </w:r>
      <w:r>
        <w:rPr>
          <w:lang w:val="pt-PT"/>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5467350"/>
            <wp:effectExtent l="0" t="0" r="0" b="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wp:inline distT="0" distB="0" distL="0" distR="0">
            <wp:extent cx="5715000" cy="4086225"/>
            <wp:effectExtent l="0" t="0" r="0" b="0"/>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nem a evolução das capacidades físicas, sensoriais e cognitivas ao longo do tempo.</w:t>
      </w:r>
    </w:p>
    <w:p>
      <w:pPr>
        <w:pStyle w:val="Normal"/>
        <w:bidi w:val="0"/>
        <w:jc w:val="left"/>
        <w:rPr>
          <w:lang w:val="pt-PT"/>
        </w:rPr>
      </w:pPr>
      <w:r>
        <w:rPr>
          <w:lang w:val="pt-PT"/>
        </w:rPr>
        <w:t>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w:t>
      </w:r>
      <w:r>
        <w:rPr>
          <w:rStyle w:val="FootnoteReference"/>
          <w:lang w:val="pt-PT"/>
        </w:rPr>
        <w:footnoteReference w:id="3"/>
      </w:r>
      <w:r>
        <w:rPr>
          <w:lang w:val="pt-PT"/>
        </w:rPr>
        <w:t xml:space="preserve">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4"/>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sz w:val="22"/>
        </w:rPr>
        <w:t xml:space="preserve"> Oldfrey</w:t>
      </w:r>
      <w:r>
        <w:rPr>
          <w:b w:val="false"/>
          <w:i w:val="false"/>
          <w:sz w:val="22"/>
          <w:lang w:val="pt-PT"/>
        </w:rPr>
        <w:t xml:space="preserve"> et al 2024; </w:t>
      </w:r>
      <w:r>
        <w:rPr>
          <w:b w:val="false"/>
          <w:i w:val="false"/>
          <w:sz w:val="22"/>
        </w:rPr>
        <w:t xml:space="preserve">  Mc Guinness et al</w:t>
      </w:r>
      <w:r>
        <w:rPr>
          <w:b w:val="false"/>
          <w:i w:val="false"/>
          <w:sz w:val="22"/>
          <w:lang w:val="pt-PT"/>
        </w:rPr>
        <w:t>, 2025</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924300"/>
            <wp:effectExtent l="0" t="0" r="0" b="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r:id="rId8">
        <w:r>
          <w:rPr>
            <w:rStyle w:val="Hyperlink"/>
            <w:lang w:val="pt-PT"/>
          </w:rPr>
          <w:t>https://www.mdpi.com/2673-1592/7/2/26/pdf?version=1740996517</w:t>
        </w:r>
      </w:hyperlink>
    </w:p>
    <w:p>
      <w:pPr>
        <w:pStyle w:val="Normal"/>
        <w:bidi w:val="0"/>
        <w:jc w:val="left"/>
        <w:rPr>
          <w:lang w:val="pt-PT"/>
        </w:rPr>
      </w:pPr>
      <w:r>
        <w:rPr>
          <w:lang w:val="pt-PT"/>
        </w:rPr>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w:t>
      </w:r>
      <w:r>
        <w:rPr>
          <w:rStyle w:val="FootnoteReference"/>
          <w:lang w:val="pt-PT"/>
        </w:rPr>
        <w:footnoteReference w:id="5"/>
      </w:r>
      <w:r>
        <w:rPr>
          <w:lang w:val="pt-PT"/>
        </w:rP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Normal"/>
        <w:bidi w:val="0"/>
        <w:jc w:val="left"/>
        <w:rPr>
          <w:lang w:val="pt-PT"/>
        </w:rPr>
      </w:pPr>
      <w:r>
        <w:rPr>
          <w:lang w:val="pt-PT"/>
        </w:rPr>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lang w:val="pt-PT"/>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019425"/>
            <wp:effectExtent l="0" t="0" r="0" b="0"/>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a:picLocks noChangeAspect="1" noChangeArrowheads="1"/>
                    </pic:cNvPicPr>
                  </pic:nvPicPr>
                  <pic:blipFill>
                    <a:blip r:embed="rId9"/>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Este modelo “</w:t>
      </w:r>
      <w:r>
        <w:rPr>
          <w:i/>
          <w:iCs/>
          <w:lang w:val="pt-PT"/>
        </w:rPr>
        <w:t>file-to-factory</w:t>
      </w:r>
      <w:r>
        <w:rPr>
          <w:lang w:val="pt-PT"/>
        </w:rPr>
        <w:t>”</w:t>
      </w:r>
      <w:r>
        <w:rPr>
          <w:rStyle w:val="FootnoteReference"/>
          <w:lang w:val="pt-PT"/>
        </w:rPr>
        <w:footnoteReference w:id="6"/>
      </w:r>
      <w:r>
        <w:rPr>
          <w:lang w:val="pt-PT"/>
        </w:rPr>
        <w:t xml:space="preserve"> viabiliza fluxos digitais em que o ficheiro parametrizado é convertido diretamente em instruções de fabrico, seja localmente (impressão 3D descentralizada) ou através de uma encomenda online[^11]. </w:t>
      </w:r>
      <w:r>
        <w:rPr/>
        <w:t>A literatura associa esta lógica à democratização do design e à expansão de estratégias de personalização em massa (</w:t>
      </w:r>
      <w:r>
        <w:rPr>
          <w:rStyle w:val="Emphasis"/>
        </w:rPr>
        <w:t>mass customization</w:t>
      </w:r>
      <w:r>
        <w:rPr/>
        <w:t>) e personalização individualizada em escala (</w:t>
      </w:r>
      <w:r>
        <w:rPr>
          <w:rStyle w:val="Emphasis"/>
        </w:rPr>
        <w:t>mass personalization</w:t>
      </w:r>
      <w:r>
        <w:rPr/>
        <w:t>), reduzindo custos marginais ao dispensar moldes e dispositivos específicos de fabrico.[^12]</w:t>
      </w:r>
      <w:r>
        <w:rPr>
          <w:lang w:val="pt-PT"/>
        </w:rPr>
        <w:t xml:space="preserve"> (Lei et al., 2016 (#ref-lei-2016); Stralen, 2018 (#ref-stralen-2018)).</w:t>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7"/>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wp:inline distT="0" distB="0" distL="0" distR="0">
            <wp:extent cx="5715000" cy="4219575"/>
            <wp:effectExtent l="0" t="0" r="0" b="0"/>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a:picLocks noChangeAspect="1" noChangeArrowheads="1"/>
                    </pic:cNvPicPr>
                  </pic:nvPicPr>
                  <pic:blipFill>
                    <a:blip r:embed="rId10"/>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lang w:val="pt-PT"/>
        </w:rPr>
      </w:pPr>
      <w:r>
        <w:rPr>
          <w:lang w:val="pt-PT"/>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8"/>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zonas de aquecimento localizado (</w:t>
      </w:r>
      <w:r>
        <w:rPr>
          <w:i/>
          <w:iCs/>
        </w:rPr>
        <w:t>Thermal hot spots</w:t>
      </w:r>
      <w:r>
        <w:rPr/>
        <w:t>)</w:t>
      </w:r>
      <w:r>
        <w:rPr>
          <w:lang w:val="pt-PT"/>
        </w:rP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rPr>
          <w:lang w:val="pt-PT"/>
        </w:rPr>
        <w:t>PCA)</w:t>
      </w:r>
      <w:r>
        <w:rPr>
          <w:rStyle w:val="FootnoteReference"/>
          <w:lang w:val="pt-PT"/>
        </w:rPr>
        <w:footnoteReference w:id="9"/>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wp:inline distT="0" distB="0" distL="0" distR="0">
            <wp:extent cx="5715000" cy="2638425"/>
            <wp:effectExtent l="0" t="0" r="0" b="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a:picLocks noChangeAspect="1" noChangeArrowheads="1"/>
                    </pic:cNvPicPr>
                  </pic:nvPicPr>
                  <pic:blipFill>
                    <a:blip r:embed="rId11"/>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10"/>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w:t>
      </w:r>
    </w:p>
    <w:p>
      <w:pPr>
        <w:pStyle w:val="Normal"/>
        <w:bidi w:val="0"/>
        <w:jc w:val="left"/>
        <w:rPr>
          <w:lang w:val="pt-PT"/>
        </w:rPr>
      </w:pPr>
      <w:r>
        <w:rPr/>
        <w:t>A força reside na capacidade de lidar com informação complexa, heterogénea e volumosa. A fragilidade reside no facto de o sistema depender dos dados com que foi treinado, podendo reproduzir enviesamentos, simplificações e erros já presentes nesses dados.</w:t>
      </w:r>
      <w:r>
        <w:rPr>
          <w:lang w:val="pt-PT"/>
        </w:rPr>
        <w:t xml:space="preserve">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11"/>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 xml:space="preserve">Em domínios como a reabilitação e as tecnologias de assistência, a personalização é frequentemente descrita como uma necessidade funcional, e não apenas como uma diferenciação de mercado. Isso significa que a adequação do produto ao utilizador </w:t>
      </w:r>
      <w:r>
        <w:rPr/>
        <w:t>pode ser determinante para a segurança, a usabilidade e a adoção sustentada, deslocando o foco do design de uma solução “média” para sistemas capazes de acomodar diferenças individuais de forma controlada.</w:t>
      </w:r>
      <w:r>
        <w:rPr>
          <w:lang w:val="pt-PT"/>
        </w:rPr>
        <w:t>(Fischer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BodyText"/>
        <w:bidi w:val="0"/>
        <w:jc w:val="left"/>
        <w:rPr>
          <w:highlight w:val="none"/>
          <w:shd w:fill="FFFF00" w:val="clear"/>
          <w:lang w:val="pt-PT"/>
        </w:rPr>
      </w:pPr>
      <w:r>
        <w:rPr>
          <w:shd w:fill="auto" w:val="clear"/>
          <w:lang w:val="pt-PT"/>
        </w:rPr>
        <w:t xml:space="preserve">Um enquadramento conceptual relevante para compreender os sistemas configuráveis é o dos </w:t>
      </w:r>
      <w:r>
        <w:rPr>
          <w:rStyle w:val="Emphasis"/>
          <w:shd w:fill="auto" w:val="clear"/>
          <w:lang w:val="pt-PT"/>
        </w:rPr>
        <w:t>toolkits for user innovation</w:t>
      </w:r>
      <w:r>
        <w:rPr>
          <w:shd w:fill="auto" w:val="clear"/>
          <w:lang w:val="pt-PT"/>
        </w:rPr>
        <w:t>. Este conceito refere-se a conjuntos estruturados de ferramentas, regras e mecanismos de feedback que permitem aos utilizadores participar diretamente na definição ou adaptação de produtos, sem assumirem a totalidade do processo técnico de desenvolvimento. Nestes sistemas, parte do trabalho de tradução das necessidades individuais é deslocada para o utilizador, enquanto fabricantes, designers ou especialistas mantêm responsabilidade sobre tarefas críticas de resolução técnica, produção, validação e controlo de qualidade.</w:t>
      </w:r>
    </w:p>
    <w:p>
      <w:pPr>
        <w:pStyle w:val="BodyText"/>
        <w:bidi w:val="0"/>
        <w:jc w:val="left"/>
        <w:rPr>
          <w:highlight w:val="none"/>
          <w:shd w:fill="FFFF00" w:val="clear"/>
          <w:lang w:val="pt-PT"/>
        </w:rPr>
      </w:pPr>
      <w:r>
        <w:rPr>
          <w:shd w:fill="auto" w:val="clear"/>
          <w:lang w:val="pt-PT"/>
        </w:rPr>
        <w:t xml:space="preserve">Esta abordagem permite distinguir configuradores, centrados sobretudo na seleção entre opções previamente definidas, de </w:t>
      </w:r>
      <w:r>
        <w:rPr>
          <w:rStyle w:val="Emphasis"/>
          <w:shd w:fill="auto" w:val="clear"/>
          <w:lang w:val="pt-PT"/>
        </w:rPr>
        <w:t>toolkits</w:t>
      </w:r>
      <w:r>
        <w:rPr>
          <w:shd w:fill="auto" w:val="clear"/>
          <w:lang w:val="pt-PT"/>
        </w:rPr>
        <w:t>, que oferecem ao utilizador a possibilidade de criar ou ajustar soluções dentro de um espaço de projeto delimitado por regras, parâmetros e feedback operacional (Franke &amp; Hippel, 2002 (#ref-franke-2002); Hippel &amp; Katz, 2002 (#ref-hippel-2002)).</w:t>
      </w:r>
    </w:p>
    <w:p>
      <w:pPr>
        <w:pStyle w:val="BodyText"/>
        <w:rPr>
          <w:highlight w:val="none"/>
          <w:shd w:fill="auto" w:val="clear"/>
          <w:lang w:val="pt-PT"/>
        </w:rPr>
      </w:pPr>
      <w:r>
        <w:rPr>
          <w:shd w:fill="auto" w:val="clear"/>
          <w:lang w:val="pt-PT"/>
        </w:rPr>
        <w:t>O meta-design aprofunda esta lógica ao deslocar o foco do projeto de uma solução fechada para a criação das condições que permitem a sua evolução posterior. Neste enquadramento, o papel do designer não se limita à definição inicial do artefacto ou da interface, mas inclui a construção de ambientes, ferramentas e estruturas sociais que possibilitam a participação ativa dos utilizadores ao longo do tempo. O meta-design pode, assim, ser entendido como uma abordagem em que se projeta o próprio sistema de adaptação: em vez de antecipar todas as necessidades futuras, cria-se uma infraestrutura que permite aos utilizadores, técnicos ou comunidades ajustar, expandir e reconfigurar a solução em contexto de uso.</w:t>
      </w:r>
    </w:p>
    <w:p>
      <w:pPr>
        <w:pStyle w:val="BodyText"/>
        <w:rPr>
          <w:lang w:val="pt-PT"/>
        </w:rPr>
      </w:pPr>
      <w:r>
        <w:rPr>
          <w:shd w:fill="auto" w:val="clear"/>
          <w:lang w:val="pt-PT"/>
        </w:rPr>
        <w:t xml:space="preserve">O modelo </w:t>
      </w:r>
      <w:r>
        <w:rPr>
          <w:rStyle w:val="Emphasis"/>
          <w:shd w:fill="auto" w:val="clear"/>
          <w:lang w:val="pt-PT"/>
        </w:rPr>
        <w:t>Seeding, Evolutionary Growth, and Reseeding</w:t>
      </w:r>
      <w:r>
        <w:rPr>
          <w:shd w:fill="auto" w:val="clear"/>
          <w:lang w:val="pt-PT"/>
        </w:rPr>
        <w:t xml:space="preserve"> formaliza este processo em três momentos articulados. A fase de </w:t>
      </w:r>
      <w:r>
        <w:rPr>
          <w:rStyle w:val="Emphasis"/>
          <w:shd w:fill="auto" w:val="clear"/>
          <w:lang w:val="pt-PT"/>
        </w:rPr>
        <w:t>seeding</w:t>
      </w:r>
      <w:r>
        <w:rPr>
          <w:shd w:fill="auto" w:val="clear"/>
          <w:lang w:val="pt-PT"/>
        </w:rPr>
        <w:t xml:space="preserve"> corresponde à criação de uma estrutura inicial suficientemente robusta para orientar a utilização, mas suficientemente aberta para permitir desenvolvimento posterior. A fase de </w:t>
      </w:r>
      <w:r>
        <w:rPr>
          <w:rStyle w:val="Emphasis"/>
          <w:shd w:fill="auto" w:val="clear"/>
          <w:lang w:val="pt-PT"/>
        </w:rPr>
        <w:t>evolutionary growth</w:t>
      </w:r>
      <w:r>
        <w:rPr>
          <w:shd w:fill="auto" w:val="clear"/>
          <w:lang w:val="pt-PT"/>
        </w:rPr>
        <w:t xml:space="preserve"> corresponde ao crescimento do sistema através das adaptações, usos e contribuições dos utilizadores. Por fim, a fase de </w:t>
      </w:r>
      <w:r>
        <w:rPr>
          <w:rStyle w:val="Emphasis"/>
          <w:shd w:fill="auto" w:val="clear"/>
          <w:lang w:val="pt-PT"/>
        </w:rPr>
        <w:t>reseeding</w:t>
      </w:r>
      <w:r>
        <w:rPr>
          <w:shd w:fill="auto" w:val="clear"/>
          <w:lang w:val="pt-PT"/>
        </w:rPr>
        <w:t xml:space="preserve"> implica a reorganização periódica dessas contribuições, consolidando aprendizagens, corrigindo inconsistências e reestruturando o sistema para novos ciclos de utilização e desenvolvimento</w:t>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wp:inline distT="0" distB="0" distL="0" distR="0">
            <wp:extent cx="5715000" cy="2990850"/>
            <wp:effectExtent l="0" t="0" r="0" b="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a:picLocks noChangeAspect="1" noChangeArrowheads="1"/>
                    </pic:cNvPicPr>
                  </pic:nvPicPr>
                  <pic:blipFill>
                    <a:blip r:embed="rId12"/>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r:id="rId13">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r:id="rId14">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Heading3"/>
        <w:bidi w:val="0"/>
        <w:jc w:val="left"/>
        <w:rPr>
          <w:lang w:val="pt-PT"/>
        </w:rPr>
      </w:pPr>
      <w:r>
        <w:rPr>
          <w:lang w:val="pt-PT"/>
        </w:rPr>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12"/>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 xml:space="preserve">Na reabilitação, plataformas de </w:t>
      </w:r>
      <w:r>
        <w:rPr>
          <w:i/>
          <w:iCs/>
          <w:lang w:val="pt-PT"/>
        </w:rPr>
        <w:t>virtual coaching</w:t>
      </w:r>
      <w:r>
        <w:rPr>
          <w:rStyle w:val="FootnoteReference"/>
          <w:i/>
          <w:iCs/>
          <w:lang w:val="pt-PT"/>
        </w:rPr>
        <w:footnoteReference w:id="13"/>
      </w:r>
      <w:r>
        <w:rPr>
          <w:lang w:val="pt-PT"/>
        </w:rPr>
        <w:t xml:space="preserve">, </w:t>
      </w:r>
      <w:r>
        <w:rPr>
          <w:i/>
          <w:iCs/>
          <w:lang w:val="pt-PT"/>
        </w:rPr>
        <w:t>serious games</w:t>
      </w:r>
      <w:r>
        <w:rPr>
          <w:rStyle w:val="FootnoteReference"/>
          <w:i/>
          <w:iCs/>
          <w:lang w:val="pt-PT"/>
        </w:rPr>
        <w:footnoteReference w:id="14"/>
      </w:r>
      <w:r>
        <w:rPr>
          <w:lang w:val="pt-PT"/>
        </w:rPr>
        <w:t xml:space="preserve"> configuráveis e modelos de cocriação tecnológica são apresentados como formas de personalizar os tratamentos com base no estado clínico, nos objetivos terapêuticos e no </w:t>
      </w:r>
      <w:r>
        <w:rPr>
          <w:i/>
          <w:iCs/>
          <w:lang w:val="pt-PT"/>
        </w:rPr>
        <w:t>feedback</w:t>
      </w:r>
      <w:r>
        <w:rPr>
          <w:lang w:val="pt-PT"/>
        </w:rPr>
        <w:t xml:space="preserve">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w:t>
      </w:r>
    </w:p>
    <w:p>
      <w:pPr>
        <w:pStyle w:val="Normal"/>
        <w:bidi w:val="0"/>
        <w:jc w:val="left"/>
        <w:rPr>
          <w:lang w:val="pt-PT"/>
        </w:rPr>
      </w:pPr>
      <w:r>
        <w:rPr/>
        <w:t>Estudos sobre próteses pediátricas, serviços de reabilitação e modelos como o Victoria Hand Project mostram que a personalização pode combinar prototipagem iterativa, módulos intercambiáveis, criação digital de encaixes e circulação de feedback entre contextos clínicos locais e equipas técnicas responsáveis pela coordenação e desenvolvimento do sistema.</w:t>
      </w:r>
    </w:p>
    <w:p>
      <w:pPr>
        <w:pStyle w:val="Normal"/>
        <w:bidi w:val="0"/>
        <w:jc w:val="left"/>
        <w:rPr>
          <w:lang w:val="pt-PT"/>
        </w:rPr>
      </w:pPr>
      <w:r>
        <w:rPr>
          <w:lang w:val="pt-PT"/>
        </w:rPr>
        <w:t>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segurança, qualidade e justificação documentada das decisões de projeto,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auto" w:val="clear"/>
          <w:lang w:val="pt-PT"/>
        </w:rPr>
        <w:t>por nível de prontidão tecnológica, ou Technology Readiness Level (TRL)</w:t>
      </w:r>
      <w:r>
        <w:rPr>
          <w:rStyle w:val="FootnoteReference"/>
          <w:shd w:fill="FFFF00" w:val="clear"/>
          <w:lang w:val="pt-PT"/>
        </w:rPr>
        <w:footnoteReference w:id="15"/>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wp:inline distT="0" distB="0" distL="0" distR="0">
            <wp:extent cx="5715000" cy="4067175"/>
            <wp:effectExtent l="0" t="0" r="0" b="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15"/>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181225"/>
            <wp:effectExtent l="0" t="0" r="0" b="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16"/>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3"/>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 xml:space="preserve">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w:t>
      </w:r>
      <w:r>
        <w:rPr/>
        <w:t>Paralelamente, realiza-se uma análise comparativa de soluções open-source existentes no domínio das próteses impressas em 3D, identificando abordagens formais, estruturais e tecnológicas, bem como limitações quanto à personalização, à adaptação paramétrica e à replicação controlada dos modelos.</w:t>
      </w:r>
    </w:p>
    <w:p>
      <w:pPr>
        <w:pStyle w:val="Normal"/>
        <w:bidi w:val="0"/>
        <w:jc w:val="left"/>
        <w:rPr>
          <w:lang w:val="pt-PT"/>
        </w:rPr>
      </w:pPr>
      <w:r>
        <w:rPr>
          <w:lang w:val="pt-PT"/>
        </w:rPr>
        <w:t>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as configurações resultantes dos testes de perfil são exportadas para fabrico e produzidas por impressão 3D. Esta fase permite avaliar a passagem do perfil simulado para a geometria exportada e desta para o protótipo físico, observando a exequibilidade de impressão, a integridade estrutural preliminar, a montagem, a ajustabilidade e a coerência formal perante variações dimensionais.</w:t>
      </w:r>
    </w:p>
    <w:p>
      <w:pPr>
        <w:pStyle w:val="Normal"/>
        <w:bidi w:val="0"/>
        <w:jc w:val="left"/>
        <w:rPr>
          <w:lang w:val="pt-PT"/>
        </w:rPr>
      </w:pPr>
      <w:r>
        <w:rPr/>
        <w:commentReference w:id="4"/>
      </w:r>
    </w:p>
    <w:p>
      <w:pPr>
        <w:pStyle w:val="Heading3"/>
        <w:bidi w:val="0"/>
        <w:jc w:val="left"/>
        <w:rPr>
          <w:lang w:val="pt-PT"/>
        </w:rPr>
      </w:pPr>
      <w:r>
        <w:rPr>
          <w:lang w:val="pt-PT"/>
        </w:rPr>
        <w:t>3.4 Métodos de recolha e análise de dados</w:t>
      </w:r>
    </w:p>
    <w:p>
      <w:pPr>
        <w:pStyle w:val="Heading3"/>
        <w:bidi w:val="0"/>
        <w:jc w:val="left"/>
        <w:rPr>
          <w:lang w:val="pt-PT"/>
        </w:rPr>
      </w:pPr>
      <w:r>
        <w:rPr>
          <w:lang w:val="pt-PT"/>
        </w:rPr>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5"/>
      </w:r>
      <w:r>
        <w:rPr>
          <w:lang w:val="pt-PT"/>
        </w:rPr>
        <w:t>. Estes dados são analisados de forma iterativa, permitindo reformular o modelo paramétrico e otimizar o seu desempenho.</w:t>
      </w:r>
    </w:p>
    <w:p>
      <w:pPr>
        <w:pStyle w:val="Normal"/>
        <w:bidi w:val="0"/>
        <w:jc w:val="left"/>
        <w:rPr>
          <w:lang w:val="pt-PT"/>
        </w:rPr>
      </w:pPr>
      <w:r>
        <w:rPr/>
        <w:t>Na fase de prototipagem, a análise incide sobre os critérios de exequibilidade de fabrico, robustez estrutural preliminar, coerência dimensional, facilidade de montagem e comportamento material inicial. Os modelos exportados a partir dos testes de perfil foram preparados para fabrico digital em dois programas de preparação de impressão 3D: PrusaSlicer 2.9.6 e Bambu Studio. Estes programas permitem converter o modelo tridimensional num conjunto de instruções interpretáveis pela impressora, definindo parâmetros como orientação da peça, altura de camada, preenchimento interno, suportes, temperaturas, velocidades e trajetórias de deposição do material. A utilização de dois ambientes de preparação permitiu verificar a compatibilidade dos ficheiros exportados e observar eventuais diferenças na interpretação da geometria antes da produção física.</w:t>
      </w:r>
    </w:p>
    <w:p>
      <w:pPr>
        <w:pStyle w:val="BodyText"/>
        <w:rPr/>
      </w:pPr>
      <w:r>
        <w:rPr/>
        <w:t>A materialização dos modelos foi realizada por impressão 3D numa Bambu Lab A1 com AMS. A Bambu Lab A1 é uma impressora 3D de extrusão de filamento, adequada à produção rápida de protótipos em materiais termoplásticos. O sistema AMS, associado à impressora, permite gerir automaticamente vários rolos de filamento, facilitando a alternância entre materiais ou cores durante o processo de impressão.</w:t>
      </w:r>
    </w:p>
    <w:p>
      <w:pPr>
        <w:pStyle w:val="BodyText"/>
        <w:rPr/>
      </w:pPr>
      <w:r>
        <w:rPr/>
        <w:t>Foram utilizados dois materiais: PLA e PETG. O PLA foi selecionado por ser rígido, estável, económico e adequado à verificação rápida da geometria, permitindo avaliar dimensões gerais, encaixes preliminares e coerência formal. O PETG foi utilizado como alternativa mais resistente e menos frágil, permitindo observar o comportamento dos componentes em situações de manipulação, encaixe e montagem preliminar. Esta comparação permitiu verificar se a geometria gerada pelo sistema permanecia compatível com a preparação para impressão 3D, com a manipulação física dos componentes e com a transição do ambiente digital para o objeto materializado.</w:t>
      </w:r>
    </w:p>
    <w:p>
      <w:pPr>
        <w:pStyle w:val="Normal"/>
        <w:bidi w:val="0"/>
        <w:jc w:val="left"/>
        <w:rPr>
          <w:lang w:val="pt-PT"/>
        </w:rPr>
      </w:pPr>
      <w:r>
        <w:rPr/>
        <w:t>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1905000"/>
            <wp:effectExtent l="0" t="0" r="0" b="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a:picLocks noChangeAspect="1" noChangeArrowheads="1"/>
                    </pic:cNvPicPr>
                  </pic:nvPicPr>
                  <pic:blipFill>
                    <a:blip r:embed="rId17"/>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 xml:space="preserve">No caso específico da parametrização assistida por IA, a avaliação foi organizada em dois patamares. </w:t>
      </w:r>
      <w:r>
        <w:rPr/>
        <w:t>O primeiro patamar incidiu sobre a coerência numérica das sugestões, avaliando a conformidade com o esquema de parâmetros, o enquadramento nos intervalos mínimos e máximos definidos, a proporcionalidade entre dedos, a adequação etária e a coerência da lateralidade em casos de amputação unilateral.</w:t>
      </w:r>
    </w:p>
    <w:p>
      <w:pPr>
        <w:pStyle w:val="Normal"/>
        <w:bidi w:val="0"/>
        <w:jc w:val="left"/>
        <w:rPr>
          <w:lang w:val="pt-PT"/>
        </w:rPr>
      </w:pPr>
      <w:r>
        <w:rPr>
          <w:lang w:val="pt-PT"/>
        </w:rPr>
        <w:t>O segundo prolongou essa verificação até à geometria exportada, testando se os valores sugeridos eram efetivamente aplicados nos modelo</w:t>
      </w:r>
      <w:commentRangeStart w:id="6"/>
      <w:r>
        <w:rPr>
          <w:lang w:val="pt-PT"/>
        </w:rPr>
        <w:t xml:space="preserve">s OpenSCAD/WebAssembly </w:t>
      </w:r>
      <w:r>
        <w:rPr>
          <w:lang w:val="pt-PT"/>
        </w:rPr>
      </w:r>
      <w:commentRangeEnd w:id="6"/>
      <w:r>
        <w:commentReference w:id="6"/>
      </w:r>
      <w:r>
        <w:rPr>
          <w:lang w:val="pt-PT"/>
        </w:rPr>
        <w:t xml:space="preserve">e se os ficheiros </w:t>
      </w:r>
      <w:commentRangeStart w:id="7"/>
      <w:r>
        <w:rPr>
          <w:lang w:val="pt-PT"/>
        </w:rPr>
        <w:t>3MF e STL</w:t>
      </w:r>
      <w:r>
        <w:rPr>
          <w:lang w:val="pt-PT"/>
        </w:rPr>
      </w:r>
      <w:commentRangeEnd w:id="7"/>
      <w:r>
        <w:commentReference w:id="7"/>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de apoio.</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 xml:space="preserve">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w:t>
      </w:r>
      <w:r>
        <w:rPr/>
        <w:t>Implica, pelo contrário, a conceção de dispositivos capazes de conciliar funcionalidade, conforto, leveza, funcionamento consistente, controlo inteligível, aceitabilidade estética e custos compatíveis com a produção, adaptação, manutenção e acesso continuado à prótese, num contexto em que continuam a registar-se taxas elevadas de rejeição e abandono.</w:t>
      </w:r>
    </w:p>
    <w:p>
      <w:pPr>
        <w:pStyle w:val="Normal"/>
        <w:bidi w:val="0"/>
        <w:jc w:val="left"/>
        <w:rPr>
          <w:lang w:val="pt-PT"/>
        </w:rPr>
      </w:pPr>
      <w:r>
        <w:rPr>
          <w:lang w:val="pt-PT"/>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8"/>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wp:inline distT="0" distB="0" distL="0" distR="0">
            <wp:extent cx="4667250" cy="3467100"/>
            <wp:effectExtent l="0" t="0" r="0" b="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18"/>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9">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705100"/>
            <wp:effectExtent l="0" t="0" r="0" b="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a:picLocks noChangeAspect="1" noChangeArrowheads="1"/>
                    </pic:cNvPicPr>
                  </pic:nvPicPr>
                  <pic:blipFill>
                    <a:blip r:embed="rId20"/>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21">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das medições e na sua tradução para parâmetros de projeto.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personalização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os conjuntos de dados (</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w:t>
      </w:r>
    </w:p>
    <w:p>
      <w:pPr>
        <w:pStyle w:val="BodyText"/>
        <w:bidi w:val="0"/>
        <w:jc w:val="left"/>
        <w:rPr>
          <w:lang w:val="pt-PT"/>
        </w:rPr>
      </w:pPr>
      <w:r>
        <w:rPr>
          <w:lang w:val="pt-PT"/>
        </w:rPr>
        <w:t>A base de dados construída permite comparar valores relativos ao comprimento da mão, à largura da palma, aos comprimentos digitais, às dimensões do punho e às relações com o antebraço, mantendo a referência à fonte, à população e ao contexto metodológico de cada registo.</w:t>
      </w:r>
    </w:p>
    <w:p>
      <w:pPr>
        <w:pStyle w:val="BodyText"/>
        <w:bidi w:val="0"/>
        <w:jc w:val="left"/>
        <w:rPr>
          <w:lang w:val="pt-PT"/>
        </w:rPr>
      </w:pPr>
      <w:r>
        <w:rP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rPr/>
        <w:t>OpenSCAD: enquadramento e justificação da escolha</w:t>
      </w:r>
    </w:p>
    <w:p>
      <w:pPr>
        <w:pStyle w:val="Normal"/>
        <w:bidi w:val="0"/>
        <w:jc w:val="left"/>
        <w:rPr>
          <w:lang w:val="pt-PT"/>
        </w:rPr>
      </w:pPr>
      <w:r>
        <w:rP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rP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rPr/>
        <w:t>A escolha do OpenSCAD resulta, em primeiro lugar, da sua adequação a processos reprodutíveis de design paramétrico. Por ser baseado em texto simples, o ficheiro-fonte pode ser mantido sob controlo de versões, comparado, revisto e reutilizado, permitindo reconstituir as decisões de modelação e replicar as variantes geradas.</w:t>
      </w:r>
    </w:p>
    <w:p>
      <w:pPr>
        <w:pStyle w:val="Normal"/>
        <w:bidi w:val="0"/>
        <w:jc w:val="left"/>
        <w:rPr>
          <w:lang w:val="pt-PT"/>
        </w:rPr>
      </w:pPr>
      <w:r>
        <w:rPr/>
        <w:t>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rP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(#ref-nilsiam-2017); Brooks, 2026 (#ref-brooks-2026)).</w:t>
      </w:r>
    </w:p>
    <w:p>
      <w:pPr>
        <w:pStyle w:val="Normal"/>
        <w:bidi w:val="0"/>
        <w:jc w:val="left"/>
        <w:rPr>
          <w:lang w:val="pt-PT"/>
        </w:rPr>
      </w:pPr>
      <w:r>
        <w:rP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rPr/>
        <w:t>No contexto específico das próteses e das tecnologias de apoio, esta escolha é ainda reforçada por estudos que usam modelação paramétrica para adaptar dedos protésicos, mãos mecânicas acionadas pelo corpo e outros dispositivos de apoio às medidas ou necessidades do utilizador.</w:t>
        <w:br/>
        <w:t>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w:t>
      </w:r>
    </w:p>
    <w:p>
      <w:pPr>
        <w:pStyle w:val="Normal"/>
        <w:bidi w:val="0"/>
        <w:jc w:val="left"/>
        <w:rPr>
          <w:lang w:val="pt-PT"/>
        </w:rPr>
      </w:pPr>
      <w:r>
        <w:rPr>
          <w:lang w:val="pt-PT"/>
        </w:rPr>
        <w:t>Os estudos revistos sobre modelação paramétrica aplicada a próteses e sobre modelação CAD programável reforçam esta perspetiva, ao associarem estas abordagens à possibilidade de explicitar decisões de modelação, manter consistência entre variantes e automatizar etapas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324225"/>
            <wp:effectExtent l="0" t="0" r="0" b="0"/>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a:picLocks noChangeAspect="1" noChangeArrowheads="1"/>
                    </pic:cNvPicPr>
                  </pic:nvPicPr>
                  <pic:blipFill>
                    <a:blip r:embed="rId22"/>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3">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membro residual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9"/>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9"/>
      <w:r>
        <w:commentReference w:id="9"/>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0"/>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0"/>
      <w:r>
        <w:commentReference w:id="10"/>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1"/>
      <w:r>
        <w:rPr>
          <w:lang w:val="pt-PT"/>
        </w:rPr>
        <w:t>ivamente técnica (Peixoto et al., 2025 (#ref-peixoto-2025)).</w:t>
      </w:r>
      <w:commentRangeEnd w:id="11"/>
      <w:r>
        <w:commentReference w:id="11"/>
      </w:r>
      <w:r>
        <w:rPr>
          <w:lang w:val="pt-PT"/>
        </w:rPr>
      </w:r>
    </w:p>
    <w:p>
      <w:pPr>
        <w:pStyle w:val="Normal"/>
        <w:bidi w:val="0"/>
        <w:jc w:val="left"/>
        <w:rPr>
          <w:lang w:val="pt-PT"/>
        </w:rPr>
      </w:pPr>
      <w:r>
        <w:rPr>
          <w:lang w:val="pt-PT"/>
        </w:rPr>
      </w:r>
    </w:p>
    <w:p>
      <w:pPr>
        <w:pStyle w:val="Normal"/>
        <w:bidi w:val="0"/>
        <w:jc w:val="left"/>
        <w:rPr>
          <w:lang w:val="pt-PT"/>
        </w:rPr>
      </w:pPr>
      <w:r>
        <w:rPr>
          <w:lang w:val="pt-PT"/>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31510" cy="2687955"/>
            <wp:effectExtent l="0" t="0" r="0" b="0"/>
            <wp:wrapSquare wrapText="largest"/>
            <wp:docPr id="1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0"/>
                    <pic:cNvPicPr>
                      <a:picLocks noChangeAspect="1" noChangeArrowheads="1"/>
                    </pic:cNvPicPr>
                  </pic:nvPicPr>
                  <pic:blipFill>
                    <a:blip r:embed="rId24"/>
                    <a:stretch>
                      <a:fillRect/>
                    </a:stretch>
                  </pic:blipFill>
                  <pic:spPr bwMode="auto">
                    <a:xfrm>
                      <a:off x="0" y="0"/>
                      <a:ext cx="5731510" cy="2687955"/>
                    </a:xfrm>
                    <a:prstGeom prst="rect">
                      <a:avLst/>
                    </a:prstGeom>
                    <a:noFill/>
                  </pic:spPr>
                </pic:pic>
              </a:graphicData>
            </a:graphic>
          </wp:anchor>
        </w:drawing>
      </w:r>
    </w:p>
    <w:p>
      <w:pPr>
        <w:pStyle w:val="Normal"/>
        <w:bidi w:val="0"/>
        <w:jc w:val="left"/>
        <w:rPr>
          <w:lang w:val="pt-PT"/>
        </w:rPr>
      </w:pPr>
      <w:r>
        <w:rPr>
          <w:lang w:val="pt-PT"/>
        </w:rPr>
        <w:t>Figura 5.1 — Fluxo geral de produção personalizada de próteses a partir de 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 xml:space="preserve">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w:t>
      </w:r>
      <w:r>
        <w:rPr/>
        <w:t>Em termos conceptuais, esta separação prolonga a lógica já discutida nas secções anteriores: a personalização digital exige sistemas suficientemente configuráveis para acomodar a variação, mas também suficientemente estruturados para preservar a coerência, documentar decisões e facilitar a manutenção</w:t>
      </w:r>
      <w:r>
        <w:rPr>
          <w:lang w:val="pt-PT"/>
        </w:rPr>
        <w:t xml:space="preserve"> (Ozdemir et al., 2022 (#ref-ozdemir-2022); Lei et al., 2016 (#ref-lei-2016)).</w:t>
      </w:r>
    </w:p>
    <w:p>
      <w:pPr>
        <w:pStyle w:val="Normal"/>
        <w:bidi w:val="0"/>
        <w:jc w:val="left"/>
        <w:rPr>
          <w:lang w:val="pt-PT"/>
        </w:rPr>
      </w:pPr>
      <w:r>
        <w:rPr>
          <w:lang w:val="pt-PT"/>
        </w:rPr>
        <w:t>A Figura 5.2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wp:inline distT="0" distB="0" distL="0" distR="0">
            <wp:extent cx="5715000" cy="3238500"/>
            <wp:effectExtent l="0" t="0" r="0" b="0"/>
            <wp:docPr id="16"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descr="Image 15"/>
                    <pic:cNvPicPr>
                      <a:picLocks noChangeAspect="1" noChangeArrowheads="1"/>
                    </pic:cNvPicPr>
                  </pic:nvPicPr>
                  <pic:blipFill>
                    <a:blip r:embed="rId25"/>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5.2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r:id="rId26">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 xml:space="preserve">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w:t>
      </w:r>
      <w:r>
        <w:rPr/>
        <w:t>Neste sentido, a arquitetura traduz uma opção por robustez e capacidade de expansão controlada, ao articular os diferentes componentes numa estrutura técnica coerente com os requisitos de personalização assistida, gestão multiutilizador e evolução futura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xml:space="preserve">,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w:t>
      </w:r>
      <w:r>
        <w:rPr/>
        <w:t>Este fluxo estabelece uma ligação direta entre edição paramétrica, cálculo geométrico e feedback visual, permitindo que o processo seja documentado, verificado e revisto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5.3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wp:inline distT="0" distB="0" distL="0" distR="0">
            <wp:extent cx="5715000" cy="4657725"/>
            <wp:effectExtent l="0" t="0" r="0" b="0"/>
            <wp:docPr id="17"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descr="Image 16"/>
                    <pic:cNvPicPr>
                      <a:picLocks noChangeAspect="1" noChangeArrowheads="1"/>
                    </pic:cNvPicPr>
                  </pic:nvPicPr>
                  <pic:blipFill>
                    <a:blip r:embed="rId27"/>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5.3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r:id="rId28">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2"/>
      <w:r>
        <w:rPr>
          <w:lang w:val="pt-PT"/>
        </w:rPr>
        <w:t>STL ou 3MF</w:t>
      </w:r>
      <w:r>
        <w:rPr>
          <w:lang w:val="pt-PT"/>
        </w:rPr>
      </w:r>
      <w:commentRangeEnd w:id="12"/>
      <w:r>
        <w:commentReference w:id="12"/>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rStyle w:val="FootnoteReference"/>
          <w:i/>
          <w:iCs/>
          <w:lang w:val="pt-PT"/>
        </w:rPr>
        <w:footnoteReference w:id="16"/>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w:t>
      </w:r>
    </w:p>
    <w:p>
      <w:pPr>
        <w:pStyle w:val="Normal"/>
        <w:bidi w:val="0"/>
        <w:jc w:val="left"/>
        <w:rPr>
          <w:lang w:val="pt-PT"/>
        </w:rPr>
      </w:pPr>
      <w:r>
        <w:rP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w:t>
      </w:r>
      <w:r>
        <w:rPr>
          <w:rStyle w:val="FootnoteReference"/>
        </w:rPr>
        <w:footnoteReference w:id="17"/>
      </w:r>
      <w:r>
        <w:rPr/>
        <w:t>, enquadrando essa capacidade numa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3"/>
      <w:r>
        <w:rPr>
          <w:lang w:val="pt-PT"/>
        </w:rPr>
        <w:t>No caso do Paraglider Hand, também conhecido como Flexible Flyer, a integração partiu de uma mão mecânica acionada pelo corpo, derivada da linhagem Phoenix e UnLimbited.</w:t>
      </w:r>
      <w:r>
        <w:rPr>
          <w:lang w:val="pt-PT"/>
        </w:rPr>
      </w:r>
      <w:commentRangeEnd w:id="13"/>
      <w:r>
        <w:commentReference w:id="13"/>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4"/>
      <w:r>
        <w:rPr>
          <w:lang w:val="pt-PT"/>
        </w:rPr>
        <w:t>parâmetros de hardware</w:t>
      </w:r>
      <w:r>
        <w:rPr>
          <w:lang w:val="pt-PT"/>
        </w:rPr>
      </w:r>
      <w:commentRangeEnd w:id="14"/>
      <w:r>
        <w:commentReference w:id="14"/>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w:t>
      </w:r>
      <w:r>
        <w:rPr/>
        <w:t>A primeira vantagem é a explicitação da estrutura paramétrica, uma vez que permite identificar quais variáveis são editáveis, quais são os seus intervalos válidos e de que modo se articulam com os controlos disponibilizados pela interface.</w:t>
      </w:r>
      <w:r>
        <w:rPr>
          <w:lang w:val="pt-PT"/>
        </w:rPr>
        <w:t xml:space="preserv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w:t>
      </w:r>
      <w:r>
        <w:rPr/>
        <w:t xml:space="preserve">Cada configuração registada pode, assim, ser entendida como uma instância documentada do processo de personalização, passível de recuperação, comparação e revisão, e não apenas como um ficheiro transitório. </w:t>
      </w:r>
      <w:r>
        <w:rPr>
          <w:lang w:val="pt-PT"/>
        </w:rPr>
        <w:t>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Do ponto de vista funcional, a persistência dessas configurações em estruturas JSON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15"/>
      <w:r>
        <w:rPr>
          <w:lang w:val="pt-PT"/>
        </w:rPr>
        <w:t>SQLite</w:t>
      </w:r>
      <w:r>
        <w:rPr>
          <w:lang w:val="pt-PT"/>
        </w:rPr>
      </w:r>
      <w:commentRangeEnd w:id="15"/>
      <w:r>
        <w:commentReference w:id="15"/>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16"/>
      <w:r>
        <w:rPr>
          <w:lang w:val="pt-PT"/>
        </w:rPr>
        <w:t>IA</w:t>
      </w:r>
      <w:r>
        <w:rPr>
          <w:lang w:val="pt-PT"/>
        </w:rPr>
      </w:r>
      <w:commentRangeEnd w:id="16"/>
      <w:r>
        <w:commentReference w:id="16"/>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17"/>
      <w:r>
        <w:rPr>
          <w:lang w:val="pt-PT"/>
        </w:rPr>
        <w:t>EMG</w:t>
      </w:r>
      <w:r>
        <w:rPr>
          <w:lang w:val="pt-PT"/>
        </w:rPr>
      </w:r>
      <w:commentRangeEnd w:id="17"/>
      <w:r>
        <w:commentReference w:id="17"/>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Neste enquadramento, a IA é tratada como camada complementar de apoio à configuração, operando sobre uma base paramétrica já definida. A literatura sobre próteses parametrizadas, dedos protésicos personalizados e encaixes transradiais confirma a utilidade de modelos explícitos e ajustáveis; neste sistema, esse princípio é retomado sem atribuir à IA a geração autónoma da geometria (da Silveira Romero et al., 2025 (#ref-da-silveira-romero-2025); Lim et al., 2018 (#ref-lim-2018); Saldarriaga et al., 2024 (#ref-saldarriaga-2024)).</w:t>
      </w:r>
      <w:r>
        <w:rPr/>
        <w:t/>
      </w:r>
      <w:r>
        <w:rPr>
          <w:lang w:val="pt-PT"/>
        </w:rPr>
        <w:t/>
      </w:r>
      <w:commentRangeStart w:id="18"/>
      <w:r>
        <w:rPr>
          <w:shd w:fill="FFFF00" w:val="clear"/>
          <w:lang w:val="pt-PT"/>
        </w:rPr>
        <w:t/>
      </w:r>
      <w:commentRangeEnd w:id="18"/>
      <w:r>
        <w:commentReference w:id="18"/>
      </w:r>
      <w:r>
        <w:rPr>
          <w:shd w:fill="FFFF00" w:val="clear"/>
          <w:lang w:val="pt-PT"/>
        </w:rPr>
      </w:r>
    </w:p>
    <w:p>
      <w:pPr>
        <w:pStyle w:val="Normal"/>
        <w:bidi w:val="0"/>
        <w:jc w:val="left"/>
        <w:rPr>
          <w:lang w:val="pt-PT"/>
        </w:rPr>
      </w:pPr>
      <w:r>
        <w:rPr>
          <w:lang w:val="pt-PT"/>
        </w:rPr>
        <w:t>A sua função específica é mediar a passagem entre dados de entrada e exploração inicial do espaço paramétrico: sugere valores plausíveis, sinaliza dependências e reduz a complexidade da configuração manual, sem substituir interpretação humana nem validação técnica. Esta posição aproxima-se de abordagens data-driven orientadas à adaptação estrutural e ao conforto (Gu et al., 2024 (#ref-gu-2024)).</w:t>
      </w:r>
      <w:r>
        <w:rPr>
          <w:shd w:fill="FFFF00" w:val="clear"/>
          <w:lang w:val="pt-PT"/>
        </w:rPr>
        <w:t/>
      </w:r>
      <w:commentRangeStart w:id="19"/>
      <w:r>
        <w:rPr>
          <w:i/>
          <w:iCs/>
          <w:shd w:fill="FFFF00" w:val="clear"/>
          <w:lang w:val="pt-PT"/>
        </w:rPr>
        <w:t/>
      </w:r>
      <w:r>
        <w:rPr>
          <w:i/>
          <w:iCs/>
          <w:shd w:fill="FFFF00" w:val="clear"/>
          <w:lang w:val="pt-PT"/>
        </w:rPr>
      </w:r>
      <w:commentRangeEnd w:id="19"/>
      <w:r>
        <w:commentReference w:id="19"/>
      </w:r>
      <w:r>
        <w:rPr>
          <w:lang w:val="pt-PT"/>
        </w:rPr>
        <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descrita no capítulo anterior: a interface, a lógica paramétrica, a renderização local e a chamada à IA mantêm funções separadas. A IA reforça um processo já estruturado por regras, fabrico e responsabilidade humana, em vez de prometer automatização total (Romero et al., 2025 (#ref-da-silveira-romero-2025); Elbreki et al., 2022 (#ref-elbreki-2022); Idris et al., 2024 (#ref-idris-2024)).</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personalização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É por isso que, nesta investigação, a personalização assistida por IA deve ser entendida como uma prática de human-in-the-loop. O sistema procura ampliar a capacidade de análise e exploração do protesista, do designer ou do utilizador informado: sugere configurações iniciais, organiza alternativas e explicita dependências, mas a aceitação final continua dependente de verificação técnica e julgamento contextual.</w:t>
      </w:r>
      <w:commentRangeStart w:id="20"/>
      <w:r>
        <w:rPr>
          <w:i/>
          <w:iCs/>
          <w:lang w:val="pt-PT"/>
        </w:rPr>
        <w:t/>
      </w:r>
      <w:r>
        <w:rPr>
          <w:i/>
          <w:iCs/>
          <w:lang w:val="pt-PT"/>
        </w:rPr>
      </w:r>
      <w:commentRangeEnd w:id="20"/>
      <w:r>
        <w:commentReference w:id="20"/>
      </w:r>
      <w:r>
        <w:rPr/>
        <w:t/>
      </w:r>
      <w:r>
        <w:rPr>
          <w:lang w:val="pt-PT"/>
        </w:rPr>
        <w:t/>
      </w:r>
      <w:r>
        <w:rPr/>
        <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A validação antropométrica assistida por IA realizada no sistema deve ser entendida como uma verificação interna da consistência numérica e da coerência paramétrica, e não como validação clínica da prótese final.</w:t>
      </w:r>
    </w:p>
    <w:p>
      <w:pPr>
        <w:pStyle w:val="Normal"/>
        <w:bidi w:val="0"/>
        <w:jc w:val="left"/>
        <w:rPr>
          <w:lang w:val="pt-PT"/>
        </w:rPr>
      </w:pP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w:t>
      </w:r>
      <w:r>
        <w:rPr/>
        <w:t>O terceiro critério foi a coerência com intervalos antropométricos adultos, usando como referência os intervalos já adotados no sistema.</w:t>
      </w:r>
      <w:r>
        <w:rPr>
          <w:lang w:val="pt-PT"/>
        </w:rPr>
        <w:t xml:space="preserve">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1"/>
      <w:r>
        <w:rPr>
          <w:lang w:val="pt-PT"/>
        </w:rPr>
        <w:t>O protocolo considerou dois grupos de perfis: cinco descrições apenas demográficas ou contextuais e três cenários de amputação unilateral com diferentes níveis de medição. A função desta secção é delimitar o desenho do ensaio; os resultados detalhados, incluindo a resposta a entradas completas, parciais ou apenas demográficas, são apresentados na Secção 8.2.</w:t>
      </w:r>
      <w:r>
        <w:rPr>
          <w:lang w:val="pt-PT"/>
        </w:rPr>
      </w:r>
      <w:commentRangeEnd w:id="21"/>
      <w:r>
        <w:commentReference w:id="21"/>
      </w:r>
      <w:r>
        <w:rPr>
          <w:lang w:val="pt-PT"/>
        </w:rPr>
        <w:t/>
      </w:r>
      <w:r>
        <w:rPr/>
        <w:t/>
      </w:r>
    </w:p>
    <w:p>
      <w:pPr>
        <w:pStyle w:val="Normal"/>
        <w:bidi w:val="0"/>
        <w:jc w:val="left"/>
        <w:rPr>
          <w:lang w:val="pt-PT"/>
        </w:rPr>
      </w:pPr>
      <w:r>
        <w:rPr>
          <w:lang w:val="pt-PT"/>
        </w:rPr>
        <w:t>A verificação prolongou-se depois da resposta numérica até à exportação dos modelos em STL e 3MF, etapa necessária para confirmar a continuidade entre sugestão paramétrica e geometria produzida.</w:t>
      </w:r>
    </w:p>
    <w:p>
      <w:pPr>
        <w:pStyle w:val="Normal"/>
        <w:bidi w:val="0"/>
        <w:jc w:val="left"/>
        <w:rPr>
          <w:lang w:val="pt-PT"/>
        </w:rPr>
      </w:pPr>
      <w:r>
        <w:rPr>
          <w:lang w:val="pt-PT"/>
        </w:rPr>
        <w:t>Essa etapa incidiu sobre os três modelos ativos da plataforma - Flexy Beast, Paraglider Hand e UnLimbited Phoenix - e os seus resultados são analisados na Secção 8.3.</w:t>
      </w:r>
      <w:r>
        <w:rPr/>
        <w:commentReference w:id="22"/>
      </w:r>
      <w:r>
        <w:rPr>
          <w:lang w:val="pt-PT"/>
        </w:rPr>
        <w:t/>
      </w:r>
    </w:p>
    <w:p>
      <w:pPr>
        <w:pStyle w:val="Normal"/>
        <w:bidi w:val="0"/>
        <w:jc w:val="left"/>
        <w:rPr>
          <w:lang w:val="pt-PT"/>
        </w:rPr>
      </w:pPr>
      <w:r>
        <w:rPr>
          <w:lang w:val="pt-PT"/>
        </w:rPr>
        <w:t>A lateralidade foi incluída no protocolo como critério crítico, mas a descrição completa da falha observada e da correção determinística fica concentrada na Secção 8.2. Esta opção evita duplicar aqui a narrativa dos resultados e mantém a Secção 6.3 centrada no desenho da validação e nos seus limites.</w:t>
      </w:r>
      <w:r>
        <w:rPr/>
        <w:t/>
      </w:r>
    </w:p>
    <w:p>
      <w:pPr>
        <w:pStyle w:val="Normal"/>
        <w:bidi w:val="0"/>
        <w:jc w:val="left"/>
        <w:rPr>
          <w:lang w:val="pt-PT"/>
        </w:rPr>
      </w:pPr>
      <w:r>
        <w:rPr>
          <w:lang w:val="pt-PT"/>
        </w:rPr>
        <w:t>Deste modo, esta secção estabelece o alcance metodológico da validação antropométrica assistida por IA: verificar consistência interna, continuidade entre linguagem natural e parâmetros, e necessidade de revisão humana antes de qualquer utilização funcional ou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 (Panchal et al., 2019 (#ref-panchal-2019); Yüksel et al., 2023 (#ref-yuksel-2023)).</w:t>
      </w:r>
      <w:r>
        <w:rPr/>
        <w:t/>
      </w:r>
      <w:r>
        <w:rPr>
          <w:lang w:val="pt-PT"/>
        </w:rPr>
        <w:t/>
      </w:r>
    </w:p>
    <w:p>
      <w:pPr>
        <w:pStyle w:val="Normal"/>
        <w:bidi w:val="0"/>
        <w:jc w:val="left"/>
        <w:rPr>
          <w:lang w:val="pt-PT"/>
        </w:rPr>
      </w:pPr>
      <w:r>
        <w:rPr>
          <w:lang w:val="pt-PT"/>
        </w:rPr>
        <w:t>A Figura 6.1 sintetiza a relação entre os desafios de tornar os sistemas de IA compreensíveis e os princípios de IA responsável. No contexto desta investigação, a figura é útil porque evidencia que a responsabilidade em sistemas de IA resulta da articulação entre desempenho preditivo, transparência, possibilidade de verificação, privacidade, justiça e prestação de contas. Estes princípios reforçam a opção do sistema por uma IA de apoio, limitada por regras e sujeita a revisão humana (Barredo Arrieta et al., 2020 (#ref-arrieta-2020)).</w:t>
      </w:r>
      <w:r>
        <w:rPr/>
        <w:t/>
      </w:r>
      <w:r>
        <w:rPr>
          <w:lang w:val="pt-PT"/>
        </w:rPr>
        <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000250"/>
            <wp:effectExtent l="0" t="0" r="0" b="0"/>
            <wp:docPr id="18"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7" descr="Image 17"/>
                    <pic:cNvPicPr>
                      <a:picLocks noChangeAspect="1" noChangeArrowheads="1"/>
                    </pic:cNvPicPr>
                  </pic:nvPicPr>
                  <pic:blipFill>
                    <a:blip r:embed="rId29"/>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6.1 — Relação entre compreensão dos sistemas de IA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30">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acede às configurações e comunicar que a IA apoia a configuração sem assumir autoridade técnica ou clínica. Esta delimitação evita deslocamentos indevidos de responsabilidade e define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tornar acessível, através da interface, um sistema de modelação paramétrica baseado em código. Em vez de exigir contacto direto com a estrutura interna do modelo, a aplicação organiza a interação em torno de ações reconhecíveis e progressivas: selecionar um modelo, introduzir dados antropométricos, ajustar parâmetros, observar o resultado e guardar configurações.</w:t>
      </w:r>
      <w:r>
        <w:rPr/>
        <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3"/>
      <w:r>
        <w:rPr>
          <w:lang w:val="pt-PT"/>
        </w:rPr>
        <w:t>UI/UX</w:t>
      </w:r>
      <w:r>
        <w:rPr>
          <w:lang w:val="pt-PT"/>
        </w:rPr>
      </w:r>
      <w:commentRangeEnd w:id="23"/>
      <w:r>
        <w:commentReference w:id="23"/>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compreensão dos efeitos de cada ação e o registo das alterações, mediando a passagem entre os dados do utilizador, as regras paramétricas, a assistência algorítmica e o resultado tridimensional.</w:t>
      </w:r>
    </w:p>
    <w:p>
      <w:pPr>
        <w:pStyle w:val="Normal"/>
        <w:bidi w:val="0"/>
        <w:jc w:val="left"/>
        <w:rPr>
          <w:lang w:val="pt-PT"/>
        </w:rPr>
      </w:pPr>
      <w:r>
        <w:rPr>
          <w:lang w:val="pt-PT"/>
        </w:rPr>
        <w:t>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Para o designer, técnico especialista em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r>
        <w:rPr/>
        <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038725" cy="4724400"/>
            <wp:effectExtent l="0" t="0" r="0" b="0"/>
            <wp:docPr id="19"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8" descr="Image 18"/>
                    <pic:cNvPicPr>
                      <a:picLocks noChangeAspect="1" noChangeArrowheads="1"/>
                    </pic:cNvPicPr>
                  </pic:nvPicPr>
                  <pic:blipFill>
                    <a:blip r:embed="rId31"/>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 xml:space="preserve">Uma interface bem desenhada pode criar a sensação de evidência ou de neutralidade em decisões que continuam condicionadas por critérios de projeto, pressupostos técnicos e escolhas interpretativas. </w:t>
      </w:r>
      <w:r>
        <w:rPr/>
        <w:t>O facto de um parâmetro ser apresentado como controlo disponível, ou de uma sugestão aparentar coerência técnica, não significa que a solução esteja validada ou que represente a opção mais adequada em todos os contextos.</w:t>
      </w:r>
    </w:p>
    <w:p>
      <w:pPr>
        <w:pStyle w:val="Normal"/>
        <w:bidi w:val="0"/>
        <w:jc w:val="left"/>
        <w:rPr>
          <w:lang w:val="pt-PT"/>
        </w:rPr>
      </w:pPr>
      <w:r>
        <w:rPr>
          <w:lang w:val="pt-PT"/>
        </w:rPr>
        <w:t>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u w:val="double"/>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a coerência técnica do modelo paramétrico, o funcionamento da plataforma digital e a consistência das sugestões assistidas por IA face aos critérios numéricos e paramétricos definidos.</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critérios mínimos de consistência numérica, paramétrica e geométrica antes da preparação para fabrico.</w:t>
      </w:r>
    </w:p>
    <w:p>
      <w:pPr>
        <w:pStyle w:val="Normal"/>
        <w:bidi w:val="0"/>
        <w:jc w:val="left"/>
        <w:rPr>
          <w:lang w:val="pt-PT"/>
        </w:rPr>
      </w:pPr>
      <w:r>
        <w:rPr/>
        <w:t>A avaliação de conforto, desempenho funcional em uso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t>A validação foi depois prolongada para prototipagem física. Com base nos resultados dos testes de perfil, foram selecionadas configurações representativas dos cenários avaliados, incluindo perfis de mão pequena, perfil adulto feminino e perfil adulto masculino. Estas geometrias foram exportadas em STL/3MF, preparadas no PrusaSlicer 2.9.6 e no Bambu Studio, e impressas nos materiais definidos na metodologia numa Bambu Lab A1 com AMS, para verificar a passagem do modelo exportado ao protótipo físico.</w:t>
      </w:r>
    </w:p>
    <w:p>
      <w:pPr>
        <w:pStyle w:val="Normal"/>
        <w:bidi w:val="0"/>
        <w:jc w:val="left"/>
        <w:rPr>
          <w:lang w:val="pt-PT"/>
        </w:rPr>
      </w:pPr>
      <w:r>
        <w:rPr/>
        <w:t>A validação física seguiu cinco verificações principais: compatibilidade do ficheiro exportado com o software de preparação para impressão, ausência de falhas críticas de malha ou escala, conclusão da impressão sem defeitos impeditivos, inspeção visual e dimensional das zonas críticas e, quando aplicável, teste de encaixe ou montagem entre componentes. Esta etapa não teve como objetivo demonstrar eficácia clínica, conforto de uso ou durabilidade prolongada; o seu objetivo foi confirmar que os resultados dos perfis testados podiam atravessar a cadeia completa perfil -&gt; parâmetros -&gt; OpenSCAD/WebAssembly -&gt; STL/3MF -&gt; impressão 3D, mantendo coerência geométrica e viabilidade produtiva.</w:t>
      </w:r>
    </w:p>
    <w:p>
      <w:pPr>
        <w:pStyle w:val="Normal"/>
        <w:rPr/>
      </w:pPr>
      <w:r>
        <w:rPr/>
      </w:r>
    </w:p>
    <w:p>
      <w:pPr>
        <w:pStyle w:val="Normal"/>
        <w:bidi w:val="0"/>
        <w:jc w:val="left"/>
        <w:rPr>
          <w:lang w:val="pt-PT"/>
        </w:rPr>
      </w:pPr>
      <w:r>
        <w:rPr/>
        <w:t>A Tabela 8.1 sintetiza os resultados observados nas impressões realizadas. A leitura deve ser entendida como registo técnico preliminar de produção e verificação material, e não como ensaio mecânico normalizado ou validação clínica.</w:t>
      </w:r>
    </w:p>
    <w:p>
      <w:pPr>
        <w:pStyle w:val="Normal"/>
        <w:rPr/>
      </w:pPr>
      <w:r>
        <w:rPr/>
      </w:r>
    </w:p>
    <w:p>
      <w:pPr>
        <w:pStyle w:val="Normal"/>
        <w:bidi w:val="0"/>
        <w:jc w:val="left"/>
        <w:rPr>
          <w:lang w:val="pt-PT"/>
        </w:rPr>
      </w:pPr>
      <w:r>
        <w:rPr/>
        <w:t>Tabela 8.1 — Síntese dos resultados da validação por impressão 3D</w:t>
      </w:r>
    </w:p>
    <w:p>
      <w:pPr>
        <w:pStyle w:val="Normal"/>
        <w:bidi w:val="0"/>
        <w:jc w:val="left"/>
        <w:rPr>
          <w:lang w:val="pt-PT"/>
        </w:rPr>
      </w:pPr>
      <w:r>
        <w:rPr>
          <w:lang w:val="pt-PT"/>
        </w:rPr>
      </w:r>
    </w:p>
    <w:tbl>
      <w:tblPr>
        <w:tblStyle w:val="TableGrid"/>
        <w:tblW w:w="5000" w:type="pct"/>
        <w:jc w:val="left"/>
        <w:tblInd w:w="103" w:type="dxa"/>
        <w:tblLayout w:type="fixed"/>
        <w:tblCellMar>
          <w:top w:w="0" w:type="dxa"/>
          <w:left w:w="108" w:type="dxa"/>
          <w:bottom w:w="0" w:type="dxa"/>
          <w:right w:w="108" w:type="dxa"/>
        </w:tblCellMar>
      </w:tblPr>
      <w:tblGrid>
        <w:gridCol w:w="1342"/>
        <w:gridCol w:w="894"/>
        <w:gridCol w:w="2835"/>
        <w:gridCol w:w="3955"/>
      </w:tblGrid>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Configuração testada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Material</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Verificações realizadas</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Resultado observado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de mão pequena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escala e zonas finas</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sem defeitos impeditivos; geometria imprimível, mantendo necessidade de atenção às espessuras nas zonas reduzidas.</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de mão pequena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manipulação e encaixe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comportamento material menos frágil na manipulação e no encaixe preliminar.</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feminino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escala e integridade formal</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proporções e escala mantiveram coerência com o modelo exportado.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feminino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zonas críticas e montagem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zonas críticas e encaixes verificáveis no protótipo físico.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masculino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 escala aumentada</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a escala maior não impediu a produção do protótipo.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masculino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manipulação e montagem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manipulação preliminar sem falhas impeditivas observadas.</w:t>
            </w:r>
          </w:p>
        </w:tc>
      </w:tr>
    </w:tbl>
    <w:p>
      <w:pPr>
        <w:pStyle w:val="Normal"/>
        <w:rPr/>
      </w:pPr>
      <w:r>
        <w:rPr/>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571875"/>
            <wp:effectExtent l="0" t="0" r="0" b="0"/>
            <wp:docPr id="20"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9" descr="Image 19"/>
                    <pic:cNvPicPr>
                      <a:picLocks noChangeAspect="1" noChangeArrowheads="1"/>
                    </pic:cNvPicPr>
                  </pic:nvPicPr>
                  <pic:blipFill>
                    <a:blip r:embed="rId32"/>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8.2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consistência numérica e paramétrica das sugestões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t>Tabela 8.3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ableHeading"/>
              <w:rPr/>
            </w:pPr>
            <w:r>
              <w:rPr/>
              <w:t>Eixo avaliado</w:t>
            </w:r>
          </w:p>
        </w:tc>
        <w:tc>
          <w:tcPr>
            <w:tcW w:w="3719"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8" w:type="dxa"/>
            <w:tcBorders/>
            <w:vAlign w:val="center"/>
          </w:tcPr>
          <w:p>
            <w:pPr>
              <w:pStyle w:val="TableContents"/>
              <w:rPr/>
            </w:pPr>
            <w:r>
              <w:rPr/>
              <w:t>Conformidade com o esquema</w:t>
            </w:r>
          </w:p>
        </w:tc>
        <w:tc>
          <w:tcPr>
            <w:tcW w:w="3719"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8" w:type="dxa"/>
            <w:tcBorders/>
            <w:vAlign w:val="center"/>
          </w:tcPr>
          <w:p>
            <w:pPr>
              <w:pStyle w:val="TableContents"/>
              <w:rPr/>
            </w:pPr>
            <w:r>
              <w:rPr/>
              <w:t>Proporcionalidade digital</w:t>
            </w:r>
          </w:p>
        </w:tc>
        <w:tc>
          <w:tcPr>
            <w:tcW w:w="3719"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8" w:type="dxa"/>
            <w:tcBorders/>
            <w:vAlign w:val="center"/>
          </w:tcPr>
          <w:p>
            <w:pPr>
              <w:pStyle w:val="TableContents"/>
              <w:rPr/>
            </w:pPr>
            <w:r>
              <w:rPr/>
              <w:t>Entradas completas</w:t>
            </w:r>
          </w:p>
        </w:tc>
        <w:tc>
          <w:tcPr>
            <w:tcW w:w="3719"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8" w:type="dxa"/>
            <w:tcBorders/>
            <w:vAlign w:val="center"/>
          </w:tcPr>
          <w:p>
            <w:pPr>
              <w:pStyle w:val="TableContents"/>
              <w:rPr/>
            </w:pPr>
            <w:r>
              <w:rPr/>
              <w:t>Entradas parciais</w:t>
            </w:r>
          </w:p>
        </w:tc>
        <w:tc>
          <w:tcPr>
            <w:tcW w:w="3719"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8" w:type="dxa"/>
            <w:tcBorders/>
            <w:vAlign w:val="center"/>
          </w:tcPr>
          <w:p>
            <w:pPr>
              <w:pStyle w:val="TableContents"/>
              <w:rPr/>
            </w:pPr>
            <w:r>
              <w:rPr/>
              <w:t>Entradas apenas demográficas</w:t>
            </w:r>
          </w:p>
        </w:tc>
        <w:tc>
          <w:tcPr>
            <w:tcW w:w="3719"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8" w:type="dxa"/>
            <w:tcBorders/>
            <w:vAlign w:val="center"/>
          </w:tcPr>
          <w:p>
            <w:pPr>
              <w:pStyle w:val="TableContents"/>
              <w:rPr/>
            </w:pPr>
            <w:r>
              <w:rPr/>
              <w:t>Lateralidade</w:t>
            </w:r>
          </w:p>
        </w:tc>
        <w:tc>
          <w:tcPr>
            <w:tcW w:w="3719"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 xml:space="preserve">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w:t>
      </w:r>
      <w:r>
        <w:rPr/>
        <w:t>Esta variação entre execuções confirma que a avaliação deve privilegiar propriedades estáveis do sistema, taxas de aceitação das sugestões e comportamento em cenários com informação antropométrica limitada, reduzindo a centralidade de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8.4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t>Tabela 8.5 — 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Esta etapa confirmou que a validação das sugestões de IA deve prolongar-se para além da resposta em JSON, pois a geometria exportada e a sua materialização por impressão 3D podem revelar dependências internas, limites de escala, problemas de espessura, folgas insuficientes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w:t>
      </w:r>
    </w:p>
    <w:p>
      <w:pPr>
        <w:pStyle w:val="Normal"/>
        <w:bidi w:val="0"/>
        <w:jc w:val="left"/>
        <w:rPr>
          <w:lang w:val="pt-PT"/>
        </w:rPr>
      </w:pPr>
      <w:r>
        <w:rPr>
          <w:lang w:val="pt-PT"/>
        </w:rPr>
        <w:t>A variação entre execuções produzida pela IA impede tratar uma saída isolada como prescrição fixa; a ausência de uma referência clínica direta limita a afirmação de precisão individual; e a lateralidade revelou-se um parâmetro crítico que deve permanecer sob controlo determinístico da plataforma.</w:t>
      </w:r>
    </w:p>
    <w:p>
      <w:pPr>
        <w:pStyle w:val="Normal"/>
        <w:bidi w:val="0"/>
        <w:jc w:val="left"/>
        <w:rPr>
          <w:lang w:val="pt-PT"/>
        </w:rPr>
      </w:pPr>
      <w:r>
        <w:rPr>
          <w:lang w:val="pt-PT"/>
        </w:rPr>
        <w:t>A correção implementada resolve esse risco ao deslocar a decisão para a interface, mas exige ainda reforço de UX para tornar a escolha do lado suficientemente visível e obrigatória. Do mesmo modo, a validação geométrica e física demonstra que cada modelo transporta constrangimentos próprios: alguns aceitam escalas pequenas, outros impõem pisos mínimos ou preservam proporções globais herdadas do desenho original. A prototipagem física confirmou a viabilidade das configurações selecionadas, mas também reforçou que a passagem para o objeto físico deve ser tratada como etapa de verificação material e não como prova clínica. Consequentemente, os resultados são promissores enquanto validação de coerência interna, acessibilidade paramétrica e viabilidade de prototipagem, mas permanecem preliminares enquanto validação protésica.</w:t>
      </w:r>
    </w:p>
    <w:p>
      <w:pPr>
        <w:pStyle w:val="Normal"/>
        <w:bidi w:val="0"/>
        <w:jc w:val="left"/>
        <w:rPr>
          <w:lang w:val="pt-PT"/>
        </w:rPr>
      </w:pPr>
      <w:r>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a exportação em STL/3MF, a preparação para impressão e a impressão 3D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em síntese, que as sugestões respeitaram os limites do modelo, preservaram proporções anatómicas e se adaptaram à riqueza variável das entradas, desde medições completas até descrições apenas contextuais.</w:t>
      </w:r>
    </w:p>
    <w:p>
      <w:pPr>
        <w:pStyle w:val="Normal"/>
        <w:bidi w:val="0"/>
        <w:jc w:val="left"/>
        <w:rPr>
          <w:lang w:val="pt-PT"/>
        </w:rPr>
      </w:pPr>
      <w:r>
        <w:rPr/>
        <w:t>A validação geométrica e a prototipagem física acrescentaram uma verificação indispensável: a cadeia até STL/3MF e impressão 3D revelou constrangimentos de escala, dependências do código original, zonas críticas e montagem preliminar que a resposta numérica isolada não evidenciava.</w:t>
      </w:r>
    </w:p>
    <w:p>
      <w:pPr>
        <w:pStyle w:val="Normal"/>
        <w:bidi w:val="0"/>
        <w:jc w:val="left"/>
        <w:rPr>
          <w:lang w:val="pt-PT"/>
        </w:rPr>
      </w:pPr>
      <w:r>
        <w:rPr/>
        <w:t>A avaliação centrada no utilizador reforçou a mesma conclusão metodológica: a acessibilidade paramétrica depende tanto da inferência da IA como de salvaguardas explícitas na interface, em particular para lateralidade, adequação do modelo escolhido e proveniência das estimativas.</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 xml:space="preserve">O alcance das conclusões deve ser entendido a partir do caráter metodológico e técnico da validação realizada. </w:t>
      </w:r>
      <w:r>
        <w:rPr/>
        <w:t>A avaliação incidiu sobre perfis simulados, dados secundários e critérios internos de verificação numérica e coerência paramétrica, deixando para investigação futura os testes com utilizadores reais, as avaliações clínicas, as medições diretas de conforto, os ensaios funcionais prolongados e a validação biomecânica completa.</w:t>
      </w:r>
    </w:p>
    <w:p>
      <w:pPr>
        <w:pStyle w:val="Normal"/>
        <w:bidi w:val="0"/>
        <w:jc w:val="left"/>
        <w:rPr>
          <w:lang w:val="pt-PT"/>
        </w:rPr>
      </w:pPr>
      <w:r>
        <w:rPr>
          <w:lang w:val="pt-PT"/>
        </w:rPr>
        <w:t>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O carácter probabilístico das respostas da IA deve ser avaliado através de múltiplas extrações por perfil, reportando valores médios, dispersão e taxas de aprovação das propriedades estáveis do sistema.</w:t>
      </w:r>
    </w:p>
    <w:p>
      <w:pPr>
        <w:pStyle w:val="Normal"/>
        <w:bidi w:val="0"/>
        <w:jc w:val="left"/>
        <w:rPr>
          <w:lang w:val="pt-PT"/>
        </w:rPr>
      </w:pPr>
      <w:r>
        <w:rPr>
          <w:lang w:val="pt-PT"/>
        </w:rPr>
        <w:t>A comparação com bases de dados antropométricas ou medições reais permitiria evoluir de uma verificação interna de coerência para uma estimativa mais rigorosa do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a validação física inicial deve ser aprofundada através de ensaios mais sistemáticos de montagem, controlo de tolerâncias, resistência, desgaste, consistência entre impressões sucessivas e adequação ao uso.</w:t>
      </w:r>
    </w:p>
    <w:p>
      <w:pPr>
        <w:pStyle w:val="Normal"/>
        <w:bidi w:val="0"/>
        <w:jc w:val="left"/>
        <w:rPr>
          <w:lang w:val="pt-PT"/>
        </w:rPr>
      </w:pPr>
      <w:r>
        <w:rPr>
          <w:lang w:val="pt-PT"/>
        </w:rPr>
        <w:t>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ao material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clareza com que a interface comunica o processo de configuração, a confiança nas sugestões, a distribuição de responsabilidade e a utilidade real do fluxo em contextos de prototipagem.</w:t>
      </w:r>
    </w:p>
    <w:p>
      <w:pPr>
        <w:pStyle w:val="Normal"/>
        <w:bidi w:val="0"/>
        <w:jc w:val="left"/>
        <w:rPr>
          <w:lang w:val="pt-PT"/>
        </w:rPr>
      </w:pPr>
      <w:r>
        <w:rPr>
          <w:lang w:val="pt-PT"/>
        </w:rPr>
        <w:t>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pPr>
        <w:pStyle w:val="Normal"/>
        <w:rPr/>
      </w:pPr>
      <w:r>
        <w:rPr/>
      </w:r>
      <w:r>
        <w:br w:type="page"/>
      </w:r>
    </w:p>
    <w:p>
      <w:pPr>
        <w:pStyle w:val="Heading2"/>
        <w:spacing w:before="0" w:after="0"/>
        <w:rPr/>
      </w:pPr>
      <w:r>
        <w:rPr/>
        <w:t>Anexo A — Metodologia de extração e codificação de dados antropométricos da mão</w:t>
      </w:r>
    </w:p>
    <w:p>
      <w:pPr>
        <w:pStyle w:val="Heading3"/>
        <w:rPr/>
      </w:pPr>
      <w:r>
        <w:rPr/>
        <w:t>A.1 Contexto e Objetivo</w:t>
      </w:r>
    </w:p>
    <w:p>
      <w:pPr>
        <w:pStyle w:val="Normal"/>
        <w:rPr/>
      </w:pPr>
      <w:r>
        <w:rP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Normal"/>
        <w:rPr/>
      </w:pPr>
      <w:r>
        <w:rPr/>
        <w:t>Foram produzidos três ficheiros CSV complementares:</w:t>
      </w:r>
    </w:p>
    <w:p>
      <w:pPr>
        <w:pStyle w:val="ListBullet"/>
        <w:rPr/>
      </w:pPr>
      <w:r>
        <w:rPr/>
        <w:t xml:space="preserve">- </w:t>
      </w:r>
      <w:r>
        <w:rPr>
          <w:rFonts w:ascii="Consolas" w:hAnsi="Consolas"/>
          <w:sz w:val="20"/>
        </w:rPr>
        <w:t>ansur</w:t>
      </w:r>
      <w:r>
        <w:rPr>
          <w:i/>
        </w:rPr>
        <w:t>1988</w:t>
      </w:r>
      <w:r>
        <w:rPr/>
        <w:t>complete.csv</w:t>
      </w:r>
      <w:r>
        <w:rPr>
          <w:rFonts w:ascii="Consolas" w:hAnsi="Consolas"/>
          <w:sz w:val="20"/>
        </w:rPr>
        <w:t xml:space="preserve"> — 2.726 linhas, 47 dimensões corporais do estudo ANSUR 1988 (Gordon et al., 1989), população militar norte-americana</w:t>
      </w:r>
    </w:p>
    <w:p>
      <w:pPr>
        <w:pStyle w:val="ListBullet"/>
        <w:rPr/>
      </w:pPr>
      <w:r>
        <w:rPr/>
        <w:t xml:space="preserve">- </w:t>
      </w:r>
      <w:r>
        <w:rPr>
          <w:rFonts w:ascii="Consolas" w:hAnsi="Consolas"/>
          <w:sz w:val="20"/>
        </w:rPr>
        <w:t>ansur</w:t>
      </w:r>
      <w:r>
        <w:rPr>
          <w:i/>
        </w:rPr>
        <w:t>1988</w:t>
      </w:r>
      <w:r>
        <w:rPr/>
        <w:t>hand</w:t>
      </w:r>
      <w:r>
        <w:rPr>
          <w:i/>
        </w:rPr>
        <w:t>arm.csv</w:t>
      </w:r>
      <w:r>
        <w:rPr>
          <w:rFonts w:ascii="Consolas" w:hAnsi="Consolas"/>
          <w:sz w:val="20"/>
        </w:rPr>
        <w:t xml:space="preserve"> — 696 linhas, subconjunto do ANSUR restrito às medições da mão, antebraço e braço</w:t>
      </w:r>
    </w:p>
    <w:p>
      <w:pPr>
        <w:pStyle w:val="ListBullet"/>
        <w:rPr/>
      </w:pPr>
      <w:r>
        <w:rPr/>
        <w:t xml:space="preserve">- </w:t>
      </w:r>
      <w:r>
        <w:rPr>
          <w:rFonts w:ascii="Consolas" w:hAnsi="Consolas"/>
          <w:sz w:val="20"/>
        </w:rPr>
        <w:t>multi</w:t>
      </w:r>
      <w:r>
        <w:rPr>
          <w:i/>
        </w:rPr>
        <w:t>population</w:t>
      </w:r>
      <w:r>
        <w:rPr/>
        <w:t>hand.csv</w:t>
      </w:r>
      <w:r>
        <w:rPr>
          <w:rFonts w:ascii="Consolas" w:hAnsi="Consolas"/>
          <w:sz w:val="20"/>
        </w:rPr>
        <w:t xml:space="preserve"> — 1.790 linhas, dados de onze estudos populacionais independentes de nove países diferentes</w:t>
      </w:r>
    </w:p>
    <w:p>
      <w:pPr>
        <w:pStyle w:val="Normal"/>
        <w:pBdr>
          <w:bottom w:val="single" w:sz="6" w:space="1" w:color="808080"/>
        </w:pBdr>
        <w:rPr/>
      </w:pPr>
      <w:r>
        <w:rPr/>
      </w:r>
    </w:p>
    <w:p>
      <w:pPr>
        <w:pStyle w:val="Heading3"/>
        <w:rPr/>
      </w:pPr>
      <w:r>
        <w:rPr/>
        <w:t>A.2 Estratégia de Pesquisa Bibliográfica</w:t>
      </w:r>
    </w:p>
    <w:p>
      <w:pPr>
        <w:pStyle w:val="Heading3"/>
        <w:rPr/>
      </w:pPr>
      <w:r>
        <w:rPr/>
        <w:t>A.2.1 Pesquisa bibliográfica assistida e revisões sistemáticas</w:t>
      </w:r>
    </w:p>
    <w:p>
      <w:pPr>
        <w:pStyle w:val="Normal"/>
        <w:rPr/>
      </w:pPr>
      <w:r>
        <w:rP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rPr/>
      </w:pPr>
      <w:r>
        <w:rPr>
          <w:i/>
        </w:rPr>
        <w:t>"hand anthropometry normative data population study percentiles"</w:t>
      </w:r>
      <w:r>
        <w:rPr/>
        <w:t xml:space="preserve"> </w:t>
      </w:r>
      <w:r>
        <w:rPr>
          <w:i/>
        </w:rPr>
        <w:t>"hand dimensions measurement ergonomics working population"</w:t>
      </w:r>
      <w:r>
        <w:rPr/>
        <w:t xml:space="preserve"> </w:t>
      </w:r>
      <w:r>
        <w:rPr>
          <w:i/>
        </w:rPr>
        <w:t>"anthropometric survey finger length breadth caliper"</w:t>
      </w:r>
    </w:p>
    <w:p>
      <w:pPr>
        <w:pStyle w:val="Normal"/>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rPr/>
      </w:pPr>
      <w:r>
        <w:rPr/>
        <w:t>A.2.2 Base ANSUR 1988</w:t>
      </w:r>
    </w:p>
    <w:p>
      <w:pPr>
        <w:pStyle w:val="Normal"/>
        <w:rPr/>
      </w:pPr>
      <w:r>
        <w:rP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Normal"/>
        <w:pBdr>
          <w:bottom w:val="single" w:sz="6" w:space="1" w:color="808080"/>
        </w:pBdr>
        <w:rPr/>
      </w:pPr>
      <w:r>
        <w:rPr/>
      </w:r>
    </w:p>
    <w:p>
      <w:pPr>
        <w:pStyle w:val="Heading3"/>
        <w:rPr/>
      </w:pPr>
      <w:r>
        <w:rPr/>
        <w:t>A.3 Critérios de Inclusão e Exclusão de Estudos</w:t>
      </w:r>
    </w:p>
    <w:p>
      <w:pPr>
        <w:pStyle w:val="Normal"/>
        <w:rPr/>
      </w:pPr>
      <w:r>
        <w:rPr/>
        <w:t>Para cada estudo identificado, a decisão de incluir ou excluir os seus dados na base CSV seguiu critérios explícitos.</w:t>
      </w:r>
    </w:p>
    <w:p>
      <w:pPr>
        <w:pStyle w:val="Heading3"/>
        <w:rPr/>
      </w:pPr>
      <w:r>
        <w:rPr/>
        <w:t>A.3.1 Critérios de inclusão</w:t>
      </w:r>
    </w:p>
    <w:p>
      <w:pPr>
        <w:pStyle w:val="Normal"/>
        <w:rPr/>
      </w:pPr>
      <w:r>
        <w:rPr/>
        <w:t>Um estudo foi incluído se satisfazia simultaneamente as seguintes condições:</w:t>
      </w:r>
    </w:p>
    <w:p>
      <w:pPr>
        <w:pStyle w:val="ListNumber"/>
        <w:rPr/>
      </w:pPr>
      <w:r>
        <w:rPr/>
        <w:t xml:space="preserve">1. </w:t>
      </w:r>
      <w:r>
        <w:rPr>
          <w:b/>
        </w:rPr>
        <w:t>Dados primários</w:t>
      </w:r>
      <w:r>
        <w:rPr/>
        <w:t xml:space="preserve"> — o estudo apresenta medições recolhidas pelos seus próprios autores sobre participantes reais, não reutilizando tabelas de terceiros sem transformação.</w:t>
      </w:r>
    </w:p>
    <w:p>
      <w:pPr>
        <w:pStyle w:val="ListNumber"/>
        <w:rPr/>
      </w:pPr>
      <w:r>
        <w:rPr/>
        <w:t xml:space="preserve">2. </w:t>
      </w:r>
      <w:r>
        <w:rPr>
          <w:b/>
        </w:rPr>
        <w:t>Dimensões da mão ou do membro superior</w:t>
      </w:r>
      <w:r>
        <w:rPr/>
        <w:t xml:space="preserve"> — pelo menos uma medição refere-se à mão, dedos, palma, antebraço ou punho.</w:t>
      </w:r>
    </w:p>
    <w:p>
      <w:pPr>
        <w:pStyle w:val="ListNumber"/>
        <w:rPr/>
      </w:pPr>
      <w:r>
        <w:rPr/>
        <w:t xml:space="preserve">3. </w:t>
      </w:r>
      <w:r>
        <w:rPr>
          <w:b/>
        </w:rPr>
        <w:t>Estatística descritiva legível</w:t>
      </w:r>
      <w:r>
        <w:rPr/>
        <w:t xml:space="preserve"> — a tabela do artigo fornece, no mínimo, a média. A presença de desvio-padrão e/ou percentis constituía um critério de preferência.</w:t>
      </w:r>
    </w:p>
    <w:p>
      <w:pPr>
        <w:pStyle w:val="ListNumber"/>
        <w:rPr/>
      </w:pPr>
      <w:r>
        <w:rPr/>
        <w:t xml:space="preserve">4. </w:t>
      </w:r>
      <w:r>
        <w:rPr>
          <w:b/>
        </w:rPr>
        <w:t>Identificação clara da população</w:t>
      </w:r>
      <w:r>
        <w:rPr/>
        <w:t xml:space="preserve"> — o artigo especifica país, sexo, dimensão amostral e método de medição.</w:t>
      </w:r>
    </w:p>
    <w:p>
      <w:pPr>
        <w:pStyle w:val="Heading3"/>
        <w:rPr/>
      </w:pPr>
      <w:r>
        <w:rPr/>
      </w:r>
    </w:p>
    <w:p>
      <w:pPr>
        <w:pStyle w:val="Heading3"/>
        <w:rPr/>
      </w:pPr>
      <w:r>
        <w:rPr/>
        <w:t>A.3.2 Critérios de exclusão</w:t>
      </w:r>
    </w:p>
    <w:p>
      <w:pPr>
        <w:pStyle w:val="Normal"/>
        <w:rPr/>
      </w:pPr>
      <w:r>
        <w:rPr/>
        <w:t>Um estudo foi excluído nas seguintes situações:</w:t>
      </w:r>
    </w:p>
    <w:p>
      <w:pPr>
        <w:pStyle w:val="ListBullet"/>
        <w:rPr/>
      </w:pPr>
      <w:r>
        <w:rPr/>
        <w:t xml:space="preserve">- </w:t>
      </w:r>
      <w:r>
        <w:rPr>
          <w:b/>
        </w:rPr>
        <w:t>Dados secundários sem valor acrescentado</w:t>
      </w:r>
      <w:r>
        <w:rP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rPr/>
      </w:pPr>
      <w:r>
        <w:rPr/>
        <w:t xml:space="preserve">- </w:t>
      </w:r>
      <w:r>
        <w:rPr>
          <w:b/>
        </w:rPr>
        <w:t>Artigos de engenharia sem tabelas antropométricas</w:t>
      </w:r>
      <w:r>
        <w:rPr/>
        <w:t xml:space="preserve"> — estudos centrados em materiais, análise de elementos finitos ou fabrico aditivo que referenciam dimensões da mão apenas de forma incidental e sem estatística descritiva.</w:t>
      </w:r>
    </w:p>
    <w:p>
      <w:pPr>
        <w:pStyle w:val="ListBullet"/>
        <w:rPr/>
      </w:pPr>
      <w:r>
        <w:rPr/>
        <w:t xml:space="preserve">- </w:t>
      </w:r>
      <w:r>
        <w:rPr>
          <w:b/>
        </w:rPr>
        <w:t>Dimensões não da mão em estudos mistos</w:t>
      </w:r>
      <w:r>
        <w:rP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Heading3"/>
        <w:rPr/>
      </w:pPr>
      <w:r>
        <w:rPr/>
      </w:r>
    </w:p>
    <w:p>
      <w:pPr>
        <w:pStyle w:val="Heading3"/>
        <w:rPr/>
      </w:pPr>
      <w:r>
        <w:rPr/>
        <w:t>A.4 Processo de Extração de Dados</w:t>
      </w:r>
    </w:p>
    <w:p>
      <w:pPr>
        <w:pStyle w:val="Heading3"/>
        <w:rPr/>
      </w:pPr>
      <w:r>
        <w:rPr/>
      </w:r>
    </w:p>
    <w:p>
      <w:pPr>
        <w:pStyle w:val="Heading3"/>
        <w:rPr/>
      </w:pPr>
      <w:r>
        <w:rPr/>
        <w:t>A.4.1 Leitura dos PDFs e localização das tabelas</w:t>
      </w:r>
    </w:p>
    <w:p>
      <w:pPr>
        <w:pStyle w:val="Normal"/>
        <w:rPr/>
      </w:pPr>
      <w:r>
        <w:rPr/>
        <w:t xml:space="preserve">Cada artigo foi lido integralmente, com foco nas secções de </w:t>
      </w:r>
      <w:r>
        <w:rPr>
          <w:i/>
        </w:rPr>
        <w:t>Methods</w:t>
      </w:r>
      <w:r>
        <w:rPr/>
        <w:t xml:space="preserve"> (para identificar o instrumento de medição, a mão medida, e a posição do participante) e </w:t>
      </w:r>
      <w:r>
        <w:rPr>
          <w:i/>
        </w:rPr>
        <w:t>Results</w:t>
      </w:r>
      <w:r>
        <w:rP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pStyle w:val="Normal"/>
        <w:rPr/>
      </w:pPr>
      <w:r>
        <w:rPr/>
        <w:t>Quando um artigo reportava medições em mais do que uma tabela (por exemplo, comprimentos numa tabela e larguras noutra), cada tabela foi processada separadamente.</w:t>
      </w:r>
    </w:p>
    <w:p>
      <w:pPr>
        <w:pStyle w:val="Heading3"/>
        <w:rPr/>
      </w:pPr>
      <w:r>
        <w:rPr/>
        <w:t>A.4.2 Identificação das unidades e conversão</w:t>
      </w:r>
    </w:p>
    <w:p>
      <w:pPr>
        <w:pStyle w:val="Normal"/>
        <w:rPr/>
      </w:pPr>
      <w:r>
        <w:rP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rPr/>
        <w:t>value</w:t>
      </w:r>
      <w:r>
        <w:rPr>
          <w:i/>
        </w:rPr>
        <w:t>cm</w:t>
      </w:r>
      <w:r>
        <w:rPr>
          <w:rFonts w:ascii="Consolas" w:hAnsi="Consolas"/>
          <w:sz w:val="20"/>
        </w:rPr>
        <w:t xml:space="preserve">, </w:t>
      </w:r>
      <w:r>
        <w:rPr/>
        <w:t>value</w:t>
      </w:r>
      <w:r>
        <w:rPr>
          <w:i/>
        </w:rPr>
        <w:t>in</w:t>
      </w:r>
      <w:r>
        <w:rPr>
          <w:rFonts w:ascii="Consolas" w:hAnsi="Consolas"/>
          <w:sz w:val="20"/>
        </w:rPr>
        <w:t>), calculados a partir de uma única unidade-fonte:</w:t>
      </w:r>
    </w:p>
    <w:p>
      <w:pPr>
        <w:pStyle w:val="ListBullet"/>
        <w:rPr/>
      </w:pPr>
      <w:r>
        <w:rPr/>
        <w:t xml:space="preserve">- Se o artigo reporta em mm: </w:t>
      </w:r>
      <w:r>
        <w:rPr>
          <w:rFonts w:ascii="Consolas" w:hAnsi="Consolas"/>
          <w:sz w:val="20"/>
        </w:rPr>
        <w:t>value</w:t>
      </w:r>
      <w:r>
        <w:rPr>
          <w:i/>
        </w:rPr>
        <w:t>cm = value</w:t>
      </w:r>
      <w:r>
        <w:rPr/>
        <w:t>mm / 10</w:t>
      </w:r>
      <w:r>
        <w:rPr>
          <w:rFonts w:ascii="Consolas" w:hAnsi="Consolas"/>
          <w:sz w:val="20"/>
        </w:rPr>
        <w:t xml:space="preserve">; </w:t>
      </w:r>
      <w:r>
        <w:rPr/>
        <w:t>value</w:t>
      </w:r>
      <w:r>
        <w:rPr>
          <w:i/>
        </w:rPr>
        <w:t>in = value</w:t>
      </w:r>
      <w:r>
        <w:rPr/>
        <w:t>cm / 2.54</w:t>
      </w:r>
    </w:p>
    <w:p>
      <w:pPr>
        <w:pStyle w:val="ListBullet"/>
        <w:rPr/>
      </w:pPr>
      <w:r>
        <w:rPr/>
        <w:t xml:space="preserve">- Se o artigo reporta em cm: </w:t>
      </w:r>
      <w:r>
        <w:rPr>
          <w:rFonts w:ascii="Consolas" w:hAnsi="Consolas"/>
          <w:sz w:val="20"/>
        </w:rPr>
        <w:t>value</w:t>
      </w:r>
      <w:r>
        <w:rPr>
          <w:i/>
        </w:rPr>
        <w:t>mm = value</w:t>
      </w:r>
      <w:r>
        <w:rPr/>
        <w:t>cm × 10</w:t>
      </w:r>
      <w:r>
        <w:rPr>
          <w:rFonts w:ascii="Consolas" w:hAnsi="Consolas"/>
          <w:sz w:val="20"/>
        </w:rPr>
        <w:t xml:space="preserve">; </w:t>
      </w:r>
      <w:r>
        <w:rPr/>
        <w:t>value</w:t>
      </w:r>
      <w:r>
        <w:rPr>
          <w:i/>
        </w:rPr>
        <w:t>in = value</w:t>
      </w:r>
      <w:r>
        <w:rPr/>
        <w:t>cm / 2.54</w:t>
      </w:r>
    </w:p>
    <w:p>
      <w:pPr>
        <w:pStyle w:val="Normal"/>
        <w:rPr/>
      </w:pPr>
      <w:r>
        <w:rPr/>
        <w:t>Esta redundância elimina conversões em tempo de execução por parte do modelo paramétrico.</w:t>
      </w:r>
    </w:p>
    <w:p>
      <w:pPr>
        <w:pStyle w:val="Heading3"/>
        <w:rPr/>
      </w:pPr>
      <w:r>
        <w:rPr/>
      </w:r>
    </w:p>
    <w:p>
      <w:pPr>
        <w:pStyle w:val="Heading3"/>
        <w:rPr/>
      </w:pPr>
      <w:r>
        <w:rPr/>
        <w:t>A.4.3 Decomposição em linhas atómicas</w:t>
      </w:r>
    </w:p>
    <w:p>
      <w:pPr>
        <w:pStyle w:val="Normal"/>
        <w:rPr/>
      </w:pPr>
      <w:r>
        <w:rPr/>
      </w:r>
    </w:p>
    <w:p>
      <w:pPr>
        <w:pStyle w:val="Normal"/>
        <w:rPr/>
      </w:pPr>
      <w:r>
        <w:rPr/>
        <w:t xml:space="preserve">Cada célula de uma tabela estatística origina </w:t>
      </w:r>
      <w:r>
        <w:rPr>
          <w:b/>
        </w:rPr>
        <w:t>uma linha independente</w:t>
      </w:r>
      <w:r>
        <w:rP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rPr/>
        <w:t>mean</w:t>
      </w:r>
      <w:r>
        <w:rPr>
          <w:rFonts w:ascii="Consolas" w:hAnsi="Consolas"/>
          <w:sz w:val="20"/>
        </w:rPr>
        <w:t xml:space="preserve">, </w:t>
      </w:r>
      <w:r>
        <w:rPr/>
        <w:t>std</w:t>
      </w:r>
      <w:r>
        <w:rPr>
          <w:i/>
        </w:rPr>
        <w:t>dev</w:t>
      </w:r>
      <w:r>
        <w:rPr>
          <w:rFonts w:ascii="Consolas" w:hAnsi="Consolas"/>
          <w:sz w:val="20"/>
        </w:rPr>
        <w:t xml:space="preserve"> ou </w:t>
      </w:r>
      <w:r>
        <w:rPr/>
        <w:t>percentile</w:t>
      </w:r>
      <w:r>
        <w:rPr>
          <w:rFonts w:ascii="Consolas" w:hAnsi="Consolas"/>
          <w:sz w:val="20"/>
        </w:rPr>
        <w:t xml:space="preserve">, e o campo </w:t>
      </w:r>
      <w:r>
        <w:rPr/>
        <w:t>percentile</w:t>
      </w:r>
      <w:r>
        <w:rPr>
          <w:rFonts w:ascii="Consolas" w:hAnsi="Consolas"/>
          <w:sz w:val="20"/>
        </w:rPr>
        <w:t xml:space="preserve"> preenchido apenas nas linhas de tipo </w:t>
      </w:r>
      <w:r>
        <w:rPr/>
        <w:t>percentile</w:t>
      </w:r>
      <w:r>
        <w:rPr>
          <w:rFonts w:ascii="Consolas" w:hAnsi="Consolas"/>
          <w:sz w:val="20"/>
        </w:rPr>
        <w:t>.</w:t>
      </w:r>
    </w:p>
    <w:p>
      <w:pPr>
        <w:pStyle w:val="Normal"/>
        <w:rPr/>
      </w:pPr>
      <w:r>
        <w:rPr/>
        <w:t>Esta estrutura longa (</w:t>
      </w:r>
      <w:r>
        <w:rPr>
          <w:i/>
        </w:rPr>
        <w:t>long format</w:t>
      </w:r>
      <w:r>
        <w:rPr/>
        <w:t>) permite filtrar e agregar por qualquer combinação de variáveis sem necessidade de transformação prévia.</w:t>
      </w:r>
    </w:p>
    <w:p>
      <w:pPr>
        <w:pStyle w:val="Heading3"/>
        <w:rPr/>
      </w:pPr>
      <w:r>
        <w:rPr/>
      </w:r>
    </w:p>
    <w:p>
      <w:pPr>
        <w:pStyle w:val="Heading3"/>
        <w:rPr/>
      </w:pPr>
      <w:r>
        <w:rPr/>
        <w:t>A.4.4 Registo fiel do contexto da medição</w:t>
      </w:r>
    </w:p>
    <w:p>
      <w:pPr>
        <w:pStyle w:val="Normal"/>
        <w:rPr/>
      </w:pPr>
      <w:r>
        <w:rPr/>
      </w:r>
    </w:p>
    <w:p>
      <w:pPr>
        <w:pStyle w:val="Normal"/>
        <w:rPr/>
      </w:pPr>
      <w:r>
        <w:rPr/>
        <w:t xml:space="preserve">O campo </w:t>
      </w:r>
      <w:r>
        <w:rPr>
          <w:rFonts w:ascii="Consolas" w:hAnsi="Consolas"/>
          <w:sz w:val="20"/>
        </w:rPr>
        <w:t>measurement</w:t>
      </w:r>
      <w:r>
        <w:rPr>
          <w:i/>
        </w:rPr>
        <w:t>method</w:t>
      </w:r>
      <w:r>
        <w:rPr/>
        <w:t>note</w:t>
      </w:r>
      <w:r>
        <w:rPr>
          <w:rFonts w:ascii="Consolas" w:hAnsi="Consolas"/>
          <w:sz w:val="20"/>
        </w:rPr>
        <w:t xml:space="preserve"> regista, para cada estudo, informações sobre:</w:t>
      </w:r>
    </w:p>
    <w:p>
      <w:pPr>
        <w:pStyle w:val="ListBullet"/>
        <w:rPr/>
      </w:pPr>
      <w:r>
        <w:rPr/>
        <w:t>- O instrumento utilizado (e.g., "paquímetro digital Vernier 200 mm, resolução 0,01 mm")</w:t>
      </w:r>
    </w:p>
    <w:p>
      <w:pPr>
        <w:pStyle w:val="ListBullet"/>
        <w:rPr/>
      </w:pPr>
      <w:r>
        <w:rPr/>
        <w:t>- A mão medida (direita/esquerda/dominante)</w:t>
      </w:r>
    </w:p>
    <w:p>
      <w:pPr>
        <w:pStyle w:val="ListBullet"/>
        <w:rPr/>
      </w:pPr>
      <w:r>
        <w:rPr/>
        <w:t>- A posição da mão durante a medição (estendida e plana, em posição de repouso, sentado)</w:t>
      </w:r>
    </w:p>
    <w:p>
      <w:pPr>
        <w:pStyle w:val="ListBullet"/>
        <w:rPr/>
      </w:pPr>
      <w:r>
        <w:rPr/>
        <w:t>- O ponto de referência do comprimento (e.g., "da prega palmar proximal à ponta do dedo")</w:t>
      </w:r>
    </w:p>
    <w:p>
      <w:pPr>
        <w:pStyle w:val="Normal"/>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rPr/>
      </w:pPr>
      <w:r>
        <w:rPr/>
      </w:r>
    </w:p>
    <w:p>
      <w:pPr>
        <w:pStyle w:val="Heading3"/>
        <w:rPr/>
      </w:pPr>
      <w:r>
        <w:rPr/>
        <w:t>A.5 Decisões por Estudo</w:t>
      </w:r>
    </w:p>
    <w:p>
      <w:pPr>
        <w:pStyle w:val="Heading3"/>
        <w:rPr/>
      </w:pPr>
      <w:r>
        <w:rPr/>
      </w:r>
    </w:p>
    <w:p>
      <w:pPr>
        <w:pStyle w:val="Heading3"/>
        <w:rPr/>
      </w:pPr>
      <w:r>
        <w:rPr/>
        <w:t>A.5.1 ANSUR 1988 — EUA, militares (Gordon et al., 1989)</w:t>
      </w:r>
    </w:p>
    <w:p>
      <w:pPr>
        <w:pStyle w:val="Normal"/>
        <w:rPr>
          <w:b/>
        </w:rPr>
      </w:pPr>
      <w:r>
        <w:rPr>
          <w:b/>
        </w:rPr>
      </w:r>
    </w:p>
    <w:p>
      <w:pPr>
        <w:pStyle w:val="Normal"/>
        <w:rPr/>
      </w:pPr>
      <w:r>
        <w:rPr>
          <w:b/>
        </w:rPr>
        <w:t>Fonte:</w:t>
      </w:r>
      <w:r>
        <w:rP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Normal"/>
        <w:rPr/>
      </w:pPr>
      <w:r>
        <w:rPr>
          <w:b/>
        </w:rPr>
        <w:t>Decisão:</w:t>
      </w:r>
      <w:r>
        <w:rPr/>
        <w:t xml:space="preserve"> Incluição total. A dimensão amostral, a abrangência estatística (11 indicadores por dimensão) e a origem militar controlada tornam-no a âncora de referência da base de dados.</w:t>
      </w:r>
    </w:p>
    <w:p>
      <w:pPr>
        <w:pStyle w:val="Normal"/>
        <w:rPr/>
      </w:pPr>
      <w:r>
        <w:rPr>
          <w:b/>
        </w:rPr>
        <w:t>Notas:</w:t>
      </w:r>
      <w:r>
        <w:rP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A.5.2 Turquia — jovens adultos (Chatzioglou et al., 2024)</w:t>
      </w:r>
    </w:p>
    <w:p>
      <w:pPr>
        <w:pStyle w:val="Normal"/>
        <w:rPr>
          <w:b/>
        </w:rPr>
      </w:pPr>
      <w:r>
        <w:rPr>
          <w:b/>
        </w:rPr>
      </w:r>
    </w:p>
    <w:p>
      <w:pPr>
        <w:pStyle w:val="Normal"/>
        <w:rPr/>
      </w:pPr>
      <w:r>
        <w:rPr>
          <w:b/>
        </w:rPr>
        <w:t>Fonte:</w:t>
      </w:r>
      <w:r>
        <w:rPr/>
        <w:t xml:space="preserve"> </w:t>
      </w:r>
      <w:r>
        <w:rPr>
          <w:i/>
        </w:rPr>
        <w:t>Anatomy &amp; Cell Biology</w:t>
      </w:r>
      <w:r>
        <w:rPr/>
        <w:t>, 57:172–182. n=51 (32F, 19M), idade 18–30, Izmir e Istanbul. Método foto-antropométrico com ImageJ (pixel → mm via fator de calibração 0,08618 ×). Comprimentos dos cinco dedos da mão direita, por sexo e amostra total, Tabela 1.</w:t>
      </w:r>
    </w:p>
    <w:p>
      <w:pPr>
        <w:pStyle w:val="Normal"/>
        <w:rPr/>
      </w:pPr>
      <w:r>
        <w:rPr>
          <w:b/>
        </w:rPr>
        <w:t>Decisão:</w:t>
      </w:r>
      <w:r>
        <w:rP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rPr/>
        <w:t>max</w:t>
      </w:r>
      <w:r>
        <w:rPr>
          <w:rFonts w:ascii="Consolas" w:hAnsi="Consolas"/>
          <w:sz w:val="20"/>
        </w:rPr>
        <w:t>.</w:t>
      </w:r>
    </w:p>
    <w:p>
      <w:pPr>
        <w:pStyle w:val="Heading3"/>
        <w:rPr/>
      </w:pPr>
      <w:r>
        <w:rPr/>
      </w:r>
    </w:p>
    <w:p>
      <w:pPr>
        <w:pStyle w:val="Heading3"/>
        <w:rPr/>
      </w:pPr>
      <w:r>
        <w:rPr/>
        <w:t>A.5.3 México — população geral (Rodríguez-Vega &amp; Rodríguez-Vega, 2024)</w:t>
      </w:r>
    </w:p>
    <w:p>
      <w:pPr>
        <w:pStyle w:val="Normal"/>
        <w:rPr>
          <w:b/>
        </w:rPr>
      </w:pPr>
      <w:r>
        <w:rPr>
          <w:b/>
        </w:rPr>
      </w:r>
    </w:p>
    <w:p>
      <w:pPr>
        <w:pStyle w:val="Normal"/>
        <w:rPr/>
      </w:pPr>
      <w:r>
        <w:rPr>
          <w:b/>
        </w:rPr>
        <w:t>Fonte:</w:t>
      </w:r>
      <w:r>
        <w:rPr/>
        <w:t xml:space="preserve"> </w:t>
      </w:r>
      <w:r>
        <w:rPr>
          <w:i/>
        </w:rPr>
        <w:t>European Public &amp; Social Innovation Review</w:t>
      </w:r>
      <w:r>
        <w:rPr/>
        <w:t>, 9:1–15. n=2.837 (2.275M, 562F), Noroeste do México, idade 15–59. Quatro dimensões: comprimento da mão (HL), comprimento da palma (PL), largura da mão (HB) e diâmetro de preensão (HGD). Tabela 3 (amostra geral) e Tabela 4 (oito grupos etários: 15–19, 20–24, …, 50–54).</w:t>
      </w:r>
    </w:p>
    <w:p>
      <w:pPr>
        <w:pStyle w:val="Normal"/>
        <w:rPr/>
      </w:pPr>
      <w:r>
        <w:rPr>
          <w:b/>
        </w:rPr>
        <w:t>Decisão:</w:t>
      </w:r>
      <w:r>
        <w:rP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A.5.4 Índia — mulheres trabalhadoras (Nag et al., 2003)</w:t>
      </w:r>
    </w:p>
    <w:p>
      <w:pPr>
        <w:pStyle w:val="Normal"/>
        <w:rPr>
          <w:b/>
        </w:rPr>
      </w:pPr>
      <w:r>
        <w:rPr>
          <w:b/>
        </w:rPr>
      </w:r>
    </w:p>
    <w:p>
      <w:pPr>
        <w:pStyle w:val="Normal"/>
        <w:rPr/>
      </w:pPr>
      <w:r>
        <w:rPr>
          <w:b/>
        </w:rPr>
        <w:t>Fonte:</w:t>
      </w:r>
      <w:r>
        <w:rPr/>
        <w:t xml:space="preserve"> </w:t>
      </w:r>
      <w:r>
        <w:rPr>
          <w:i/>
        </w:rPr>
        <w:t>Indian Journal of Medical Research</w:t>
      </w:r>
      <w:r>
        <w:rP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Normal"/>
        <w:rPr/>
      </w:pPr>
      <w:r>
        <w:rPr>
          <w:b/>
        </w:rPr>
        <w:t>Decisão:</w:t>
      </w:r>
      <w:r>
        <w:rP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rPr/>
        <w:t>.</w:t>
      </w:r>
    </w:p>
    <w:p>
      <w:pPr>
        <w:pStyle w:val="Heading3"/>
        <w:rPr/>
      </w:pPr>
      <w:r>
        <w:rPr/>
      </w:r>
    </w:p>
    <w:p>
      <w:pPr>
        <w:pStyle w:val="Heading3"/>
        <w:rPr/>
      </w:pPr>
      <w:r>
        <w:rPr/>
        <w:t>A.5.5 Portugal — trabalhadores industriais (Anacleto Filho et al., 2023)</w:t>
      </w:r>
    </w:p>
    <w:p>
      <w:pPr>
        <w:pStyle w:val="Normal"/>
        <w:rPr>
          <w:b/>
        </w:rPr>
      </w:pPr>
      <w:r>
        <w:rPr>
          <w:b/>
        </w:rPr>
      </w:r>
    </w:p>
    <w:p>
      <w:pPr>
        <w:pStyle w:val="Normal"/>
        <w:rPr/>
      </w:pPr>
      <w:r>
        <w:rPr>
          <w:b/>
        </w:rPr>
        <w:t>Fonte:</w:t>
      </w:r>
      <w:r>
        <w:rPr/>
        <w:t xml:space="preserve"> </w:t>
      </w:r>
      <w:r>
        <w:rPr>
          <w:i/>
        </w:rPr>
        <w:t>International Journal of Industrial Ergonomics</w:t>
      </w:r>
      <w:r>
        <w:rPr/>
        <w:t>, 97:103473. n=343 (169M, 174F),</w:t>
      </w:r>
    </w:p>
    <w:p>
      <w:pPr>
        <w:pStyle w:val="Normal"/>
        <w:rPr/>
      </w:pPr>
      <w:r>
        <w:rPr/>
        <w:t>trabalhadores industriais do Norte de Portugal, 2021. De um conjunto de 27 dimensões corporais, apenas duas são da mão: comprimento da mão e largura da mão (metacarpal II–V). Tabela 3, P5, P50, P95 por sexo.</w:t>
      </w:r>
    </w:p>
    <w:p>
      <w:pPr>
        <w:pStyle w:val="Normal"/>
        <w:rPr/>
      </w:pPr>
      <w:r>
        <w:rPr>
          <w:b/>
        </w:rPr>
        <w:t>Decisão:</w:t>
      </w:r>
      <w:r>
        <w:rP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Normal"/>
        <w:rPr/>
      </w:pPr>
      <w:r>
        <w:rPr>
          <w:b/>
        </w:rPr>
        <w:t>Nota metodológica:</w:t>
      </w:r>
      <w:r>
        <w:rPr/>
        <w:t xml:space="preserve"> O estudo mediu o lado esquerdo por limitação de instalações; este facto é registado em </w:t>
      </w:r>
      <w:r>
        <w:rPr>
          <w:rFonts w:ascii="Consolas" w:hAnsi="Consolas"/>
          <w:sz w:val="20"/>
        </w:rPr>
        <w:t>measurement</w:t>
      </w:r>
      <w:r>
        <w:rPr>
          <w:i/>
        </w:rPr>
        <w:t>method</w:t>
      </w:r>
      <w:r>
        <w:rPr/>
        <w:t>note</w:t>
      </w:r>
      <w:r>
        <w:rPr>
          <w:rFonts w:ascii="Consolas" w:hAnsi="Consolas"/>
          <w:sz w:val="20"/>
        </w:rPr>
        <w:t>.</w:t>
      </w:r>
    </w:p>
    <w:p>
      <w:pPr>
        <w:pStyle w:val="Heading3"/>
        <w:rPr/>
      </w:pPr>
      <w:r>
        <w:rPr/>
      </w:r>
    </w:p>
    <w:p>
      <w:pPr>
        <w:pStyle w:val="Heading3"/>
        <w:rPr/>
      </w:pPr>
      <w:r>
        <w:rPr/>
        <w:t>A.5.6 Nigéria — atletas universitários (Ibiwari et al., 2025)</w:t>
      </w:r>
    </w:p>
    <w:p>
      <w:pPr>
        <w:pStyle w:val="Normal"/>
        <w:rPr>
          <w:b/>
        </w:rPr>
      </w:pPr>
      <w:r>
        <w:rPr>
          <w:b/>
        </w:rPr>
      </w:r>
    </w:p>
    <w:p>
      <w:pPr>
        <w:pStyle w:val="Normal"/>
        <w:rPr/>
      </w:pPr>
      <w:r>
        <w:rPr>
          <w:b/>
        </w:rPr>
        <w:t>Fonte:</w:t>
      </w:r>
      <w:r>
        <w:rPr/>
        <w:t xml:space="preserve"> </w:t>
      </w:r>
      <w:r>
        <w:rPr>
          <w:i/>
        </w:rPr>
        <w:t>International Journal of Science Academic Research</w:t>
      </w:r>
      <w:r>
        <w:rP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Normal"/>
        <w:rPr/>
      </w:pPr>
      <w:r>
        <w:rPr>
          <w:b/>
        </w:rPr>
        <w:t>Decisão:</w:t>
      </w:r>
      <w:r>
        <w:rP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Normal"/>
        <w:rPr/>
      </w:pPr>
      <w:r>
        <w:rPr>
          <w:b/>
        </w:rPr>
        <w:t>Nota:</w:t>
      </w:r>
      <w:r>
        <w:rPr/>
        <w:t xml:space="preserve"> A população de atletas não é representativa da população geral; os valores refletem uma seleção fisicamente ativa e potencialmente com mãos de dimensões superiores à média.</w:t>
      </w:r>
    </w:p>
    <w:p>
      <w:pPr>
        <w:pStyle w:val="Heading3"/>
        <w:rPr/>
      </w:pPr>
      <w:r>
        <w:rPr/>
      </w:r>
    </w:p>
    <w:p>
      <w:pPr>
        <w:pStyle w:val="Heading3"/>
        <w:rPr/>
      </w:pPr>
      <w:r>
        <w:rPr/>
        <w:t>A.5.7 Jordânia — trabalhadores com deficiência (Mistarihi, 2020)</w:t>
      </w:r>
    </w:p>
    <w:p>
      <w:pPr>
        <w:pStyle w:val="Normal"/>
        <w:rPr>
          <w:b/>
        </w:rPr>
      </w:pPr>
      <w:r>
        <w:rPr>
          <w:b/>
        </w:rPr>
      </w:r>
    </w:p>
    <w:p>
      <w:pPr>
        <w:pStyle w:val="Normal"/>
        <w:rPr/>
      </w:pPr>
      <w:r>
        <w:rPr>
          <w:b/>
        </w:rPr>
        <w:t>Fonte:</w:t>
      </w:r>
      <w:r>
        <w:rPr/>
        <w:t xml:space="preserve"> </w:t>
      </w:r>
      <w:r>
        <w:rPr>
          <w:i/>
        </w:rPr>
        <w:t>Data in Brief</w:t>
      </w:r>
      <w:r>
        <w:rP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Normal"/>
        <w:rPr/>
      </w:pPr>
      <w:r>
        <w:rPr>
          <w:b/>
        </w:rPr>
        <w:t>Decisão:</w:t>
      </w:r>
      <w:r>
        <w:rP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rPr/>
      </w:pPr>
      <w:r>
        <w:rPr/>
      </w:r>
    </w:p>
    <w:p>
      <w:pPr>
        <w:pStyle w:val="Heading3"/>
        <w:rPr/>
      </w:pPr>
      <w:r>
        <w:rPr/>
        <w:t>A.5.8 EUA — dedo indicador (Lim et al., 2018)</w:t>
      </w:r>
    </w:p>
    <w:p>
      <w:pPr>
        <w:pStyle w:val="Normal"/>
        <w:rPr>
          <w:b/>
        </w:rPr>
      </w:pPr>
      <w:r>
        <w:rPr>
          <w:b/>
        </w:rPr>
      </w:r>
    </w:p>
    <w:p>
      <w:pPr>
        <w:pStyle w:val="Normal"/>
        <w:rPr/>
      </w:pPr>
      <w:r>
        <w:rPr>
          <w:b/>
        </w:rPr>
        <w:t>Fonte:</w:t>
      </w:r>
      <w:r>
        <w:rPr/>
        <w:t xml:space="preserve"> Trabalho académico UC Berkeley. n=50 adultos, idade 18–30. Apenas duas dimensões do dedo indicador (D2): comprimento MCP-ponta (média=90,9 mm) e largura na articulação PIP (média=16,9 mm). Apenas médias reportadas, sem SD ou percentis.</w:t>
      </w:r>
    </w:p>
    <w:p>
      <w:pPr>
        <w:pStyle w:val="Normal"/>
        <w:rPr/>
      </w:pPr>
      <w:r>
        <w:rPr>
          <w:b/>
        </w:rPr>
        <w:t>Decisão:</w:t>
      </w:r>
      <w:r>
        <w:rPr/>
        <w:t xml:space="preserve"> Inclusão limitada. A ausência de desvio-padrão e percentis reduz significativamente a utilidade estatística. No entanto, o estudo foi incluído porque é especificamente orientado para a personalização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rPr/>
      </w:pPr>
      <w:r>
        <w:rPr/>
      </w:r>
    </w:p>
    <w:p>
      <w:pPr>
        <w:pStyle w:val="Heading3"/>
        <w:rPr/>
      </w:pPr>
      <w:r>
        <w:rPr/>
        <w:t>A.5.9 Estudo excluído: Moreo (2016)</w:t>
      </w:r>
    </w:p>
    <w:p>
      <w:pPr>
        <w:pStyle w:val="Normal"/>
        <w:rPr/>
      </w:pPr>
      <w:r>
        <w:rPr/>
      </w:r>
    </w:p>
    <w:p>
      <w:pPr>
        <w:pStyle w:val="Normal"/>
        <w:rPr/>
      </w:pPr>
      <w:r>
        <w:rPr/>
        <w:t>O trabalho de Moreo (2016), dissertação de mestrado sobre design paramétrico de prótese de mão para crianças.</w:t>
      </w:r>
    </w:p>
    <w:p>
      <w:pPr>
        <w:pStyle w:val="Normal"/>
        <w:rPr/>
      </w:pPr>
      <w:r>
        <w:rPr/>
        <w:t>A Tabela 6.1 apresenta valores percentílicos de comprimento de dedo por grupo etário, mas estes valores são extraídos da base de dados DINED (TU Delft, n=965 crianças neerlandesas) — Uma vez que não constituem uma recolha primária por parte do autor, a inclusão destes valores equivaleria a duplicar uma fonte secundária sem ligação direta verificável ao estudo DINED original.</w:t>
      </w:r>
    </w:p>
    <w:p>
      <w:pPr>
        <w:pStyle w:val="Normal"/>
        <w:rPr>
          <w:b/>
        </w:rPr>
      </w:pPr>
      <w:r>
        <w:rPr>
          <w:b/>
        </w:rPr>
        <w:t>Decisão: excluído.</w:t>
      </w:r>
    </w:p>
    <w:p>
      <w:pPr>
        <w:pStyle w:val="Heading3"/>
        <w:rPr/>
      </w:pPr>
      <w:r>
        <w:rPr/>
      </w:r>
    </w:p>
    <w:p>
      <w:pPr>
        <w:pStyle w:val="Heading3"/>
        <w:rPr/>
      </w:pPr>
      <w:r>
        <w:rPr/>
        <w:t>A.5.10 EUA — militares ANSUR II (Gordon et al., 2015)</w:t>
      </w:r>
    </w:p>
    <w:p>
      <w:pPr>
        <w:pStyle w:val="Normal"/>
        <w:rPr>
          <w:b/>
        </w:rPr>
      </w:pPr>
      <w:r>
        <w:rPr>
          <w:b/>
        </w:rPr>
      </w:r>
    </w:p>
    <w:p>
      <w:pPr>
        <w:pStyle w:val="Normal"/>
        <w:rPr/>
      </w:pPr>
      <w:r>
        <w:rPr>
          <w:b/>
        </w:rPr>
        <w:t>Fonte:</w:t>
      </w:r>
      <w:r>
        <w:rP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o processo foi implementado em Python puro, sem dependências externas, de modo a reduzir variações associadas ao ambiente de execução e a assegurar que o ficheiro possa ser regenerado de forma consistente a partir das mesmas entradas.</w:t>
      </w:r>
    </w:p>
    <w:p>
      <w:pPr>
        <w:pStyle w:val="Normal"/>
        <w:rPr/>
      </w:pPr>
      <w:r>
        <w:rPr>
          <w:b/>
        </w:rPr>
        <w:t>Decisão:</w:t>
      </w:r>
      <w:r>
        <w:rP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Normal"/>
        <w:rPr/>
      </w:pPr>
      <w:r>
        <w:rPr>
          <w:b/>
        </w:rPr>
        <w:t>Nota:</w:t>
      </w:r>
      <w:r>
        <w:rPr/>
        <w:t xml:space="preserve"> A medição </w:t>
      </w:r>
      <w:r>
        <w:rPr>
          <w:rFonts w:ascii="Consolas" w:hAnsi="Consolas"/>
          <w:sz w:val="20"/>
        </w:rPr>
        <w:t>wristheight</w:t>
      </w:r>
      <w:r>
        <w:rPr/>
        <w:t xml:space="preserve"> foi excluída — corresponde à distância do chão ao pulso em posição de pé, uma dimensão postural e não uma medição da mão.</w:t>
      </w:r>
    </w:p>
    <w:p>
      <w:pPr>
        <w:pStyle w:val="Heading3"/>
        <w:rPr/>
      </w:pPr>
      <w:r>
        <w:rPr/>
      </w:r>
    </w:p>
    <w:p>
      <w:pPr>
        <w:pStyle w:val="Heading3"/>
        <w:rPr/>
      </w:pPr>
      <w:r>
        <w:rPr/>
        <w:t>A.5.11 Países Baixos — DINED (TU Delft, 1993–2004)</w:t>
      </w:r>
    </w:p>
    <w:p>
      <w:pPr>
        <w:pStyle w:val="Normal"/>
        <w:rPr>
          <w:b/>
        </w:rPr>
      </w:pPr>
      <w:r>
        <w:rPr>
          <w:b/>
        </w:rPr>
      </w:r>
    </w:p>
    <w:p>
      <w:pPr>
        <w:pStyle w:val="Normal"/>
        <w:rPr/>
      </w:pPr>
      <w:r>
        <w:rPr>
          <w:b/>
        </w:rPr>
        <w:t>Fonte:</w:t>
      </w:r>
      <w:r>
        <w:rPr/>
        <w:t xml:space="preserve"> Base de dados antropométrica do Delft Institute for Ergonomics and Design, acessível via conta institucional em dined.io.tudelft.nl. Três sub-datasets distintos, com dados de mão disponíveis:</w:t>
      </w:r>
    </w:p>
    <w:p>
      <w:pPr>
        <w:pStyle w:val="ListBullet"/>
        <w:rPr/>
      </w:pPr>
      <w:r>
        <w:rPr/>
        <w:t xml:space="preserve">- </w:t>
      </w:r>
      <w:r>
        <w:rPr>
          <w:b/>
        </w:rPr>
        <w:t>kima1993</w:t>
      </w:r>
      <w:r>
        <w:rPr/>
        <w:t>: crianças neerlandesas, idades 2–12 (grupos por ano), por sexo e combinado; 8 medições da mão por grupo etário.</w:t>
      </w:r>
    </w:p>
    <w:p>
      <w:pPr>
        <w:pStyle w:val="ListBullet"/>
        <w:rPr/>
      </w:pPr>
      <w:r>
        <w:rPr/>
        <w:t xml:space="preserve">- </w:t>
      </w:r>
      <w:r>
        <w:rPr>
          <w:b/>
        </w:rPr>
        <w:t>geron1998</w:t>
      </w:r>
      <w:r>
        <w:rPr/>
        <w:t>: idosos neerlandeses, idades 50–80+ (bandas de 5 anos), por sexo e combinado; 5 medições da mão.</w:t>
      </w:r>
    </w:p>
    <w:p>
      <w:pPr>
        <w:pStyle w:val="ListBullet"/>
        <w:rPr/>
      </w:pPr>
      <w:r>
        <w:rPr/>
        <w:t xml:space="preserve">- </w:t>
      </w:r>
      <w:r>
        <w:rPr>
          <w:b/>
        </w:rPr>
        <w:t>dined2004</w:t>
      </w:r>
      <w:r>
        <w:rPr/>
        <w:t>: adultos neerlandeses, grupos etários 20–30, 31–60, 60+, por sexo e combinado; 6–7 medições da mão.</w:t>
      </w:r>
    </w:p>
    <w:p>
      <w:pPr>
        <w:pStyle w:val="Normal"/>
        <w:rPr/>
      </w:pPr>
      <w:r>
        <w:rP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rPr/>
        <w:t>id="sd{col}</w:t>
      </w:r>
      <w:r>
        <w:rPr>
          <w:i/>
        </w:rPr>
        <w:t>{row}"</w:t>
      </w:r>
      <w:r>
        <w:rPr>
          <w:rFonts w:ascii="Consolas" w:hAnsi="Consolas"/>
          <w:sz w:val="20"/>
        </w:rPr>
        <w:t>), mapeando índices de coluna para combinações (sub-dataset, sexo, grupo etário) e índices de linha para nomes de medição.</w:t>
      </w:r>
    </w:p>
    <w:p>
      <w:pPr>
        <w:pStyle w:val="Normal"/>
        <w:rPr/>
      </w:pPr>
      <w:r>
        <w:rPr>
          <w:b/>
        </w:rPr>
        <w:t>Decisão:</w:t>
      </w:r>
      <w:r>
        <w:rP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rPr/>
      </w:pPr>
      <w:r>
        <w:rPr/>
      </w:r>
    </w:p>
    <w:p>
      <w:pPr>
        <w:pStyle w:val="Heading3"/>
        <w:rPr/>
      </w:pPr>
      <w:r>
        <w:rPr/>
        <w:t>A.5.12 China — idosos de Pequim (Hu et al., 2007)</w:t>
      </w:r>
    </w:p>
    <w:p>
      <w:pPr>
        <w:pStyle w:val="Normal"/>
        <w:rPr>
          <w:b/>
        </w:rPr>
      </w:pPr>
      <w:r>
        <w:rPr>
          <w:b/>
        </w:rPr>
      </w:r>
    </w:p>
    <w:p>
      <w:pPr>
        <w:pStyle w:val="Normal"/>
        <w:rPr/>
      </w:pPr>
      <w:r>
        <w:rPr>
          <w:b/>
        </w:rPr>
        <w:t>Fonte:</w:t>
      </w:r>
      <w:r>
        <w:rPr/>
        <w:t xml:space="preserve"> </w:t>
      </w:r>
      <w:r>
        <w:rPr>
          <w:i/>
        </w:rPr>
        <w:t>International Journal of Industrial Ergonomics</w:t>
      </w:r>
      <w:r>
        <w:rP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Normal"/>
        <w:rPr>
          <w:b/>
        </w:rPr>
      </w:pPr>
      <w:r>
        <w:rPr>
          <w:b/>
        </w:rPr>
      </w:r>
    </w:p>
    <w:p>
      <w:pPr>
        <w:pStyle w:val="Normal"/>
        <w:rPr/>
      </w:pPr>
      <w:r>
        <w:rPr>
          <w:b/>
        </w:rPr>
        <w:t>Decisão:</w:t>
      </w:r>
      <w:r>
        <w:rP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rPr/>
        <w:t>note</w:t>
      </w:r>
      <w:r>
        <w:rPr>
          <w:rFonts w:ascii="Consolas" w:hAnsi="Consolas"/>
          <w:sz w:val="20"/>
        </w:rPr>
        <w:t>.</w:t>
      </w:r>
    </w:p>
    <w:p>
      <w:pPr>
        <w:pStyle w:val="Normal"/>
        <w:rPr>
          <w:b/>
        </w:rPr>
      </w:pPr>
      <w:r>
        <w:rPr>
          <w:b/>
        </w:rPr>
      </w:r>
    </w:p>
    <w:p>
      <w:pPr>
        <w:pStyle w:val="Normal"/>
        <w:rPr/>
      </w:pPr>
      <w:r>
        <w:rPr>
          <w:b/>
        </w:rPr>
        <w:t>Nota de cobertura:</w:t>
      </w:r>
      <w:r>
        <w:rPr/>
        <w:t xml:space="preserve"> Primeira fonte de dados de idosos chineses e, simultaneamente, a única fonte da Ásia Oriental na base de dados (após a verificação de que uma referência alternativa inicialmente identificada não era verificável).</w:t>
      </w:r>
    </w:p>
    <w:p>
      <w:pPr>
        <w:pStyle w:val="Heading3"/>
        <w:rPr/>
      </w:pPr>
      <w:r>
        <w:rPr/>
      </w:r>
    </w:p>
    <w:p>
      <w:pPr>
        <w:pStyle w:val="Heading3"/>
        <w:rPr/>
      </w:pPr>
      <w:r>
        <w:rPr/>
        <w:t>A.5.13 Estudo excluído: reconstrução corporal 3D a partir de fotografias ortogonais</w:t>
      </w:r>
    </w:p>
    <w:p>
      <w:pPr>
        <w:pStyle w:val="Normal"/>
        <w:rPr>
          <w:b/>
        </w:rPr>
      </w:pPr>
      <w:r>
        <w:rPr>
          <w:b/>
        </w:rPr>
      </w:r>
    </w:p>
    <w:p>
      <w:pPr>
        <w:pStyle w:val="Normal"/>
        <w:rPr/>
      </w:pPr>
      <w:r>
        <w:rPr>
          <w:b/>
        </w:rPr>
        <w:t>Fonte:</w:t>
      </w:r>
      <w:r>
        <w:rPr/>
        <w:t xml:space="preserve"> artigo metodológico sobre reconstrução de modelos corporais 3D a partir de fotografias ortogonais, publicado no </w:t>
      </w:r>
      <w:r>
        <w:rPr>
          <w:i/>
        </w:rPr>
        <w:t>International Journal of Industrial Ergonomics</w:t>
      </w:r>
      <w:r>
        <w:rPr/>
        <w:t>, usando deformação de forma livre (FFD).</w:t>
      </w:r>
    </w:p>
    <w:p>
      <w:pPr>
        <w:pStyle w:val="Normal"/>
        <w:rPr>
          <w:b/>
        </w:rPr>
      </w:pPr>
      <w:r>
        <w:rPr>
          <w:b/>
        </w:rPr>
      </w:r>
    </w:p>
    <w:p>
      <w:pPr>
        <w:pStyle w:val="Normal"/>
        <w:rPr/>
      </w:pPr>
      <w:r>
        <w:rPr>
          <w:b/>
        </w:rPr>
        <w:t>Decisão: excluído.</w:t>
      </w:r>
      <w:r>
        <w:rP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rPr/>
      </w:pPr>
      <w:r>
        <w:rPr/>
      </w:r>
    </w:p>
    <w:p>
      <w:pPr>
        <w:pStyle w:val="Heading3"/>
        <w:rPr/>
      </w:pPr>
      <w:r>
        <w:rPr/>
        <w:t>A.6 Estrutura do CSV e Schema</w:t>
      </w:r>
    </w:p>
    <w:p>
      <w:pPr>
        <w:pStyle w:val="Heading3"/>
        <w:rPr/>
      </w:pPr>
      <w:r>
        <w:rPr/>
      </w:r>
    </w:p>
    <w:p>
      <w:pPr>
        <w:pStyle w:val="Heading3"/>
        <w:rPr/>
      </w:pPr>
      <w:r>
        <w:rPr/>
        <w:t>A.6.1 Campos</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Campo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Tipo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Região corporal (</w:t>
            </w:r>
            <w:r>
              <w:rPr>
                <w:rFonts w:ascii="Consolas" w:hAnsi="Consolas"/>
                <w:sz w:val="20"/>
              </w:rPr>
              <w:t>hand</w:t>
            </w:r>
            <w:r>
              <w:rPr/>
              <w:t xml:space="preserve">, </w:t>
            </w:r>
            <w:r>
              <w:rPr>
                <w:rFonts w:ascii="Consolas" w:hAnsi="Consolas"/>
                <w:sz w:val="20"/>
              </w:rPr>
              <w:t>forearm</w:t>
            </w:r>
            <w:r>
              <w:rPr/>
              <w:t xml:space="preserve">, </w:t>
            </w:r>
            <w:r>
              <w:rPr>
                <w:rFonts w:ascii="Consolas" w:hAnsi="Consolas"/>
                <w:sz w:val="20"/>
              </w:rPr>
              <w:t>upper</w:t>
            </w:r>
            <w:r>
              <w:rPr>
                <w:i/>
              </w:rPr>
              <w:t>arm</w:t>
            </w:r>
            <w:r>
              <w:rPr>
                <w:rFonts w:ascii="Consolas" w:hAnsi="Consolas"/>
                <w:sz w:val="20"/>
              </w:rPr>
              <w:t xml:space="preserve">, </w:t>
            </w:r>
            <w:r>
              <w:rPr/>
              <w:t>lower</w:t>
            </w:r>
            <w:r>
              <w:rPr>
                <w:i/>
              </w:rPr>
              <w:t>limb</w:t>
            </w:r>
            <w:r>
              <w:rPr>
                <w:rFonts w:ascii="Consolas" w:hAnsi="Consolas"/>
                <w:sz w:val="20"/>
              </w:rPr>
              <w:t xml:space="preserve">, </w:t>
            </w:r>
            <w:r>
              <w:rPr/>
              <w:t>torso</w:t>
            </w:r>
            <w:r>
              <w:rPr>
                <w:rFonts w:ascii="Consolas" w:hAnsi="Consolas"/>
                <w:sz w:val="20"/>
              </w:rPr>
              <w:t xml:space="preserve">, </w:t>
            </w:r>
            <w:r>
              <w:rPr/>
              <w:t>head</w:t>
            </w:r>
            <w:r>
              <w:rPr>
                <w:rFonts w:ascii="Consolas" w:hAnsi="Consolas"/>
                <w:sz w:val="20"/>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method</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country</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sex</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male</w:t>
            </w:r>
            <w:r>
              <w:rPr/>
              <w:t xml:space="preserve">, </w:t>
            </w:r>
            <w:r>
              <w:rPr>
                <w:rFonts w:ascii="Consolas" w:hAnsi="Consolas"/>
                <w:sz w:val="20"/>
              </w:rPr>
              <w:t>female</w:t>
            </w:r>
            <w:r>
              <w:rPr/>
              <w:t xml:space="preserve"> ou </w:t>
            </w:r>
            <w:r>
              <w:rPr>
                <w:rFonts w:ascii="Consolas" w:hAnsi="Consolas"/>
                <w:sz w:val="20"/>
              </w:rP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 xml:space="preserve">Tipo de estatística: </w:t>
            </w:r>
            <w:r>
              <w:rPr>
                <w:rFonts w:ascii="Consolas" w:hAnsi="Consolas"/>
                <w:sz w:val="20"/>
              </w:rPr>
              <w:t>mean</w:t>
            </w:r>
            <w:r>
              <w:rPr/>
              <w:t xml:space="preserve">, </w:t>
            </w:r>
            <w:r>
              <w:rPr>
                <w:rFonts w:ascii="Consolas" w:hAnsi="Consolas"/>
                <w:sz w:val="20"/>
              </w:rPr>
              <w:t>std</w:t>
            </w:r>
            <w:r>
              <w:rPr>
                <w:i/>
              </w:rPr>
              <w:t>dev</w:t>
            </w:r>
            <w:r>
              <w:rPr>
                <w:rFonts w:ascii="Consolas" w:hAnsi="Consolas"/>
                <w:sz w:val="20"/>
              </w:rPr>
              <w:t xml:space="preserve">, </w:t>
            </w:r>
            <w:r>
              <w:rPr/>
              <w:t>percentile</w:t>
            </w:r>
            <w:r>
              <w:rPr>
                <w:rFonts w:ascii="Consolas" w:hAnsi="Consolas"/>
                <w:sz w:val="20"/>
              </w:rPr>
              <w:t xml:space="preserve">, </w:t>
            </w:r>
            <w:r>
              <w:rPr/>
              <w:t>min</w:t>
            </w:r>
            <w:r>
              <w:rPr>
                <w:rFonts w:ascii="Consolas" w:hAnsi="Consolas"/>
                <w:sz w:val="20"/>
              </w:rPr>
              <w:t xml:space="preserve">, </w:t>
            </w:r>
            <w:r>
              <w:rP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data</w:t>
            </w:r>
            <w:r>
              <w:rPr>
                <w:i/>
              </w:rPr>
              <w:t>quality</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Notas sobre limitações, artefactos ou incertezas do valor</w:t>
            </w:r>
          </w:p>
        </w:tc>
      </w:tr>
    </w:tbl>
    <w:p>
      <w:pPr>
        <w:pStyle w:val="Heading3"/>
        <w:rPr/>
      </w:pPr>
      <w:r>
        <w:rPr/>
      </w:r>
    </w:p>
    <w:p>
      <w:pPr>
        <w:pStyle w:val="Heading3"/>
        <w:rPr/>
      </w:pPr>
      <w:r>
        <w:rPr/>
        <w:t>A.6.2 Formato longo (</w:t>
      </w:r>
      <w:r>
        <w:rPr>
          <w:i/>
        </w:rPr>
        <w:t>long format</w:t>
      </w:r>
      <w:r>
        <w:rPr/>
        <w:t>)</w:t>
      </w:r>
    </w:p>
    <w:p>
      <w:pPr>
        <w:pStyle w:val="Normal"/>
        <w:rPr/>
      </w:pPr>
      <w:r>
        <w:rPr/>
        <w:t xml:space="preserve">A opção pelo formato longo — uma linha por estatística, e não uma linha por dimensão com colunas </w:t>
      </w:r>
      <w:r>
        <w:rPr>
          <w:rFonts w:ascii="Consolas" w:hAnsi="Consolas"/>
          <w:sz w:val="20"/>
        </w:rPr>
        <w:t>mean</w:t>
      </w:r>
      <w:r>
        <w:rPr/>
        <w:t xml:space="preserve">, </w:t>
      </w:r>
      <w:r>
        <w:rPr>
          <w:rFonts w:ascii="Consolas" w:hAnsi="Consolas"/>
          <w:sz w:val="20"/>
        </w:rPr>
        <w:t>sd</w:t>
      </w:r>
      <w:r>
        <w:rPr/>
        <w:t xml:space="preserve">, </w:t>
      </w:r>
      <w:r>
        <w:rPr>
          <w:rFonts w:ascii="Consolas" w:hAnsi="Consolas"/>
          <w:sz w:val="20"/>
        </w:rPr>
        <w:t>p5</w:t>
      </w:r>
      <w:r>
        <w:rPr/>
        <w:t>, etc. — permite:</w:t>
      </w:r>
    </w:p>
    <w:p>
      <w:pPr>
        <w:pStyle w:val="ListBullet"/>
        <w:rPr/>
      </w:pPr>
      <w:r>
        <w:rPr/>
        <w:t>- Filtrar facilmente por tipo de estatística sem tratamento especial de colunas opcionais</w:t>
      </w:r>
    </w:p>
    <w:p>
      <w:pPr>
        <w:pStyle w:val="ListBullet"/>
        <w:rPr/>
      </w:pPr>
      <w:r>
        <w:rPr/>
        <w:t>- Incluir estudos que reportam apenas subconjuntos de estatísticas (e.g., apenas média, sem percentis) sem introduzir células vazias em colunas estruturais</w:t>
      </w:r>
    </w:p>
    <w:p>
      <w:pPr>
        <w:pStyle w:val="ListBullet"/>
        <w:rPr/>
      </w:pPr>
      <w:r>
        <w:rPr/>
        <w:t>- Acrescentar novos tipos de estatística (e.g., intervalo de confiança) sem alterar o schema</w:t>
      </w:r>
    </w:p>
    <w:p>
      <w:pPr>
        <w:pStyle w:val="Normal"/>
        <w:rPr/>
      </w:pPr>
      <w:r>
        <w:rPr/>
        <w:t>O custo é a repetição dos campos de identificação (país, sexo, dimensão) em cada linha — aceitável dado o volume total de dados (&lt; 5 MB).</w:t>
      </w:r>
    </w:p>
    <w:p>
      <w:pPr>
        <w:pStyle w:val="Heading3"/>
        <w:rPr/>
      </w:pPr>
      <w:r>
        <w:rPr/>
      </w:r>
    </w:p>
    <w:p>
      <w:pPr>
        <w:pStyle w:val="Heading3"/>
        <w:rPr/>
      </w:pPr>
      <w:r>
        <w:rPr/>
        <w:t>A.7 Controlo de Qualidade dos Dados</w:t>
      </w:r>
    </w:p>
    <w:p>
      <w:pPr>
        <w:pStyle w:val="Heading3"/>
        <w:rPr/>
      </w:pPr>
      <w:r>
        <w:rPr/>
      </w:r>
    </w:p>
    <w:p>
      <w:pPr>
        <w:pStyle w:val="Heading3"/>
        <w:rPr/>
      </w:pPr>
      <w:r>
        <w:rPr/>
        <w:t>A.7.1 Marcação inline de limitações</w:t>
      </w:r>
    </w:p>
    <w:p>
      <w:pPr>
        <w:pStyle w:val="Normal"/>
        <w:rPr/>
      </w:pPr>
      <w:r>
        <w:rPr/>
      </w:r>
    </w:p>
    <w:p>
      <w:pPr>
        <w:pStyle w:val="Normal"/>
        <w:rPr/>
      </w:pPr>
      <w:r>
        <w:rPr/>
        <w:t xml:space="preserve">O campo </w:t>
      </w:r>
      <w:r>
        <w:rPr>
          <w:rFonts w:ascii="Consolas" w:hAnsi="Consolas"/>
          <w:sz w:val="20"/>
        </w:rPr>
        <w:t>data</w:t>
      </w:r>
      <w:r>
        <w:rPr>
          <w:i/>
        </w:rPr>
        <w:t>quality</w:t>
      </w:r>
      <w:r>
        <w:rPr/>
        <w:t>note</w:t>
      </w:r>
      <w:r>
        <w:rPr>
          <w:rFonts w:ascii="Consolas" w:hAnsi="Consolas"/>
          <w:sz w:val="20"/>
        </w:rPr>
        <w:t xml:space="preserve"> é preenchido sempre que existe uma das seguintes situações:</w:t>
      </w:r>
    </w:p>
    <w:p>
      <w:pPr>
        <w:pStyle w:val="ListBullet"/>
        <w:rPr/>
      </w:pPr>
      <w:r>
        <w:rPr/>
        <w:t>- Valor extraído de uma figura (diagrama ou gráfico) em vez de uma tabela</w:t>
      </w:r>
    </w:p>
    <w:p>
      <w:pPr>
        <w:pStyle w:val="ListBullet"/>
        <w:rPr/>
      </w:pPr>
      <w:r>
        <w:rPr/>
        <w:t>- Subgrupo com n ≤ 10</w:t>
      </w:r>
    </w:p>
    <w:p>
      <w:pPr>
        <w:pStyle w:val="ListBullet"/>
        <w:rPr/>
      </w:pPr>
      <w:r>
        <w:rPr/>
        <w:t>- Desvio-padrão ausente ou atipicamente elevado</w:t>
      </w:r>
    </w:p>
    <w:p>
      <w:pPr>
        <w:pStyle w:val="ListBullet"/>
        <w:rPr/>
      </w:pPr>
      <w:r>
        <w:rPr/>
        <w:t>- Valor estimado a partir de estatísticas adjacentes por ilegibilidade da tabela</w:t>
      </w:r>
    </w:p>
    <w:p>
      <w:pPr>
        <w:pStyle w:val="ListBullet"/>
        <w:rPr/>
      </w:pPr>
      <w:r>
        <w:rPr/>
        <w:t>- Correlação fraca entre variáveis reportada pelo próprio estudo</w:t>
      </w:r>
    </w:p>
    <w:p>
      <w:pPr>
        <w:pStyle w:val="ListBullet"/>
        <w:rPr/>
      </w:pPr>
      <w:r>
        <w:rPr/>
        <w:t>- Inconsistência tipográfica no documento original, corrigida com nota</w:t>
      </w:r>
    </w:p>
    <w:p>
      <w:pPr>
        <w:pStyle w:val="Heading3"/>
        <w:rPr/>
      </w:pPr>
      <w:r>
        <w:rPr/>
      </w:r>
    </w:p>
    <w:p>
      <w:pPr>
        <w:pStyle w:val="Heading3"/>
        <w:rPr/>
      </w:pPr>
      <w:r>
        <w:rPr/>
        <w:t>A.7.2 Verificação de unidades</w:t>
      </w:r>
    </w:p>
    <w:p>
      <w:pPr>
        <w:pStyle w:val="Normal"/>
        <w:rPr/>
      </w:pPr>
      <w:r>
        <w:rPr/>
      </w:r>
    </w:p>
    <w:p>
      <w:pPr>
        <w:pStyle w:val="Normal"/>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rPr/>
      </w:pPr>
      <w:r>
        <w:rPr/>
      </w:r>
    </w:p>
    <w:p>
      <w:pPr>
        <w:pStyle w:val="Heading3"/>
        <w:rPr/>
      </w:pPr>
      <w:r>
        <w:rPr/>
        <w:t>A.7.3 Registo completo do processo</w:t>
      </w:r>
    </w:p>
    <w:p>
      <w:pPr>
        <w:pStyle w:val="Normal"/>
        <w:rPr/>
      </w:pPr>
      <w:r>
        <w:rPr/>
      </w:r>
    </w:p>
    <w:p>
      <w:pPr>
        <w:pStyle w:val="Normal"/>
        <w:rPr/>
      </w:pPr>
      <w:r>
        <w:rPr/>
        <w:t>Cada linha do CSV contém a citação completa (</w:t>
      </w:r>
      <w:r>
        <w:rPr>
          <w:rFonts w:ascii="Consolas" w:hAnsi="Consolas"/>
          <w:sz w:val="20"/>
        </w:rPr>
        <w:t>source</w:t>
      </w:r>
      <w:r>
        <w:rPr>
          <w:i/>
        </w:rPr>
        <w:t>citation</w:t>
      </w:r>
      <w:r>
        <w:rPr>
          <w:rFonts w:ascii="Consolas" w:hAnsi="Consolas"/>
          <w:sz w:val="20"/>
        </w:rPr>
        <w:t>) e o número de página exato (</w:t>
      </w:r>
      <w:r>
        <w:rPr/>
        <w:t>source</w:t>
      </w:r>
      <w:r>
        <w:rPr>
          <w:i/>
        </w:rPr>
        <w:t>page</w:t>
      </w:r>
      <w:r>
        <w:rPr>
          <w:rFonts w:ascii="Consolas" w:hAnsi="Consolas"/>
          <w:sz w:val="20"/>
        </w:rPr>
        <w:t>), permitindo que qualquer valor seja verificado diretamente na fonte primária sem necessidade de metadados externos.</w:t>
      </w:r>
    </w:p>
    <w:p>
      <w:pPr>
        <w:pStyle w:val="Heading3"/>
        <w:rPr/>
      </w:pPr>
      <w:r>
        <w:rPr/>
      </w:r>
    </w:p>
    <w:p>
      <w:pPr>
        <w:pStyle w:val="Heading3"/>
        <w:rPr/>
      </w:pPr>
      <w:r>
        <w:rPr/>
        <w:t>A.8 Escrita do Código de Geração</w:t>
      </w:r>
    </w:p>
    <w:p>
      <w:pPr>
        <w:pStyle w:val="Heading3"/>
        <w:rPr/>
      </w:pPr>
      <w:r>
        <w:rPr/>
      </w:r>
    </w:p>
    <w:p>
      <w:pPr>
        <w:pStyle w:val="Normal"/>
        <w:rPr/>
      </w:pPr>
      <w:r>
        <w:rPr/>
        <w:t>Os dados foram codificados em dois scripts Python independentes:</w:t>
      </w:r>
    </w:p>
    <w:p>
      <w:pPr>
        <w:pStyle w:val="ListBullet"/>
        <w:rPr/>
      </w:pPr>
      <w:r>
        <w:rPr/>
        <w:t xml:space="preserve">- </w:t>
      </w:r>
      <w:r>
        <w:rPr>
          <w:rFonts w:ascii="Consolas" w:hAnsi="Consolas"/>
          <w:sz w:val="20"/>
        </w:rPr>
        <w:t>generate</w:t>
      </w:r>
      <w:r>
        <w:rPr>
          <w:i/>
        </w:rPr>
        <w:t>ansur</w:t>
      </w:r>
      <w:r>
        <w:rPr/>
        <w:t>csv.py</w:t>
      </w:r>
      <w:r>
        <w:rPr>
          <w:rFonts w:ascii="Consolas" w:hAnsi="Consolas"/>
          <w:sz w:val="20"/>
        </w:rPr>
        <w:t xml:space="preserve"> — gera </w:t>
      </w:r>
      <w:r>
        <w:rPr/>
        <w:t>ansur</w:t>
      </w:r>
      <w:r>
        <w:rPr>
          <w:i/>
        </w:rPr>
        <w:t>1988</w:t>
      </w:r>
      <w:r>
        <w:rPr/>
        <w:t>complete.csv</w:t>
      </w:r>
      <w:r>
        <w:rPr>
          <w:rFonts w:ascii="Consolas" w:hAnsi="Consolas"/>
          <w:sz w:val="20"/>
        </w:rPr>
        <w:t xml:space="preserve"> e </w:t>
      </w:r>
      <w:r>
        <w:rPr/>
        <w:t>ansur</w:t>
      </w:r>
      <w:r>
        <w:rPr>
          <w:i/>
        </w:rPr>
        <w:t>1988</w:t>
      </w:r>
      <w:r>
        <w:rPr/>
        <w:t>hand</w:t>
      </w:r>
      <w:r>
        <w:rPr>
          <w:i/>
        </w:rPr>
        <w:t>arm.csv</w:t>
      </w:r>
      <w:r>
        <w:rPr>
          <w:rFonts w:ascii="Consolas" w:hAnsi="Consolas"/>
          <w:sz w:val="20"/>
        </w:rPr>
        <w:t xml:space="preserve"> a partir de dicionários Python embutidos no script, um por tabela do relatório ANSUR</w:t>
      </w:r>
    </w:p>
    <w:p>
      <w:pPr>
        <w:pStyle w:val="ListBullet"/>
        <w:rPr/>
      </w:pPr>
      <w:r>
        <w:rPr/>
        <w:t xml:space="preserve">- </w:t>
      </w:r>
      <w:r>
        <w:rPr>
          <w:rFonts w:ascii="Consolas" w:hAnsi="Consolas"/>
          <w:sz w:val="20"/>
        </w:rPr>
        <w:t>generate</w:t>
      </w:r>
      <w:r>
        <w:rPr>
          <w:i/>
        </w:rPr>
        <w:t>multi</w:t>
      </w:r>
      <w:r>
        <w:rPr/>
        <w:t>population</w:t>
      </w:r>
      <w:r>
        <w:rPr>
          <w:i/>
        </w:rPr>
        <w:t>hand</w:t>
      </w:r>
      <w:r>
        <w:rPr/>
        <w:t>csv.py</w:t>
      </w:r>
      <w:r>
        <w:rPr>
          <w:rFonts w:ascii="Consolas" w:hAnsi="Consolas"/>
          <w:sz w:val="20"/>
        </w:rPr>
        <w:t xml:space="preserve"> — gera </w:t>
      </w:r>
      <w:r>
        <w:rPr/>
        <w:t>multi</w:t>
      </w:r>
      <w:r>
        <w:rPr>
          <w:i/>
        </w:rPr>
        <w:t>population</w:t>
      </w:r>
      <w:r>
        <w:rPr/>
        <w:t>hand.csv</w:t>
      </w:r>
      <w:r>
        <w:rPr>
          <w:rFonts w:ascii="Consolas" w:hAnsi="Consolas"/>
          <w:sz w:val="20"/>
        </w:rPr>
        <w:t xml:space="preserve"> a partir de dez secções numeradas, cada uma correspondente a um estudo ou conjunto de datasets</w:t>
      </w:r>
    </w:p>
    <w:p>
      <w:pPr>
        <w:pStyle w:val="Normal"/>
        <w:rPr/>
      </w:pPr>
      <w:r>
        <w:rPr/>
        <w:t>A escolha de embeber os dados diretamente no código (em vez de, por exemplo, folhas de cálculo intermédias) serve três propósitos: (1) origem verificável dos dados — cada valor está imediatamente associado à respetiva citação e nota metodológica; (2) regeneração consistente dos dados — a execução do script produz novamente o CSV a partir das mesmas regras e dos mesmos valores de origem;</w:t>
        <w:br/>
        <w:t xml:space="preserve">(3) controlo de versões — as alterações aos dados tornam-se visíveis no </w:t>
      </w:r>
      <w:r>
        <w:rPr>
          <w:rStyle w:val="SourceText"/>
        </w:rPr>
        <w:t>diff</w:t>
      </w:r>
      <w:r>
        <w:rPr/>
        <w:t xml:space="preserve"> do Git, permitindo identificar que estudo foi modificado e em que contexto.</w:t>
      </w:r>
    </w:p>
    <w:p>
      <w:pPr>
        <w:pStyle w:val="Normal"/>
        <w:rPr/>
      </w:pPr>
      <w:r>
        <w:rP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rPr/>
        <w:t>value</w:t>
      </w:r>
      <w:r>
        <w:rPr>
          <w:i/>
        </w:rPr>
        <w:t>cm</w:t>
      </w:r>
      <w:r>
        <w:rPr>
          <w:rFonts w:ascii="Consolas" w:hAnsi="Consolas"/>
          <w:sz w:val="20"/>
        </w:rPr>
        <w:t xml:space="preserve">, e valida que nenhuma linha é emitida sem pelo menos uma das colunas </w:t>
      </w:r>
      <w:r>
        <w:rPr/>
        <w:t>value</w:t>
      </w:r>
      <w:r>
        <w:rPr>
          <w:i/>
        </w:rPr>
        <w:t>mm</w:t>
      </w:r>
      <w:r>
        <w:rPr>
          <w:rFonts w:ascii="Consolas" w:hAnsi="Consolas"/>
          <w:sz w:val="20"/>
        </w:rPr>
        <w:t xml:space="preserve"> ou </w:t>
      </w:r>
      <w:r>
        <w:rPr/>
        <w:t>value</w:t>
      </w:r>
      <w:r>
        <w:rPr>
          <w:i/>
        </w:rPr>
        <w:t>cm</w:t>
      </w:r>
      <w:r>
        <w:rPr>
          <w:rFonts w:ascii="Consolas" w:hAnsi="Consolas"/>
          <w:sz w:val="20"/>
        </w:rPr>
        <w:t xml:space="preserve"> preenchida.</w:t>
      </w:r>
    </w:p>
    <w:p>
      <w:pPr>
        <w:pStyle w:val="Heading3"/>
        <w:rPr/>
      </w:pPr>
      <w:r>
        <w:rPr/>
      </w:r>
    </w:p>
    <w:p>
      <w:pPr>
        <w:pStyle w:val="Heading3"/>
        <w:rPr/>
      </w:pPr>
      <w:r>
        <w:rPr/>
        <w:t>A.9 Resultado Final</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Linhas (dados)</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Países</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2.726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696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multi</w:t>
            </w:r>
            <w:r>
              <w:rPr>
                <w:i/>
              </w:rPr>
              <w:t>population</w:t>
            </w:r>
            <w:r>
              <w:rPr/>
              <w:t>hand.csv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1.790</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9</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~85</w:t>
            </w:r>
          </w:p>
        </w:tc>
      </w:tr>
    </w:tbl>
    <w:p>
      <w:pPr>
        <w:pStyle w:val="Normal"/>
        <w:rPr/>
      </w:pPr>
      <w:r>
        <w:rPr/>
      </w:r>
    </w:p>
    <w:p>
      <w:pPr>
        <w:pStyle w:val="Normal"/>
        <w:rPr/>
      </w:pPr>
      <w:r>
        <w:rPr/>
        <w:t xml:space="preserve">O ficheiro </w:t>
      </w:r>
      <w:r>
        <w:rPr>
          <w:rFonts w:ascii="Consolas" w:hAnsi="Consolas"/>
          <w:sz w:val="20"/>
        </w:rPr>
        <w:t>multi</w:t>
      </w:r>
      <w:r>
        <w:rPr>
          <w:i/>
        </w:rPr>
        <w:t>population</w:t>
      </w:r>
      <w:r>
        <w:rP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rPr/>
      </w:pPr>
      <w:r>
        <w:rPr/>
      </w:r>
    </w:p>
    <w:p>
      <w:pPr>
        <w:pStyle w:val="Heading3"/>
        <w:rPr/>
      </w:pPr>
      <w:r>
        <w:rPr/>
        <w:t>A.10 Cobertura Global da Base de Dados e Lacunas</w:t>
      </w:r>
    </w:p>
    <w:p>
      <w:pPr>
        <w:pStyle w:val="Heading3"/>
        <w:rPr/>
      </w:pPr>
      <w:r>
        <w:rPr/>
      </w:r>
    </w:p>
    <w:p>
      <w:pPr>
        <w:pStyle w:val="Heading3"/>
        <w:rPr/>
      </w:pPr>
      <w:r>
        <w:rPr/>
        <w:t>A.10.1 O que está coberto</w:t>
      </w:r>
    </w:p>
    <w:p>
      <w:pPr>
        <w:pStyle w:val="Normal"/>
        <w:rPr/>
      </w:pPr>
      <w:r>
        <w:rPr/>
      </w:r>
    </w:p>
    <w:p>
      <w:pPr>
        <w:pStyle w:val="Normal"/>
        <w:rPr>
          <w:rFonts w:ascii="Consolas" w:hAnsi="Consolas"/>
          <w:sz w:val="20"/>
        </w:rPr>
      </w:pPr>
      <w:r>
        <w:rPr>
          <w:rFonts w:ascii="Consolas" w:hAnsi="Consolas"/>
          <w:sz w:val="20"/>
        </w:rPr>
        <w:t>A base de dados foi construída com o objetivo de reunir dados sobre a variação antropométrica da mão humana em diferentes dimensões de análise, incluindo distribuição geográfica, características demográficas, grupos etários e tipos de estatística descritiva disponíveis. A tabela seguinte sintetiza a cobertura atual.</w:t>
      </w:r>
    </w:p>
    <w:p>
      <w:pPr>
        <w:pStyle w:val="Heading3"/>
        <w:rPr/>
      </w:pPr>
      <w:r>
        <w:rPr/>
      </w:r>
    </w:p>
    <w:p>
      <w:pPr>
        <w:pStyle w:val="Heading3"/>
        <w:rPr/>
      </w:pPr>
      <w:r>
        <w:rPr/>
        <w:t>A.10.1.1 Cobertura geográfica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África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Índia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w:t>
            </w:r>
          </w:p>
        </w:tc>
      </w:tr>
    </w:tbl>
    <w:p>
      <w:pPr>
        <w:pStyle w:val="Normal"/>
        <w:rPr/>
      </w:pPr>
      <w:r>
        <w:rPr/>
      </w:r>
    </w:p>
    <w:p>
      <w:pPr>
        <w:pStyle w:val="Normal"/>
        <w:rPr/>
      </w:pPr>
      <w:r>
        <w:rPr/>
        <w:t>Nove países estão representados, distribuídos por sete regiões do mundo. A cobertura é particularmente densa nos EUA (três fontes independentes) e nos Países Baixos (três sub-datasets DINED).</w:t>
      </w:r>
    </w:p>
    <w:p>
      <w:pPr>
        <w:pStyle w:val="Heading3"/>
        <w:rPr/>
      </w:pPr>
      <w:r>
        <w:rPr/>
      </w:r>
    </w:p>
    <w:p>
      <w:pPr>
        <w:pStyle w:val="Heading3"/>
        <w:rPr/>
      </w:pPr>
      <w:r>
        <w:rPr/>
        <w:t>A.10.1.2 Cobertura etária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2–12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15–19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18–30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17–58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15–59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19–30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20–40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20–60+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50–80+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65–85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bl>
    <w:p>
      <w:pPr>
        <w:pStyle w:val="Normal"/>
        <w:rPr/>
      </w:pPr>
      <w:r>
        <w:rPr/>
      </w:r>
    </w:p>
    <w:p>
      <w:pPr>
        <w:pStyle w:val="Normal"/>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rPr/>
      </w:pPr>
      <w:r>
        <w:rPr/>
      </w:r>
    </w:p>
    <w:p>
      <w:pPr>
        <w:pStyle w:val="Heading3"/>
        <w:rPr/>
      </w:pPr>
      <w:r>
        <w:rPr/>
        <w:t>A.10.1.3 Cobertura estatística</w:t>
      </w:r>
    </w:p>
    <w:p>
      <w:pPr>
        <w:pStyle w:val="Normal"/>
        <w:rPr/>
      </w:pPr>
      <w:r>
        <w:rPr/>
      </w:r>
    </w:p>
    <w:p>
      <w:pPr>
        <w:pStyle w:val="Normal"/>
        <w:rPr/>
      </w:pPr>
      <w:r>
        <w:rPr/>
        <w:t>A profundidade estatística varia consideravelmente entre fontes: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Mistarihi (2020) — largura da mão; Lim et al. (2018)</w:t>
            </w:r>
          </w:p>
        </w:tc>
      </w:tr>
    </w:tbl>
    <w:p>
      <w:pPr>
        <w:pStyle w:val="Normal"/>
        <w:rPr/>
      </w:pPr>
      <w:r>
        <w:rPr/>
      </w:r>
    </w:p>
    <w:p>
      <w:pPr>
        <w:pStyle w:val="Normal"/>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rPr/>
      </w:pPr>
      <w:r>
        <w:rPr/>
      </w:r>
    </w:p>
    <w:p>
      <w:pPr>
        <w:pStyle w:val="Heading3"/>
        <w:rPr/>
      </w:pPr>
      <w:r>
        <w:rPr/>
        <w:t>A.10.2 Onde a cobertura falha</w:t>
      </w:r>
    </w:p>
    <w:p>
      <w:pPr>
        <w:pStyle w:val="Heading3"/>
        <w:rPr/>
      </w:pPr>
      <w:r>
        <w:rPr/>
      </w:r>
    </w:p>
    <w:p>
      <w:pPr>
        <w:pStyle w:val="Heading3"/>
        <w:rPr/>
      </w:pPr>
      <w:r>
        <w:rPr/>
        <w:t>A.10.2.1 Lacunas geográficas</w:t>
      </w:r>
    </w:p>
    <w:p>
      <w:pPr>
        <w:pStyle w:val="Heading3"/>
        <w:rPr/>
      </w:pPr>
      <w:r>
        <w:rPr/>
      </w:r>
    </w:p>
    <w:p>
      <w:pPr>
        <w:pStyle w:val="Normal"/>
        <w:rPr/>
      </w:pPr>
      <w:r>
        <w:rPr/>
        <w:t>As regiões mais populosas do mundo estão sub-representadas ou ausentes:</w:t>
      </w:r>
    </w:p>
    <w:p>
      <w:pPr>
        <w:pStyle w:val="ListBullet"/>
        <w:rPr/>
      </w:pPr>
      <w:r>
        <w:rPr/>
        <w:t xml:space="preserve">- </w:t>
      </w:r>
      <w:r>
        <w:rPr>
          <w:b/>
        </w:rPr>
        <w:t>Ásia Oriental</w:t>
      </w:r>
      <w:r>
        <w:rP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rPr/>
      </w:pPr>
      <w:r>
        <w:rPr/>
        <w:t xml:space="preserve">- </w:t>
      </w:r>
      <w:r>
        <w:rPr>
          <w:b/>
        </w:rPr>
        <w:t>Ásia do Sudeste</w:t>
      </w:r>
      <w:r>
        <w:rP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rPr/>
      </w:pPr>
      <w:r>
        <w:rPr/>
        <w:t xml:space="preserve">- </w:t>
      </w:r>
      <w:r>
        <w:rPr>
          <w:b/>
        </w:rPr>
        <w:t>África Subsaariana</w:t>
      </w:r>
      <w:r>
        <w:rP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rPr/>
      </w:pPr>
      <w:r>
        <w:rPr/>
        <w:t xml:space="preserve">- </w:t>
      </w:r>
      <w:r>
        <w:rPr>
          <w:b/>
        </w:rPr>
        <w:t>América do Sul</w:t>
      </w:r>
      <w:r>
        <w:rPr/>
        <w:t xml:space="preserve"> — Completamente ausente. Brasil, Colômbia e Argentina têm literatura ergonómica publicada mas não foram identificadas fontes acessíveis com dados de mão codificáveis.</w:t>
      </w:r>
    </w:p>
    <w:p>
      <w:pPr>
        <w:pStyle w:val="ListBullet"/>
        <w:rPr/>
      </w:pPr>
      <w:r>
        <w:rPr/>
        <w:t xml:space="preserve">- </w:t>
      </w:r>
      <w:r>
        <w:rPr>
          <w:b/>
        </w:rPr>
        <w:t>Europa Central e de Leste</w:t>
      </w:r>
      <w:r>
        <w:rPr/>
        <w:t xml:space="preserve"> — Ausente. Os Países Baixos e Portugal representam a Europa, mas há variações antropométricas documentadas entre populações do norte, sul e leste do continente.</w:t>
      </w:r>
    </w:p>
    <w:p>
      <w:pPr>
        <w:pStyle w:val="Heading3"/>
        <w:rPr/>
      </w:pPr>
      <w:r>
        <w:rPr/>
      </w:r>
    </w:p>
    <w:p>
      <w:pPr>
        <w:pStyle w:val="Heading3"/>
        <w:rPr/>
      </w:pPr>
      <w:r>
        <w:rPr/>
        <w:t>A.10.2.2 Lacunas demográficas</w:t>
      </w:r>
    </w:p>
    <w:p>
      <w:pPr>
        <w:pStyle w:val="Heading3"/>
        <w:rPr/>
      </w:pPr>
      <w:r>
        <w:rPr/>
      </w:r>
    </w:p>
    <w:p>
      <w:pPr>
        <w:pStyle w:val="ListBullet"/>
        <w:rPr/>
      </w:pPr>
      <w:r>
        <w:rPr/>
        <w:t xml:space="preserve">- </w:t>
      </w:r>
      <w:r>
        <w:rPr>
          <w:b/>
        </w:rPr>
        <w:t>Adolescentes (13–17 anos)</w:t>
      </w:r>
      <w:r>
        <w:rPr/>
        <w:t xml:space="preserve"> — a transição da mão infantil para a adulta não está coberta por nenhum estudo dedicado. O kima1993 chega aos 12 anos e o ANSUR começa aos 17.</w:t>
      </w:r>
    </w:p>
    <w:p>
      <w:pPr>
        <w:pStyle w:val="ListBullet"/>
        <w:rPr/>
      </w:pPr>
      <w:r>
        <w:rPr/>
        <w:t xml:space="preserve">- </w:t>
      </w:r>
      <w:r>
        <w:rPr>
          <w:b/>
        </w:rPr>
        <w:t>Amputados</w:t>
      </w:r>
      <w:r>
        <w:rP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rPr/>
      </w:pPr>
      <w:r>
        <w:rPr/>
        <w:t xml:space="preserve">- </w:t>
      </w:r>
      <w:r>
        <w:rPr>
          <w:b/>
        </w:rPr>
        <w:t>Pessoas com deficiência física</w:t>
      </w:r>
      <w:r>
        <w:rPr/>
        <w:t xml:space="preserve"> — apenas o estudo de Mistarihi (2020) cobre esta população (n=40, sexos combinados, Jordânia). A dimensão amostral é insuficiente para ser estatisticamente representativa.</w:t>
      </w:r>
    </w:p>
    <w:p>
      <w:pPr>
        <w:pStyle w:val="ListBullet"/>
        <w:rPr/>
      </w:pPr>
      <w:r>
        <w:rPr/>
        <w:t xml:space="preserve">- </w:t>
      </w:r>
      <w:r>
        <w:rPr>
          <w:b/>
        </w:rPr>
        <w:t>Idosos fora da Europa e China</w:t>
      </w:r>
      <w:r>
        <w:rP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rPr/>
      </w:pPr>
      <w:r>
        <w:rPr/>
      </w:r>
    </w:p>
    <w:p>
      <w:pPr>
        <w:pStyle w:val="Heading3"/>
        <w:rPr/>
      </w:pPr>
      <w:r>
        <w:rPr/>
        <w:t>A.10.2.3 Limitações qualitativas dos dados existentes</w:t>
      </w:r>
    </w:p>
    <w:p>
      <w:pPr>
        <w:pStyle w:val="Normal"/>
        <w:rPr/>
      </w:pPr>
      <w:r>
        <w:rPr/>
      </w:r>
    </w:p>
    <w:p>
      <w:pPr>
        <w:pStyle w:val="Normal"/>
        <w:rPr/>
      </w:pPr>
      <w:r>
        <w:rPr/>
        <w:t>Para além das lacunas por ausência, existem limitações nos dados já presentes:</w:t>
      </w:r>
    </w:p>
    <w:p>
      <w:pPr>
        <w:pStyle w:val="ListBullet"/>
        <w:rPr/>
      </w:pPr>
      <w:r>
        <w:rPr/>
        <w:t xml:space="preserve">- </w:t>
      </w:r>
      <w:r>
        <w:rPr>
          <w:b/>
        </w:rPr>
        <w:t>Heterogeneidade de protocolos</w:t>
      </w:r>
      <w:r>
        <w:rP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rPr/>
      </w:pPr>
      <w:r>
        <w:rPr/>
        <w:t xml:space="preserve">- </w:t>
      </w:r>
      <w:r>
        <w:rPr>
          <w:b/>
        </w:rPr>
        <w:t>Amostras de conveniência</w:t>
      </w:r>
      <w:r>
        <w:rP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rPr/>
      </w:pPr>
      <w:r>
        <w:rPr/>
        <w:t xml:space="preserve">- </w:t>
      </w:r>
      <w:r>
        <w:rPr>
          <w:b/>
        </w:rPr>
        <w:t>Desequilíbrio de dimensões</w:t>
      </w:r>
      <w:r>
        <w:rP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rPr/>
      </w:pPr>
      <w:r>
        <w:rPr/>
        <w:t xml:space="preserve">- </w:t>
      </w:r>
      <w:r>
        <w:rPr>
          <w:b/>
        </w:rPr>
        <w:t>Mão medida</w:t>
      </w:r>
      <w:r>
        <w:rP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rPr/>
      </w:pPr>
      <w:r>
        <w:rPr/>
      </w:r>
    </w:p>
    <w:p>
      <w:pPr>
        <w:pStyle w:val="Heading3"/>
        <w:rPr/>
      </w:pPr>
      <w:r>
        <w:rPr/>
        <w:t>A.10.3 Frentes identificadas para expansão futura</w:t>
      </w:r>
    </w:p>
    <w:p>
      <w:pPr>
        <w:pStyle w:val="Normal"/>
        <w:rPr/>
      </w:pPr>
      <w:r>
        <w:rPr/>
      </w:r>
    </w:p>
    <w:p>
      <w:pPr>
        <w:pStyle w:val="Normal"/>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rPr/>
      </w:pPr>
      <w:r>
        <w:rPr/>
      </w:r>
    </w:p>
    <w:p>
      <w:pPr>
        <w:pStyle w:val="Heading3"/>
        <w:rPr/>
      </w:pPr>
      <w:r>
        <w:rPr/>
        <w:t>A.10.3.1 Prioridade alta</w:t>
      </w:r>
    </w:p>
    <w:p>
      <w:pPr>
        <w:pStyle w:val="ListBullet"/>
        <w:rPr/>
      </w:pPr>
      <w:r>
        <w:rPr/>
        <w:t>- Dados pediátricos e adolescentes da Ásia Oriental, capazes de preencher a lacuna entre os 13 e os 17 anos e de reduzir a dependência de fontes neerlandesas para perfis infantis.</w:t>
      </w:r>
    </w:p>
    <w:p>
      <w:pPr>
        <w:pStyle w:val="ListBullet"/>
        <w:rPr/>
      </w:pPr>
      <w:r>
        <w:rPr/>
        <w:t>- Dados industriais ou ergonómicos do Médio Oriente com maior dimensão amostral e separação por sexo, de modo a complementar a fonte jordana já incluída.</w:t>
      </w:r>
    </w:p>
    <w:p>
      <w:pPr>
        <w:pStyle w:val="ListBullet"/>
        <w:rPr/>
      </w:pPr>
      <w:r>
        <w:rPr/>
        <w:t>- Bases públicas nacionais com dados de mão para populações asiáticas, quando disponibilizarem metadados claros e condições de reutilização compatíveis com investigação académica.</w:t>
      </w:r>
    </w:p>
    <w:p>
      <w:pPr>
        <w:pStyle w:val="Heading3"/>
        <w:rPr/>
      </w:pPr>
      <w:r>
        <w:rPr/>
      </w:r>
    </w:p>
    <w:p>
      <w:pPr>
        <w:pStyle w:val="Heading3"/>
        <w:rPr/>
      </w:pPr>
      <w:r>
        <w:rPr/>
        <w:t>A.10.3.2 Prioridade média</w:t>
      </w:r>
    </w:p>
    <w:p>
      <w:pPr>
        <w:pStyle w:val="ListBullet"/>
        <w:rPr/>
      </w:pPr>
      <w:r>
        <w:rPr/>
        <w:t>- Relatórios técnicos com medições granulares da mão, incluindo comprimentos por falange, profundidades articulares e ângulos de preensão.</w:t>
      </w:r>
    </w:p>
    <w:p>
      <w:pPr>
        <w:pStyle w:val="ListBullet"/>
        <w:rPr/>
      </w:pPr>
      <w:r>
        <w:rPr/>
        <w:t>- Estudos baseados em digitalização 3D com amostras adultas amplas, desde que disponibilizem estatísticas por dimensão e não apenas exemplos individuais.</w:t>
      </w:r>
    </w:p>
    <w:p>
      <w:pPr>
        <w:pStyle w:val="Heading3"/>
        <w:rPr/>
      </w:pPr>
      <w:r>
        <w:rPr/>
      </w:r>
    </w:p>
    <w:p>
      <w:pPr>
        <w:pStyle w:val="Heading3"/>
        <w:rPr/>
      </w:pPr>
      <w:r>
        <w:rPr/>
        <w:t>A.10.3.3 Pertinência direta para o tema da tese</w:t>
      </w:r>
    </w:p>
    <w:p>
      <w:pPr>
        <w:pStyle w:val="Normal"/>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false"/>
        <w:bidi w:val="0"/>
        <w:rPr/>
      </w:pPr>
      <w:r>
        <w:annotationRef/>
      </w:r>
      <w:r>
        <w:rPr>
          <w:lang w:val="pt-PT"/>
        </w:rPr>
        <w:t xml:space="preserve"> material/prosthetics-design/A review of technology, materials and R&amp;D challenges of upper limb prosthesis for improved user suitability.pdf</w:t>
      </w:r>
    </w:p>
    <w:p>
      <w:pPr>
        <w:overflowPunct w:val="false"/>
        <w:bidi w:val="0"/>
        <w:rPr/>
      </w:pPr>
      <w:r>
        <w:rPr>
          <w:lang w:val="pt-PT"/>
        </w:rPr>
      </w:r>
    </w:p>
    <w:p>
      <w:pPr>
        <w:overflowPunct w:val="false"/>
        <w:bidi w:val="0"/>
        <w:rPr/>
      </w:pPr>
      <w:r>
        <w:rPr>
          <w:lang w:val="pt-PT"/>
        </w:rPr>
        <w:t xml:space="preserve">  Ela sustenta a classificação assim: Brack e Amalu classificam a tecnologia de próteses de membro superior em próteses passivas, ativas e híbridas; depois</w:t>
      </w:r>
    </w:p>
    <w:p>
      <w:pPr>
        <w:overflowPunct w:val="false"/>
        <w:bidi w:val="0"/>
        <w:rPr/>
      </w:pPr>
      <w:r>
        <w:rPr>
          <w:lang w:val="pt-PT"/>
        </w:rPr>
        <w:t xml:space="preserve">  subdividem as ativas em acionadas pelo corpo e mioelétricas. Também definem as híbridas como combinação de componentes acionados pelo corpo e mioelétricos.</w:t>
      </w:r>
    </w:p>
    <w:p>
      <w:pPr>
        <w:overflowPunct w:val="false"/>
        <w:bidi w:val="0"/>
        <w:rPr/>
      </w:pPr>
      <w:r>
        <w:rPr>
          <w:lang w:val="pt-PT"/>
        </w:rPr>
      </w:r>
    </w:p>
    <w:p>
      <w:pPr>
        <w:overflowPunct w:val="false"/>
        <w:bidi w:val="0"/>
        <w:rPr/>
      </w:pPr>
      <w:r>
        <w:rPr>
          <w:lang w:val="pt-PT"/>
        </w:rPr>
        <w:t xml:space="preserve">  Posso citar a frase como:</w:t>
      </w:r>
    </w:p>
    <w:p>
      <w:pPr>
        <w:overflowPunct w:val="false"/>
        <w:bidi w:val="0"/>
        <w:rPr/>
      </w:pPr>
      <w:r>
        <w:rPr>
          <w:lang w:val="pt-PT"/>
        </w:rPr>
      </w:r>
    </w:p>
    <w:p>
      <w:pPr>
        <w:overflowPunct w:val="false"/>
        <w:bidi w:val="0"/>
        <w:rPr/>
      </w:pPr>
      <w:r>
        <w:rPr>
          <w:lang w:val="pt-PT"/>
        </w:rPr>
        <w:t xml:space="preserve">  &gt; As próteses de membro superior podem ser classificadas de acordo com a fonte de energia e o mecanismo de controlo, distinguindo-se próteses passivas, acionadas</w:t>
      </w:r>
    </w:p>
    <w:p>
      <w:pPr>
        <w:overflowPunct w:val="false"/>
        <w:bidi w:val="0"/>
        <w:rPr/>
      </w:pPr>
      <w:r>
        <w:rPr>
          <w:lang w:val="pt-PT"/>
        </w:rPr>
        <w:t xml:space="preserve">  &gt; pelo corpo, mioelétricas e híbridas (Brack &amp; Amalu, 2021).</w:t>
      </w:r>
    </w:p>
    <w:p>
      <w:pPr>
        <w:overflowPunct w:val="false"/>
        <w:bidi w:val="0"/>
        <w:rPr/>
      </w:pPr>
      <w:r>
        <w:rPr>
          <w:lang w:val="pt-PT"/>
        </w:rPr>
      </w:r>
    </w:p>
    <w:p>
      <w:pPr>
        <w:overflowPunct w:val="false"/>
        <w:bidi w:val="0"/>
        <w:rPr/>
      </w:pPr>
      <w:r>
        <w:rPr>
          <w:lang w:val="pt-PT"/>
        </w:rPr>
        <w:t xml:space="preserve">  Entrada APA 7:</w:t>
      </w:r>
    </w:p>
    <w:p>
      <w:pPr>
        <w:overflowPunct w:val="false"/>
        <w:bidi w:val="0"/>
        <w:rPr/>
      </w:pPr>
      <w:r>
        <w:rPr>
          <w:lang w:val="pt-PT"/>
        </w:rPr>
      </w:r>
    </w:p>
    <w:p>
      <w:pPr>
        <w:overflowPunct w:val="false"/>
        <w:bidi w:val="0"/>
        <w:rPr/>
      </w:pPr>
      <w:r>
        <w:rPr>
          <w:lang w:val="pt-PT"/>
        </w:rPr>
        <w:t xml:space="preserve">  Brack, R., &amp; Amalu, E. H. (2021). A review of technology, materials and R&amp;D challenges of upper limb prosthesis for improved user suitability. Journal of</w:t>
      </w:r>
    </w:p>
    <w:p>
      <w:pPr>
        <w:overflowPunct w:val="false"/>
        <w:bidi w:val="0"/>
        <w:rPr/>
      </w:pPr>
      <w:r>
        <w:rPr>
          <w:lang w:val="pt-PT"/>
        </w:rPr>
        <w:t xml:space="preserve">  Orthopaedics, 23, 88–96. https://doi.org/10.1016/j.jor.2020.12.009</w:t>
      </w:r>
    </w:p>
    <w:p>
      <w:pPr>
        <w:overflowPunct w:val="false"/>
        <w:bidi w:val="0"/>
        <w:rPr/>
      </w:pPr>
      <w:r>
        <w:rPr>
          <w:lang w:val="pt-PT"/>
        </w:rPr>
      </w:r>
    </w:p>
  </w:comment>
  <w:comment w:id="1" w:author="Unknown Author" w:date="2026-06-30T20:08:54Z" w:initials="">
    <w:p>
      <w:pPr>
        <w:overflowPunct w:val="false"/>
        <w:bidi w:val="0"/>
        <w:rPr/>
      </w:pPr>
      <w:r>
        <w:annotationRef/>
      </w:r>
      <w:r>
        <w:rPr>
          <w:lang w:val="pt-PT"/>
        </w:rPr>
        <w:t>Meter a norma na bibliografia</w:t>
      </w:r>
    </w:p>
  </w:comment>
  <w:comment w:id="2" w:author="Unknown Author" w:date="2026-06-30T20:17:49Z" w:initials="">
    <w:p>
      <w:pPr>
        <w:overflowPunct w:val="false"/>
        <w:bidi w:val="0"/>
        <w:rPr/>
      </w:pPr>
      <w:r>
        <w:annotationRef/>
      </w:r>
      <w:r>
        <w:rPr>
          <w:lang w:val="pt-PT"/>
        </w:rPr>
        <w:t>Quem diz?</w:t>
      </w:r>
    </w:p>
    <w:p>
      <w:pPr>
        <w:overflowPunct w:val="false"/>
        <w:bidi w:val="0"/>
        <w:rPr/>
      </w:pPr>
      <w:r>
        <w:rPr>
          <w:lang w:val="pt-PT"/>
        </w:rPr>
      </w:r>
    </w:p>
    <w:p>
      <w:pPr>
        <w:overflowPunct w:val="false"/>
        <w:bidi w:val="0"/>
        <w:rPr/>
      </w:pPr>
      <w:r>
        <w:rPr>
          <w:lang w:val="pt-PT"/>
        </w:rPr>
        <w:t xml:space="preserve"> Privitera, M. (2017). Designing industrial design in the highly regulated medical device development process: Defining our valuable contribution towards</w:t>
      </w:r>
    </w:p>
    <w:p>
      <w:pPr>
        <w:overflowPunct w:val="false"/>
        <w:bidi w:val="0"/>
        <w:rPr/>
      </w:pPr>
      <w:r>
        <w:rPr>
          <w:lang w:val="pt-PT"/>
        </w:rPr>
        <w:t xml:space="preserve">  usability. The Design Journal, 20(sup1), S2190–S2206. https://doi.org/10.1080/14606925.2017.1352735</w:t>
      </w:r>
    </w:p>
    <w:p>
      <w:pPr>
        <w:overflowPunct w:val="false"/>
        <w:bidi w:val="0"/>
        <w:rPr/>
      </w:pPr>
      <w:r>
        <w:rPr>
          <w:lang w:val="pt-PT"/>
        </w:rPr>
      </w:r>
    </w:p>
    <w:p>
      <w:pPr>
        <w:overflowPunct w:val="false"/>
        <w:bidi w:val="0"/>
        <w:rPr/>
      </w:pPr>
      <w:r>
        <w:rPr>
          <w:lang w:val="pt-PT"/>
        </w:rPr>
        <w:t xml:space="preserve">  Oldfrey, B. M., et al. (2024). A scoping review of digital fabrication techniques applied to prosthetics and orthotics: Part 1 of 2: Prosthetics. Prosthetics and</w:t>
      </w:r>
    </w:p>
    <w:p>
      <w:pPr>
        <w:overflowPunct w:val="false"/>
        <w:bidi w:val="0"/>
        <w:rPr/>
      </w:pPr>
      <w:r>
        <w:rPr>
          <w:lang w:val="pt-PT"/>
        </w:rPr>
        <w:t xml:space="preserve">  Orthotics International, 48, 574–589. https://doi.org/10.1097/PXR.0000000000000351</w:t>
      </w:r>
    </w:p>
    <w:p>
      <w:pPr>
        <w:overflowPunct w:val="false"/>
        <w:bidi w:val="0"/>
        <w:rPr/>
      </w:pPr>
      <w:r>
        <w:rPr>
          <w:lang w:val="pt-PT"/>
        </w:rPr>
      </w:r>
    </w:p>
    <w:p>
      <w:pPr>
        <w:overflowPunct w:val="false"/>
        <w:bidi w:val="0"/>
        <w:rPr/>
      </w:pPr>
      <w:r>
        <w:rPr>
          <w:lang w:val="pt-PT"/>
        </w:rPr>
        <w:t xml:space="preserve">  Mc Guinness, E., Patel, D., Patrick, M., &amp; Austin, V. (2025). Outcomes of assistive technology use by sex and gender: A scoping review. Disability and</w:t>
      </w:r>
    </w:p>
    <w:p>
      <w:pPr>
        <w:overflowPunct w:val="false"/>
        <w:bidi w:val="0"/>
        <w:rPr/>
      </w:pPr>
      <w:r>
        <w:rPr>
          <w:lang w:val="pt-PT"/>
        </w:rPr>
        <w:t xml:space="preserve">  Rehabilitation: Assistive Technology, 20(8), 2666–2690. https://doi.org/10.1080/17483107.2025.2516615</w:t>
      </w:r>
    </w:p>
    <w:p>
      <w:pPr>
        <w:overflowPunct w:val="false"/>
        <w:bidi w:val="0"/>
        <w:rPr/>
      </w:pPr>
      <w:r>
        <w:rPr>
          <w:lang w:val="pt-PT"/>
        </w:rPr>
      </w:r>
    </w:p>
  </w:comment>
  <w:comment w:id="3" w:author="Unknown Author" w:date="2026-07-02T17:25:21Z" w:initials="">
    <w:p>
      <w:pPr>
        <w:overflowPunct w:val="true"/>
        <w:bidi w:val="0"/>
        <w:rPr/>
      </w:pPr>
      <w:r>
        <w:annotationRef/>
      </w:r>
      <w:r>
        <w:rPr>
          <w:lang w:val="pt-PT"/>
        </w:rPr>
        <w:t>Podemos adicionar aquele gráfico todo bonito que fizeste antes.</w:t>
      </w:r>
    </w:p>
  </w:comment>
  <w:comment w:id="4" w:author="Unknown Author" w:date="2026-07-02T17:57:37Z" w:initials="">
    <w:p>
      <w:pPr>
        <w:overflowPunct w:val="true"/>
        <w:bidi w:val="0"/>
        <w:rPr/>
      </w:pPr>
      <w:r>
        <w:annotationRef/>
      </w:r>
      <w:r>
        <w:rPr>
          <w:lang w:val="pt-PT"/>
        </w:rPr>
        <w:t>Aqui é que podemos meter o nosso gráfico bonitolas</w:t>
      </w:r>
    </w:p>
  </w:comment>
  <w:comment w:id="5" w:author="Unknown Author" w:date="2026-07-02T18:05:03Z" w:initials="">
    <w:p>
      <w:pPr>
        <w:overflowPunct w:val="true"/>
        <w:bidi w:val="0"/>
        <w:rPr/>
      </w:pPr>
      <w:r>
        <w:annotationRef/>
      </w:r>
      <w:r>
        <w:rPr>
          <w:lang w:val="pt-PT"/>
        </w:rPr>
        <w:t>Falo disto? Acho que não faço em PLA e PETG</w:t>
      </w:r>
    </w:p>
  </w:comment>
  <w:comment w:id="6" w:author="Unknown Author" w:date="2026-07-03T19:16:18Z" w:initials="">
    <w:p w14:paraId="01000000">
      <w:pPr>
        <w:overflowPunct w:val="false"/>
        <w:rPr/>
      </w:pPr>
      <w:r>
        <w:annotationRef/>
      </w:r>
      <w:r>
        <w:rPr>
          <w:lang w:val="pt-PT"/>
        </w:rPr>
        <w:t>Isto é a primeira vez que estás a falar do Openscad</w:t>
      </w:r>
    </w:p>
  </w:comment>
  <w:comment w:id="7" w:author="Unknown Author" w:date="2026-07-03T19:16:31Z" w:initials="">
    <w:p w14:paraId="02000000">
      <w:pPr>
        <w:overflowPunct w:val="false"/>
        <w:rPr/>
      </w:pPr>
      <w:r>
        <w:annotationRef/>
      </w:r>
      <w:r>
        <w:rPr>
          <w:lang w:val="pt-PT"/>
        </w:rPr>
        <w:t>É preciso dizer o que é STL e 3MF</w:t>
      </w:r>
    </w:p>
  </w:comment>
  <w:comment w:id="8" w:author="Unknown Author" w:date="2026-07-03T13:45:05Z" w:initials="">
    <w:p>
      <w:pPr>
        <w:overflowPunct w:val="true"/>
        <w:bidi w:val="0"/>
        <w:rPr/>
      </w:pPr>
      <w:r>
        <w:annotationRef/>
      </w:r>
      <w:r>
        <w:rPr>
          <w:lang w:val="pt-PT"/>
        </w:rPr>
        <w:t>Estás a entrar em modo repetição outra vez.</w:t>
      </w:r>
    </w:p>
  </w:comment>
  <w:comment w:id="9" w:author="Unknown Author" w:date="2026-07-04T13:26:12Z" w:initials="">
    <w:p>
      <w:pPr>
        <w:overflowPunct w:val="false"/>
        <w:rPr/>
      </w:pPr>
      <w:r>
        <w:annotationRef/>
      </w:r>
      <w:r>
        <w:rPr>
          <w:lang w:val="pt-PT"/>
        </w:rPr>
        <w:t>Começas aqui a falar do modelo gerado mas é a primeira vez que abordas isso. Tens que contextualizar.</w:t>
      </w:r>
    </w:p>
  </w:comment>
  <w:comment w:id="10" w:author="Unknown Author" w:date="2026-07-04T13:27:11Z" w:initials="">
    <w:p>
      <w:pPr>
        <w:overflowPunct w:val="false"/>
        <w:rPr/>
      </w:pPr>
      <w:r>
        <w:annotationRef/>
      </w:r>
      <w:r>
        <w:rPr>
          <w:lang w:val="pt-PT"/>
        </w:rPr>
        <w:t>Meter aqui umas imagens!</w:t>
      </w:r>
    </w:p>
  </w:comment>
  <w:comment w:id="11" w:author="Unknown Author" w:date="2026-07-04T15:20:50Z" w:initials="">
    <w:p>
      <w:pPr>
        <w:overflowPunct w:val="false"/>
        <w:rPr/>
      </w:pPr>
      <w:r>
        <w:annotationRef/>
      </w:r>
      <w:r>
        <w:rPr>
          <w:lang w:val="pt-PT"/>
        </w:rPr>
        <w:t>Vamos meter aqui uma imagem</w:t>
      </w:r>
    </w:p>
  </w:comment>
  <w:comment w:id="12" w:author="Unknown Author" w:date="2026-07-04T18:35:39Z" w:initials="">
    <w:p>
      <w:pPr>
        <w:overflowPunct w:val="false"/>
        <w:rPr/>
      </w:pPr>
      <w:r>
        <w:annotationRef/>
      </w:r>
      <w:r>
        <w:rPr>
          <w:lang w:val="pt-PT"/>
        </w:rPr>
        <w:t>Não te esqueças de adicionar ao indice estas siglas.</w:t>
      </w:r>
    </w:p>
  </w:comment>
  <w:comment w:id="13" w:author="Unknown Author" w:date="2026-07-04T18:51:43Z" w:initials="">
    <w:p>
      <w:pPr>
        <w:overflowPunct w:val="false"/>
        <w:rPr/>
      </w:pPr>
      <w:r>
        <w:annotationRef/>
      </w:r>
      <w:r>
        <w:rPr>
          <w:lang w:val="pt-PT"/>
        </w:rPr>
        <w:t>Faz sentido integrar uma parte sobre a E-nable e os modelos deles.</w:t>
      </w:r>
    </w:p>
  </w:comment>
  <w:comment w:id="14" w:author="Unknown Author" w:date="2026-07-04T18:53:29Z" w:initials="">
    <w:p>
      <w:pPr>
        <w:overflowPunct w:val="false"/>
        <w:rPr/>
      </w:pPr>
      <w:r>
        <w:annotationRef/>
      </w:r>
      <w:r>
        <w:rPr>
          <w:lang w:val="pt-PT"/>
        </w:rPr>
        <w:t>Parametros de hardware</w:t>
      </w:r>
    </w:p>
  </w:comment>
  <w:comment w:id="15" w:author="Unknown Author" w:date="2026-07-04T21:37:44Z" w:initials="">
    <w:p>
      <w:pPr>
        <w:overflowPunct w:val="false"/>
        <w:rPr/>
      </w:pPr>
      <w:r>
        <w:annotationRef/>
      </w:r>
      <w:r>
        <w:rPr>
          <w:lang w:val="pt-PT"/>
        </w:rPr>
        <w:t>Isto está no indice? Vai lá ver</w:t>
      </w:r>
    </w:p>
  </w:comment>
  <w:comment w:id="16" w:author="Unknown Author" w:date="2026-07-05T12:22:53Z" w:initials="">
    <w:p>
      <w:pPr>
        <w:overflowPunct w:val="false"/>
        <w:rPr/>
      </w:pPr>
      <w:r>
        <w:annotationRef/>
      </w:r>
      <w:r>
        <w:rPr>
          <w:lang w:val="pt-PT"/>
        </w:rPr>
        <w:t>Não esquecer de meter no índice</w:t>
      </w:r>
    </w:p>
  </w:comment>
  <w:comment w:id="17" w:author="Unknown Author" w:date="2026-07-05T12:26:47Z" w:initials="">
    <w:p>
      <w:pPr>
        <w:overflowPunct w:val="false"/>
        <w:rPr/>
      </w:pPr>
      <w:r>
        <w:annotationRef/>
      </w:r>
      <w:r>
        <w:rPr>
          <w:lang w:val="pt-PT"/>
        </w:rPr>
        <w:t>Adicionar uma nota a explicar e adicionar no indice a sigla</w:t>
      </w:r>
    </w:p>
  </w:comment>
  <w:comment w:id="18" w:author="Unknown Author" w:date="2026-07-05T14:28:24Z" w:initials="">
    <w:p>
      <w:pPr>
        <w:overflowPunct w:val="true"/>
        <w:rPr/>
      </w:pPr>
      <w:r>
        <w:annotationRef/>
      </w:r>
      <w:r>
        <w:rPr>
          <w:lang w:val="pt-PT"/>
        </w:rPr>
        <w:t>Isto é uma repetição</w:t>
      </w:r>
    </w:p>
  </w:comment>
  <w:comment w:id="19" w:author="Unknown Author" w:date="2026-07-05T14:29:31Z" w:initials="">
    <w:p>
      <w:pPr>
        <w:overflowPunct w:val="true"/>
        <w:rPr/>
      </w:pPr>
      <w:r>
        <w:annotationRef/>
      </w:r>
      <w:r>
        <w:rPr>
          <w:lang w:val="pt-PT"/>
        </w:rPr>
        <w:t>Inserir notas de rodapé</w:t>
      </w:r>
    </w:p>
  </w:comment>
  <w:comment w:id="20" w:author="Unknown Author" w:date="2026-07-05T15:25:09Z" w:initials="">
    <w:p>
      <w:pPr>
        <w:overflowPunct w:val="true"/>
        <w:rPr/>
      </w:pPr>
      <w:r>
        <w:annotationRef/>
      </w:r>
      <w:r>
        <w:rPr>
          <w:lang w:val="pt-PT"/>
        </w:rPr>
        <w:t>Inserir um comentário</w:t>
      </w:r>
    </w:p>
  </w:comment>
  <w:comment w:id="21" w:author="Unknown Author" w:date="2026-07-05T16:14:55Z" w:initials="">
    <w:p>
      <w:pPr>
        <w:overflowPunct w:val="true"/>
        <w:rPr/>
      </w:pPr>
      <w:r>
        <w:annotationRef/>
      </w:r>
      <w:r>
        <w:rPr>
          <w:lang w:val="pt-PT"/>
        </w:rPr>
        <w:t>Se calhar introduzir uma tabela com os prompts</w:t>
      </w:r>
    </w:p>
  </w:comment>
  <w:comment w:id="22" w:author="Unknown Author" w:date="2026-07-05T17:43:41Z" w:initials="">
    <w:p>
      <w:pPr>
        <w:overflowPunct w:val="false"/>
        <w:rPr/>
      </w:pPr>
      <w:r>
        <w:annotationRef/>
      </w:r>
      <w:r>
        <w:rPr>
          <w:lang w:val="pt-PT"/>
        </w:rPr>
        <w:t>Introduzir aqui uma tabela com valores</w:t>
      </w:r>
    </w:p>
  </w:comment>
  <w:comment w:id="23" w:author="Unknown Author" w:date="2026-07-05T19:22:29Z" w:initials="">
    <w:p>
      <w:pPr>
        <w:overflowPunct w:val="false"/>
        <w:rPr/>
      </w:pPr>
      <w:r>
        <w:annotationRef/>
      </w:r>
      <w:r>
        <w:rPr>
          <w:lang w:val="pt-PT"/>
        </w:rPr>
        <w:t>indice</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r>
    </w:p>
  </w:footnote>
  <w:footnote w:id="4">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5">
    <w:p>
      <w:pPr>
        <w:pStyle w:val="FootnoteText"/>
        <w:rPr/>
      </w:pPr>
      <w:r>
        <w:rPr>
          <w:rStyle w:val="FootnoteCharacters"/>
        </w:rPr>
        <w:footnoteRef/>
      </w:r>
      <w:r>
        <w:rPr/>
        <w:t xml:space="preserve"> </w:t>
      </w:r>
      <w:r>
        <w:rPr/>
        <w:t xml:space="preserve">Por </w:t>
      </w:r>
      <w:r>
        <w:rPr>
          <w:rStyle w:val="Emphasis"/>
        </w:rPr>
        <w:t>seed design</w:t>
      </w:r>
      <w:r>
        <w:rP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w:t>
      </w:r>
    </w:p>
  </w:footnote>
  <w:footnote w:id="6">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7">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8">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9">
    <w:p>
      <w:pPr>
        <w:pStyle w:val="FootnoteText"/>
        <w:rPr/>
      </w:pPr>
      <w:r>
        <w:rPr>
          <w:rStyle w:val="FootnoteCharacters"/>
        </w:rPr>
        <w:footnoteRef/>
      </w:r>
      <w:r>
        <w:rPr/>
        <w:t xml:space="preserve"> </w:t>
      </w:r>
      <w:r>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10">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11">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2">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3">
    <w:p>
      <w:pPr>
        <w:pStyle w:val="FootnoteText"/>
        <w:rPr/>
      </w:pPr>
      <w:r>
        <w:rPr>
          <w:rStyle w:val="FootnoteCharacters"/>
        </w:rPr>
        <w:footnoteRef/>
      </w:r>
      <w:r>
        <w:rPr>
          <w:rStyle w:val="Emphasis"/>
        </w:rPr>
        <w:t xml:space="preserve"> </w:t>
      </w:r>
      <w:r>
        <w:rPr>
          <w:rStyle w:val="Emphasis"/>
        </w:rPr>
        <w:t>Virtual coaching</w:t>
      </w:r>
      <w:r>
        <w:rPr/>
        <w:t xml:space="preserve"> designa sistemas digitais de orientação e acompanhamento que fornecem instruções, recomendações ou feedback ao utilizador durante atividades de treino, reabilitação ou aprendizagem, apoiando a adaptação do programa ao seu desempenho e evolução.</w:t>
      </w:r>
    </w:p>
  </w:footnote>
  <w:footnote w:id="14">
    <w:p>
      <w:pPr>
        <w:pStyle w:val="FootnoteText"/>
        <w:rPr/>
      </w:pPr>
      <w:r>
        <w:rPr>
          <w:rStyle w:val="FootnoteCharacters"/>
        </w:rPr>
        <w:footnoteRef/>
      </w:r>
      <w:r>
        <w:rPr>
          <w:rStyle w:val="Emphasis"/>
        </w:rPr>
        <w:t xml:space="preserve"> </w:t>
      </w:r>
      <w:r>
        <w:rPr>
          <w:rStyle w:val="Emphasi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5">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 w:id="16">
    <w:p>
      <w:pPr>
        <w:pStyle w:val="FootnoteText"/>
        <w:rPr/>
      </w:pPr>
      <w:r>
        <w:rPr>
          <w:rStyle w:val="FootnoteCharacters"/>
        </w:rPr>
        <w:footnoteRef/>
      </w:r>
      <w:r>
        <w:rPr>
          <w:rStyle w:val="Emphasis"/>
        </w:rPr>
        <w:t xml:space="preserve"> </w:t>
      </w:r>
      <w:r>
        <w:rPr>
          <w:rStyle w:val="Emphasis"/>
        </w:rPr>
        <w:t>Human-in-the-loop designa uma abordagem em que uma pessoa permanece integrada num processo automatizado, assumindo funções de supervisão, interpretação, validação ou decisão.</w:t>
      </w:r>
    </w:p>
  </w:footnote>
  <w:footnote w:id="17">
    <w:p>
      <w:pPr>
        <w:pStyle w:val="FootnoteText"/>
        <w:rPr/>
      </w:pPr>
      <w:r>
        <w:rPr>
          <w:rStyle w:val="FootnoteCharacters"/>
        </w:rPr>
        <w:footnoteRef/>
      </w:r>
      <w:r>
        <w:rPr>
          <w:rStyle w:val="Emphasis"/>
          <w:color w:val="auto"/>
          <w:kern w:val="0"/>
          <w:sz w:val="22"/>
        </w:rPr>
        <w:t xml:space="preserve"> </w:t>
      </w:r>
      <w:r>
        <w:rPr>
          <w:rStyle w:val="Emphasis"/>
          <w:color w:val="auto"/>
          <w:kern w:val="0"/>
          <w:sz w:val="20"/>
          <w:szCs w:val="20"/>
        </w:rPr>
        <w:t>Camada intermédia de comunicação que permite ao servidor gerir os pedidos enviados a serviços externos, protegendo credenciais sensíveis, controlando o acesso e reduzindo a exposição direta da aplicação a sistemas externos.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mphasis">
    <w:name w:val="Emphasis"/>
    <w:qFormat/>
    <w:rPr>
      <w:i/>
      <w:iCs/>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hyperlink" Target="https://www.mdpi.com/2673-1592/7/2/26/pdf?version=1740996517"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semanticscholar.org/paper/305d55af5fda06b4d1b33e7d29c1f16d1b7ea488" TargetMode="External"/><Relationship Id="rId14" Type="http://schemas.openxmlformats.org/officeDocument/2006/relationships/hyperlink" Target="https://www.semanticscholar.org/paper/305d55af5fda06b4d1b33e7d29c1f16d1b7ea488"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doi.org/10.1109/BioRob60516.2024.10719909" TargetMode="External"/><Relationship Id="rId20" Type="http://schemas.openxmlformats.org/officeDocument/2006/relationships/image" Target="media/image13.png"/><Relationship Id="rId21" Type="http://schemas.openxmlformats.org/officeDocument/2006/relationships/hyperlink" Target="https://doi.org/10.1115/DETC2018-85645" TargetMode="External"/><Relationship Id="rId22" Type="http://schemas.openxmlformats.org/officeDocument/2006/relationships/image" Target="media/image14.png"/><Relationship Id="rId23" Type="http://schemas.openxmlformats.org/officeDocument/2006/relationships/hyperlink" Target="https://doi.org/10.1109/BioRob60516.2024.10719909"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doi.org/10.1088/1742-6596/2198/1/012040" TargetMode="External"/><Relationship Id="rId27" Type="http://schemas.openxmlformats.org/officeDocument/2006/relationships/image" Target="media/image17.png"/><Relationship Id="rId28" Type="http://schemas.openxmlformats.org/officeDocument/2006/relationships/hyperlink" Target="https://doi.org/10.1080/17483107.2025.2483953" TargetMode="External"/><Relationship Id="rId29" Type="http://schemas.openxmlformats.org/officeDocument/2006/relationships/image" Target="media/image18.png"/><Relationship Id="rId30" Type="http://schemas.openxmlformats.org/officeDocument/2006/relationships/hyperlink" Target="https://doi.org/10.1016/j.inffus.2019.12.012" TargetMode="Externa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footnotes" Target="footnotes.xml"/><Relationship Id="rId34" Type="http://schemas.openxmlformats.org/officeDocument/2006/relationships/comments" Target="comments.xml"/><Relationship Id="rId35" Type="http://schemas.microsoft.com/office/2011/relationships/commentsExtended" Target="commentsExtended.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4431</TotalTime>
  <Application>LibreOffice/26.2.4.2$Linux_X86_64 LibreOffice_project/3346a99e6b841765b75a9b29714a5b95c6761ce3</Application>
  <AppVersion>15.0000</AppVersion>
  <Pages>135</Pages>
  <Words>48848</Words>
  <Characters>308548</Characters>
  <CharactersWithSpaces>355864</CharactersWithSpaces>
  <Paragraphs>1665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cp:lastPrinted>2026-07-08T20:43:53Z</cp:lastPrinted>
  <dcterms:modified xsi:type="dcterms:W3CDTF">2026-07-08T21:06:14Z</dcterms:modified>
  <cp:revision>141</cp:revision>
  <dc:subject/>
  <dc:title>projecto-completo</dc:title>
</cp:coreProperties>
</file>

<file path=docProps/custom.xml><?xml version="1.0" encoding="utf-8"?>
<Properties xmlns="http://schemas.openxmlformats.org/officeDocument/2006/custom-properties" xmlns:vt="http://schemas.openxmlformats.org/officeDocument/2006/docPropsVTypes"/>
</file>