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5.1 — Fluxo de dados e responsabilidades da plataforma</w:t>
        <w:tab/>
      </w:r>
      <w:r>
        <w:t>63</w:t>
      </w:r>
    </w:p>
    <w:p>
      <w:pPr>
        <w:pStyle w:val="ndice1"/>
        <w:tabs>
          <w:tab w:val="right" w:leader="dot" w:pos="8204"/>
        </w:tabs>
      </w:pPr>
      <w:r>
        <w:t>Tabela 5.2 — Estado dos modelos no fecho do estudo</w:t>
        <w:tab/>
      </w:r>
      <w:r>
        <w:t>71</w:t>
      </w:r>
    </w:p>
    <w:p>
      <w:pPr>
        <w:pStyle w:val="ndice1"/>
        <w:tabs>
          <w:tab w:val="right" w:leader="dot" w:pos="8204"/>
        </w:tabs>
      </w:pPr>
      <w:r>
        <w:t>Tabela 6.1 — Especificação técnica dos modelos de IA e do contrato de sugestão paramétrica</w:t>
        <w:tab/>
      </w:r>
      <w:r>
        <w:t>77</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90</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e sequência principal entre interface, configuração, Web Worker, OpenSCAD em WebAssembly, visualização, serviços do servidor, IA externa e fabrico.</w:t>
        <w:tab/>
      </w:r>
      <w:r>
        <w:t>64</w:t>
      </w:r>
    </w:p>
    <w:p>
      <w:pPr>
        <w:pStyle w:val="ndice1"/>
        <w:tabs>
          <w:tab w:val="right" w:leader="dot" w:pos="8204"/>
        </w:tabs>
      </w:pPr>
      <w:r>
        <w:t>Figura 5.3 — Fluxo geral de produção personalizada de próteses a partir de digitalização, CAD adaptativo e fabrico aditivo.</w:t>
        <w:tab/>
      </w:r>
      <w:r>
        <w:t>65</w:t>
      </w:r>
    </w:p>
    <w:p>
      <w:pPr>
        <w:pStyle w:val="ndice1"/>
        <w:tabs>
          <w:tab w:val="right" w:leader="dot" w:pos="8204"/>
        </w:tabs>
      </w:pPr>
      <w:r>
        <w:t>Figura 5.4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81</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23</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24</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29</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2"/>
        <w:tabs>
          <w:tab w:val="right" w:leader="dot" w:pos="8204"/>
        </w:tabs>
      </w:pPr>
      <w:r>
        <w:t>4.4 Iterações, refinamento e discussão intermédia</w:t>
        <w:tab/>
      </w:r>
      <w:r>
        <w:t>58</w:t>
      </w:r>
    </w:p>
    <w:p>
      <w:pPr>
        <w:pStyle w:val="ndice1"/>
        <w:tabs>
          <w:tab w:val="right" w:leader="dot" w:pos="8204"/>
        </w:tabs>
      </w:pPr>
      <w:r>
        <w:t>Capítulo 5 — Plataforma Web e Integração Digital</w:t>
        <w:tab/>
      </w:r>
      <w:r>
        <w:t>61</w:t>
      </w:r>
    </w:p>
    <w:p>
      <w:pPr>
        <w:pStyle w:val="ndice2"/>
        <w:tabs>
          <w:tab w:val="right" w:leader="dot" w:pos="8204"/>
        </w:tabs>
      </w:pPr>
      <w:r>
        <w:t>5.1 Enquadramento conceptual e perfis de utilizador</w:t>
        <w:tab/>
      </w:r>
      <w:r>
        <w:t>61</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66</w:t>
      </w:r>
    </w:p>
    <w:p>
      <w:pPr>
        <w:pStyle w:val="ndice2"/>
        <w:tabs>
          <w:tab w:val="right" w:leader="dot" w:pos="8204"/>
        </w:tabs>
      </w:pPr>
      <w:r>
        <w:t>5.4 Estrutura funcional da plataforma</w:t>
        <w:tab/>
      </w:r>
      <w:r>
        <w:t>68</w:t>
      </w:r>
    </w:p>
    <w:p>
      <w:pPr>
        <w:pStyle w:val="ndice2"/>
        <w:tabs>
          <w:tab w:val="right" w:leader="dot" w:pos="8204"/>
        </w:tabs>
      </w:pPr>
      <w:r>
        <w:t>5.5 Gestão de parâmetros, versões e expansão</w:t>
        <w:tab/>
      </w:r>
      <w:r>
        <w:t>72</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76</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80</w:t>
      </w:r>
    </w:p>
    <w:p>
      <w:pPr>
        <w:pStyle w:val="ndice1"/>
        <w:tabs>
          <w:tab w:val="right" w:leader="dot" w:pos="8204"/>
        </w:tabs>
      </w:pPr>
      <w:r>
        <w:t>Capítulo 7 — Princípios de Interface e Decisões de Interacção</w:t>
        <w:tab/>
      </w:r>
      <w:r>
        <w:t>82</w:t>
      </w:r>
    </w:p>
    <w:p>
      <w:pPr>
        <w:pStyle w:val="ndice2"/>
        <w:tabs>
          <w:tab w:val="right" w:leader="dot" w:pos="8204"/>
        </w:tabs>
      </w:pPr>
      <w:r>
        <w:t>7.1 Estratégia de interacção e decisões de UI/UX</w:t>
        <w:tab/>
      </w:r>
      <w:r>
        <w:t>82</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115</w:t>
      </w:r>
    </w:p>
    <w:p>
      <w:pPr>
        <w:pStyle w:val="ndice3"/>
        <w:tabs>
          <w:tab w:val="right" w:leader="dot" w:pos="8204"/>
        </w:tabs>
      </w:pPr>
      <w:r>
        <w:t>A.2.2 Base ANSUR 1988</w:t>
        <w:tab/>
      </w:r>
      <w:r>
        <w:t>115</w:t>
      </w:r>
    </w:p>
    <w:p>
      <w:pPr>
        <w:pStyle w:val="ndice2"/>
        <w:tabs>
          <w:tab w:val="right" w:leader="dot" w:pos="8204"/>
        </w:tabs>
      </w:pPr>
      <w:r>
        <w:t>A.3 Critérios de Inclusão e Exclusão de Estudos</w:t>
        <w:tab/>
      </w:r>
      <w:r>
        <w:t>115</w:t>
      </w:r>
    </w:p>
    <w:p>
      <w:pPr>
        <w:pStyle w:val="ndice3"/>
        <w:tabs>
          <w:tab w:val="right" w:leader="dot" w:pos="8204"/>
        </w:tabs>
      </w:pPr>
      <w:r>
        <w:t>A.3.1 Critérios de inclusão</w:t>
        <w:tab/>
      </w:r>
      <w:r>
        <w:t>115</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116</w:t>
      </w:r>
    </w:p>
    <w:p>
      <w:pPr>
        <w:pStyle w:val="ndice3"/>
        <w:tabs>
          <w:tab w:val="right" w:leader="dot" w:pos="8204"/>
        </w:tabs>
      </w:pPr>
      <w:r>
        <w:t>A.4.1 Leitura dos PDFs e localização das tabelas</w:t>
        <w:tab/>
      </w:r>
      <w:r>
        <w:t>116</w:t>
      </w:r>
    </w:p>
    <w:p>
      <w:pPr>
        <w:pStyle w:val="ndice3"/>
        <w:tabs>
          <w:tab w:val="right" w:leader="dot" w:pos="8204"/>
        </w:tabs>
      </w:pPr>
      <w:r>
        <w:t>A.4.2 Identificação das unidades e conversão</w:t>
        <w:tab/>
      </w:r>
      <w:r>
        <w:t>116</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117</w:t>
      </w:r>
    </w:p>
    <w:p>
      <w:pPr>
        <w:pStyle w:val="ndice3"/>
        <w:tabs>
          <w:tab w:val="right" w:leader="dot" w:pos="8204"/>
        </w:tabs>
      </w:pPr>
      <w:r>
        <w:t>A.5.1 ANSUR 1988 — EUA, militares (Gordon et al., 1989)</w:t>
        <w:tab/>
      </w:r>
      <w:r>
        <w:t>117</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118</w:t>
      </w:r>
    </w:p>
    <w:p>
      <w:pPr>
        <w:pStyle w:val="ndice3"/>
        <w:tabs>
          <w:tab w:val="right" w:leader="dot" w:pos="8204"/>
        </w:tabs>
      </w:pPr>
      <w:r>
        <w:t>A.5.5 Portugal — trabalhadores industriais (Anacleto Filho et al., 2023)</w:t>
        <w:tab/>
      </w:r>
      <w:r>
        <w:t>118</w:t>
      </w:r>
    </w:p>
    <w:p>
      <w:pPr>
        <w:pStyle w:val="ndice3"/>
        <w:tabs>
          <w:tab w:val="right" w:leader="dot" w:pos="8204"/>
        </w:tabs>
      </w:pPr>
      <w:r>
        <w:t>A.5.6 Nigéria — atletas universitários (Ibiwari et al., 2025)</w:t>
        <w:tab/>
      </w:r>
      <w:r>
        <w:t>118</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119</w:t>
      </w:r>
    </w:p>
    <w:p>
      <w:pPr>
        <w:pStyle w:val="ndice3"/>
        <w:tabs>
          <w:tab w:val="right" w:leader="dot" w:pos="8204"/>
        </w:tabs>
      </w:pPr>
      <w:r>
        <w:t>A.5.9 Estudo excluído: Moreo (2016)</w:t>
        <w:tab/>
      </w:r>
      <w:r>
        <w:t>119</w:t>
      </w:r>
    </w:p>
    <w:p>
      <w:pPr>
        <w:pStyle w:val="ndice3"/>
        <w:tabs>
          <w:tab w:val="right" w:leader="dot" w:pos="8204"/>
        </w:tabs>
      </w:pPr>
      <w:r>
        <w:t>A.5.10 EUA — militares ANSUR II (Gordon et al., 2015)</w:t>
        <w:tab/>
      </w:r>
      <w:r>
        <w:t>119</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120</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121</w:t>
      </w:r>
    </w:p>
    <w:p>
      <w:pPr>
        <w:pStyle w:val="ndice3"/>
        <w:tabs>
          <w:tab w:val="right" w:leader="dot" w:pos="8204"/>
        </w:tabs>
      </w:pPr>
      <w:r>
        <w:t>A.6.2 Formato longo (long format)</w:t>
        <w:tab/>
      </w:r>
      <w:r>
        <w:t>122</w:t>
      </w:r>
    </w:p>
    <w:p>
      <w:pPr>
        <w:pStyle w:val="ndice2"/>
        <w:tabs>
          <w:tab w:val="right" w:leader="dot" w:pos="8204"/>
        </w:tabs>
      </w:pPr>
      <w:r>
        <w:t>A.7 Controlo de Qualidade dos Dados</w:t>
        <w:tab/>
      </w:r>
      <w:r>
        <w:t>122</w:t>
      </w:r>
    </w:p>
    <w:p>
      <w:pPr>
        <w:pStyle w:val="ndice3"/>
        <w:tabs>
          <w:tab w:val="right" w:leader="dot" w:pos="8204"/>
        </w:tabs>
      </w:pPr>
      <w:r>
        <w:t>A.7.1 Marcação inline de limitações</w:t>
        <w:tab/>
      </w:r>
      <w:r>
        <w:t>122</w:t>
      </w:r>
    </w:p>
    <w:p>
      <w:pPr>
        <w:pStyle w:val="ndice3"/>
        <w:tabs>
          <w:tab w:val="right" w:leader="dot" w:pos="8204"/>
        </w:tabs>
      </w:pPr>
      <w:r>
        <w:t>A.7.2 Verificação de unidades</w:t>
        <w:tab/>
      </w:r>
      <w:r>
        <w:t>122</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2"/>
        <w:tabs>
          <w:tab w:val="right" w:leader="dot" w:pos="8204"/>
        </w:tabs>
      </w:pPr>
      <w:r>
        <w:t>A.9 Resultado Final</w:t>
        <w:tab/>
      </w:r>
      <w:r>
        <w:t>123</w:t>
      </w:r>
    </w:p>
    <w:p>
      <w:pPr>
        <w:pStyle w:val="ndice2"/>
        <w:tabs>
          <w:tab w:val="right" w:leader="dot" w:pos="8204"/>
        </w:tabs>
      </w:pPr>
      <w:r>
        <w:t>A.10 Cobertura Global da Base de Dados e Lacunas</w:t>
        <w:tab/>
      </w:r>
      <w:r>
        <w:t>123</w:t>
      </w:r>
    </w:p>
    <w:p>
      <w:pPr>
        <w:pStyle w:val="ndice3"/>
        <w:tabs>
          <w:tab w:val="right" w:leader="dot" w:pos="8204"/>
        </w:tabs>
      </w:pPr>
      <w:r>
        <w:t>A.10.1 O que está coberto</w:t>
        <w:tab/>
      </w:r>
      <w:r>
        <w:t>124</w:t>
      </w:r>
    </w:p>
    <w:p>
      <w:pPr>
        <w:pStyle w:val="ndice4"/>
        <w:tabs>
          <w:tab w:val="right" w:leader="dot" w:pos="8204"/>
        </w:tabs>
      </w:pPr>
      <w:r>
        <w:t>A.10.1.1 Cobertura geográfica</w:t>
        <w:tab/>
      </w:r>
      <w:r>
        <w:t>124</w:t>
      </w:r>
    </w:p>
    <w:p>
      <w:pPr>
        <w:pStyle w:val="ndice4"/>
        <w:tabs>
          <w:tab w:val="right" w:leader="dot" w:pos="8204"/>
        </w:tabs>
      </w:pPr>
      <w:r>
        <w:t>A.10.1.2 Cobertura etária</w:t>
        <w:tab/>
      </w:r>
      <w:r>
        <w:t>124</w:t>
      </w:r>
    </w:p>
    <w:p>
      <w:pPr>
        <w:pStyle w:val="ndice4"/>
        <w:tabs>
          <w:tab w:val="right" w:leader="dot" w:pos="8204"/>
        </w:tabs>
      </w:pPr>
      <w:r>
        <w:t>A.10.1.3 Cobertura estatística</w:t>
        <w:tab/>
      </w:r>
      <w:r>
        <w:t>125</w:t>
      </w:r>
    </w:p>
    <w:p>
      <w:pPr>
        <w:pStyle w:val="ndice3"/>
        <w:tabs>
          <w:tab w:val="right" w:leader="dot" w:pos="8204"/>
        </w:tabs>
      </w:pPr>
      <w:r>
        <w:t>A.10.2 Onde a cobertura falha</w:t>
        <w:tab/>
      </w:r>
      <w:r>
        <w:t>125</w:t>
      </w:r>
    </w:p>
    <w:p>
      <w:pPr>
        <w:pStyle w:val="ndice4"/>
        <w:tabs>
          <w:tab w:val="right" w:leader="dot" w:pos="8204"/>
        </w:tabs>
      </w:pPr>
      <w:r>
        <w:t>A.10.2.1 Lacunas geográficas</w:t>
        <w:tab/>
      </w:r>
      <w:r>
        <w:t>125</w:t>
      </w:r>
    </w:p>
    <w:p>
      <w:pPr>
        <w:pStyle w:val="ndice4"/>
        <w:tabs>
          <w:tab w:val="right" w:leader="dot" w:pos="8204"/>
        </w:tabs>
      </w:pPr>
      <w:r>
        <w:t>A.10.2.2 Lacunas demográficas</w:t>
        <w:tab/>
      </w:r>
      <w:r>
        <w:t>126</w:t>
      </w:r>
    </w:p>
    <w:p>
      <w:pPr>
        <w:pStyle w:val="ndice4"/>
        <w:tabs>
          <w:tab w:val="right" w:leader="dot" w:pos="8204"/>
        </w:tabs>
      </w:pPr>
      <w:r>
        <w:t>A.10.2.3 Limitações qualitativas dos dados existentes</w:t>
        <w:tab/>
      </w:r>
      <w:r>
        <w:t>126</w:t>
      </w:r>
    </w:p>
    <w:p>
      <w:pPr>
        <w:pStyle w:val="ndice3"/>
        <w:tabs>
          <w:tab w:val="right" w:leader="dot" w:pos="8204"/>
        </w:tabs>
      </w:pPr>
      <w:r>
        <w:t>A.10.3 Frentes identificadas para expansão futura</w:t>
        <w:tab/>
      </w:r>
      <w:r>
        <w:t>126</w:t>
      </w:r>
    </w:p>
    <w:p>
      <w:pPr>
        <w:pStyle w:val="ndice4"/>
        <w:tabs>
          <w:tab w:val="right" w:leader="dot" w:pos="8204"/>
        </w:tabs>
      </w:pPr>
      <w:r>
        <w:t>A.10.3.1 Prioridade alta</w:t>
        <w:tab/>
      </w:r>
      <w:r>
        <w:t>126</w:t>
      </w:r>
    </w:p>
    <w:p>
      <w:pPr>
        <w:pStyle w:val="ndice4"/>
        <w:tabs>
          <w:tab w:val="right" w:leader="dot" w:pos="8204"/>
        </w:tabs>
      </w:pPr>
      <w:r>
        <w:t>A.10.3.2 Prioridade média</w:t>
        <w:tab/>
      </w:r>
      <w:r>
        <w:t>127</w:t>
      </w:r>
    </w:p>
    <w:p>
      <w:pPr>
        <w:pStyle w:val="ndice4"/>
        <w:tabs>
          <w:tab w:val="right" w:leader="dot" w:pos="8204"/>
        </w:tabs>
      </w:pPr>
      <w:r>
        <w:t>A.10.3.3 Pertinência directa para o tema da tese</w:t>
        <w:tab/>
      </w:r>
      <w:r>
        <w:t>127</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O projecto parte do design industrial como campo de prática e investigação capaz de mediar inovação tecnológica, requisitos de fabrico e experiência humana. Esta perspectiva relaciona-se com os designerly ways of knowing, que reconhecem modos próprios de formular problemas e produzir conhecimento através da experimentação material, da geração de alternativas e da articulação de exigências técnicas e humanas (Cross, 1982). Nesta dissertação, essa mediação é examinada na tradução entre fontes antropométricas, parâmetros editáveis, regras geométricas, mensagens da interface e peças fabricadas.</w:t>
      </w:r>
    </w:p>
    <w:p>
      <w:pPr>
        <w:pStyle w:val="TextoNormal-IPCA"/>
      </w:pPr>
      <w:r>
        <w:t>O contributo de investigação decorre da explicitação dessas traduções e das falhas encontradas durante o desenvolvimento. O trabalho não demonstra desempenho clínico do dispositivo nem efeitos na experiência de pessoas amputadas. A dimensão humana é tratada como requisito e limite ético, com base na literatura, e permanece como matéria de estudo posterior com participantes.</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e sequência principal entre interface, configuração, Web Worker, OpenSCAD em WebAssembly, visualização, serviços do servidor, IA externa e fabrico.</w:t>
      </w:r>
    </w:p>
    <w:p>
      <w:pPr>
        <w:pStyle w:val="Nota-IPCA"/>
      </w:pPr>
      <w:r>
        <w:t>Fonte: produção própria.</w:t>
      </w:r>
    </w:p>
    <w:p>
      <w:pPr>
        <w:pStyle w:val="TextoNormal-IPCA"/>
      </w:pPr>
      <w:r>
        <w:t>A Figura 5.3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5.3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5.4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5.4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Estado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Registado na versão 14.67.0</w:t>
            </w:r>
          </w:p>
        </w:tc>
        <w:tc>
          <w:tcPr>
            <w:tcW w:w="0" w:type="auto"/>
          </w:tcPr>
          <w:p>
            <w:pPr>
              <w:pStyle w:val="TextoNormal-IPCA"/>
              <w:jc w:val="center"/>
            </w:pPr>
            <w:r>
              <w:rPr>
                <w:b/>
              </w:rPr>
              <w:t>Ensaio dimensional comparativo</w:t>
            </w:r>
          </w:p>
        </w:tc>
        <w:tc>
          <w:tcPr>
            <w:tcW w:w="0" w:type="auto"/>
          </w:tcPr>
          <w:p>
            <w:pPr>
              <w:pStyle w:val="TextoNormal-IPCA"/>
              <w:jc w:val="center"/>
            </w:pPr>
            <w:r>
              <w:rPr>
                <w:b/>
              </w:rPr>
              <w:t>Projecto de preparação arquivado</w:t>
            </w:r>
          </w:p>
        </w:tc>
      </w:tr>
      <w:tr>
        <w:tc>
          <w:tcPr>
            <w:tcW w:w="0" w:type="auto"/>
          </w:tcPr>
          <w:p>
            <w:pPr>
              <w:pStyle w:val="TextoNormal-IPCA"/>
              <w:jc w:val="left"/>
            </w:pPr>
            <w:r>
              <w:t>Flexy Beast</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Bambu Lab A1</w:t>
            </w:r>
          </w:p>
        </w:tc>
      </w:tr>
      <w:tr>
        <w:tc>
          <w:tcPr>
            <w:tcW w:w="0" w:type="auto"/>
          </w:tcPr>
          <w:p>
            <w:pPr>
              <w:pStyle w:val="TextoNormal-IPCA"/>
              <w:jc w:val="left"/>
            </w:pPr>
            <w:r>
              <w:t>Paraglider Hand</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Prusa MINI</w:t>
            </w:r>
          </w:p>
        </w:tc>
      </w:tr>
      <w:tr>
        <w:tc>
          <w:tcPr>
            <w:tcW w:w="0" w:type="auto"/>
          </w:tcPr>
          <w:p>
            <w:pPr>
              <w:pStyle w:val="TextoNormal-IPCA"/>
              <w:jc w:val="left"/>
            </w:pPr>
            <w:r>
              <w:t>UnLimbited Phoenix Hand</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Bambu Lab A1</w:t>
            </w:r>
          </w:p>
        </w:tc>
      </w:tr>
      <w:tr>
        <w:tc>
          <w:tcPr>
            <w:tcW w:w="0" w:type="auto"/>
          </w:tcPr>
          <w:p>
            <w:pPr>
              <w:pStyle w:val="TextoNormal-IPCA"/>
              <w:jc w:val="left"/>
            </w:pPr>
            <w:r>
              <w:t>Cyborg Beast</w:t>
            </w:r>
          </w:p>
        </w:tc>
        <w:tc>
          <w:tcPr>
            <w:tcW w:w="0" w:type="auto"/>
          </w:tcPr>
          <w:p>
            <w:pPr>
              <w:pStyle w:val="TextoNormal-IPCA"/>
              <w:jc w:val="left"/>
            </w:pPr>
            <w:r>
              <w:t>Sim</w:t>
            </w:r>
          </w:p>
        </w:tc>
        <w:tc>
          <w:tcPr>
            <w:tcW w:w="0" w:type="auto"/>
          </w:tcPr>
          <w:p>
            <w:pPr>
              <w:pStyle w:val="TextoNormal-IPCA"/>
              <w:jc w:val="left"/>
            </w:pPr>
            <w:r>
              <w:t>Não</w:t>
            </w:r>
          </w:p>
        </w:tc>
        <w:tc>
          <w:tcPr>
            <w:tcW w:w="0" w:type="auto"/>
          </w:tcPr>
          <w:p>
            <w:pPr>
              <w:pStyle w:val="TextoNormal-IPCA"/>
              <w:jc w:val="left"/>
            </w:pPr>
            <w:r>
              <w:t>Não incluído neste estudo</w:t>
            </w:r>
          </w:p>
        </w:tc>
      </w:tr>
      <w:tr>
        <w:tc>
          <w:tcPr>
            <w:tcW w:w="0" w:type="auto"/>
          </w:tcPr>
          <w:p>
            <w:pPr>
              <w:pStyle w:val="TextoNormal-IPCA"/>
              <w:jc w:val="left"/>
            </w:pPr>
            <w:r>
              <w:t>pec Phoenix hand</w:t>
            </w:r>
          </w:p>
        </w:tc>
        <w:tc>
          <w:tcPr>
            <w:tcW w:w="0" w:type="auto"/>
          </w:tcPr>
          <w:p>
            <w:pPr>
              <w:pStyle w:val="TextoNormal-IPCA"/>
              <w:jc w:val="left"/>
            </w:pPr>
            <w:r>
              <w:t>Não</w:t>
            </w:r>
          </w:p>
        </w:tc>
        <w:tc>
          <w:tcPr>
            <w:tcW w:w="0" w:type="auto"/>
          </w:tcPr>
          <w:p>
            <w:pPr>
              <w:pStyle w:val="TextoNormal-IPCA"/>
              <w:jc w:val="left"/>
            </w:pPr>
            <w:r>
              <w:t>Não</w:t>
            </w:r>
          </w:p>
        </w:tc>
        <w:tc>
          <w:tcPr>
            <w:tcW w:w="0" w:type="auto"/>
          </w:tcPr>
          <w:p>
            <w:pPr>
              <w:pStyle w:val="TextoNormal-IPCA"/>
              <w:jc w:val="left"/>
            </w:pPr>
            <w:r>
              <w:t>Desenvolvimento separado</w:t>
            </w:r>
          </w:p>
        </w:tc>
      </w:tr>
    </w:tbl>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Os estudos consultados indicam que, no caso das próteses de membro superior, os métodos computacionais de adaptação e controlo têm incidido sobretudo na interpretação de sinais, na intenção motora e no desempenho operativo do dispositivo. Esta linha de trabalho difere do uso de um modelo de linguagem para sugerir parâmetros iniciais de geometria, que constitui o foco desta plataforma (Cordella et al., 2016; Marinelli et al., 2022; Peerdeman et al., 2011).</w:t>
      </w:r>
    </w:p>
    <w:p>
      <w:pPr>
        <w:pStyle w:val="TextoNormal-IPCA"/>
      </w:pPr>
      <w:r>
        <w:t>Em contrapartida, continuam pouco consolidadas as abordagens que articulam, no mesmo sistema, a entrada antropométrica, o modelo paramétrico explícito, a sugestão apoiada de parâmetros e a supervisão técnica. Esta lacuna é central para a presente investigação, pois permite situar a proposta como uma articulação entre componentes que os estudos consultados tendem a desenvolver de forma fragmentada.</w:t>
      </w:r>
    </w:p>
    <w:p>
      <w:pPr>
        <w:pStyle w:val="TextoNormal-IPCA"/>
      </w:pPr>
      <w:r>
        <w:t>Neste enquadramento, a IA assume a função de camada complementar de apoio à configuração, operando sobre uma base paramétrica já definida e articulando-se com a lógica geométrica do modelo, a decisão de projecto e a verificação técnica. Os trabalhos de da Silveira Romero et al. (2025), Lim et al. (2018) e Saldarriaga et al. (2024) fornecem fundamento técnico para construir geometrias configuráveis com regras explícitas, parâmetros dimensionais e relações geométricas controladas.</w:t>
      </w:r>
    </w:p>
    <w:p>
      <w:pPr>
        <w:pStyle w:val="TextoNormal-IPCA"/>
      </w:pPr>
      <w:r>
        <w:t>Em conjunto, esses estudos mostram que a personalização pode ser estruturada através de modelos explícitos e fluxos CAD/CAM ajustáveis. O sistema aqui proposto parte desta premissa: a geometria é produzida por um modelo paramétrico definido em OpenSCAD e manipulável através de parâmetros cuja origem e efeito podem ser identificados.</w:t>
      </w:r>
    </w:p>
    <w:p>
      <w:pPr>
        <w:pStyle w:val="TextoNormal-IPCA"/>
      </w:pPr>
      <w:r>
        <w:t>É neste ponto que a IA assume uma função específica. Actua como mecanismo de mediação entre os dados de entrada e a exploração inicial do espaço paramétrico. O seu papel é apoiar a tradução de informação antropométrica e de critérios de fabrico em sugestões paramétricas compatíveis com o esquema, reduzindo a complexidade associada à definição manual de valores iniciais e à navegação em sistemas com múltiplas dependências internas. Esta posição aproxima-se de abordagens orientadas por dados, mantendo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Entre os antecedentes mais próximos desta lógica encontram-se trabalhos que combinam personalização anatómica, modelação paramétrica, fabrico aditivo e componentes inteligentes, como o estudo de Romero et al. (2025), bem como modelos de optimização estrutural orientados por dados anatómicos e restrições de adaptação, como o proposto por Gu et al. (2024).</w:t>
      </w:r>
    </w:p>
    <w:p>
      <w:pPr>
        <w:pStyle w:val="TextoNormal-IPCA"/>
      </w:pPr>
      <w:r>
        <w:t>Esta leitura é coerente com a arquitectura da plataforma descrita no capítulo anterior. O sistema separa a camada de interface, a lógica paramétrica, a renderização local em WebAssembly e a comunicação controlada com serviços externos de IA. Tal organização preserva uma ligação verificável entre a entrada inicial, a sugestão produzida pela IA e o resultado geométrico gerado pelo modelo.</w:t>
      </w:r>
    </w:p>
    <w:p>
      <w:pPr>
        <w:pStyle w:val="TextoNormal-IPCA"/>
      </w:pPr>
      <w:r>
        <w:t>O sistema mantém a IA sob supervisão: sugere valores sem determinar a configuração, apoia a exploração sem validar o resultado e acelera tarefas sem substituir o julgamento técnico. Esta opção responde à supervisão clínica ou técnica limitada nos estudos que articulam modelação digital, CAD, IA, co-design apoiado ou impressão 3D (Romero et al., 2025; Elbreki et al., 2022; Idris et al., 2024). O valor da IA reside no apoio a um processo já estruturado por lógica paramétrica explícita, requisitos de fabrico e responsabilidade humana.</w:t>
      </w:r>
    </w:p>
    <w:p>
      <w:pPr>
        <w:pStyle w:val="Cabealho2"/>
        <w:numPr>
          <w:ilvl w:val="1"/>
          <w:numId w:val="0"/>
        </w:numPr>
      </w:pPr>
      <w:r>
        <w:t>6.2 IA na parametrização, personalização e apoio à decisão</w:t>
      </w:r>
    </w:p>
    <w:p>
      <w:pPr>
        <w:pStyle w:val="TextoNormal-IPCA"/>
      </w:pPr>
      <w:r>
        <w:t>No domínio da parametrização, a inteligência artificial torna-se mais relevante quando opera sobre uma estrutura geométrica previamente formalizada. Em sistemas como o aqui proposto, isso significa receber dados antropométricos e restrições de fabrico e convertê-los em sugestões iniciais para os parâmetros já definidos no modelo. A literatura sobre próteses paramétricas e personalização anatómica mostra que a configuração depende de relações explícitas entre medidas, proporções e componentes geométricos (Saldarriaga et al., 2024; da Silveira Romero et al., 2025). Neste enquadramento, a IA ajuda a propor valores dentro dos intervalos definidos e combinações iniciais sujeitas a verificação.</w:t>
      </w:r>
    </w:p>
    <w:p>
      <w:pPr>
        <w:pStyle w:val="TextoNormal-IPCA"/>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directa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apoiada por IA deve ser entendida como uma prática de supervisão humana contínua.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projecto, a aceitação final, porém, continua dependente de verificação técnica e de julgamento contextual. Deste modo, a parametrização apoiada por IA não corresponde a uma automatização cega da personalização, mas a um mecanismo de apoio à decisão que atua sobre uma base geométrica explícita, documentada e tecnicamente verificável.</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A introdução de IA num sistema como o proposto exige distinguir claramente entre sugestão paramétrica, ajuste efectivo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pStyle w:val="TextoNormal-IPCA"/>
      </w:pPr>
      <w:r>
        <w:t>Do ponto de vista técnico, subsistem limitações significativas. A IA pode produzir sugestões aparentemente coerentes, mas inadequadas para casos extremos, perfis antropométricos pouco representados ou combinações paramétricas fora da distribuição esperada. Pode também introduzir inconsistências difíceis de detectar se a sua saída não for confrontada com restrições geométricas, limites de fabrico e critérios funcionais explícitos. Assim, a integração responsável da IA depende de salvaguardas incorporadas no sistema, incluindo limites paramétricos, verificação de intervalos, controlo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apoiado por IA, que sublinha a importância de compreender os dados considerados, os critérios aplicados e os limites das sugestões produzidas pelo modelo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arquitectura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correctamente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projectual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O ponto de partida desta secção é a organização, através da interface, de um sistema de modelação paramétrica baseado em código. A aplicação apresenta uma sequência de acções: seleccionar um modelo, introduzir dados antropométricos, ajustar parâmetros, observar a geometria, guardar a configuração e exportar ficheiros. Esta sequência descreve uma decisão projectual implementada; a sua facilidade de uso não foi avaliada com participantes.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Do ponto de vista estrutural, a interface adopta uma composição modular orientada por tarefa. A selecção do modelo funciona como ponto de entrada; os parâmetros surgem como elementos editáveis; a visualização tridimensional apresenta o resultado da geração; e as acções de guardar, recuperar e exportar prolongam o processo. A organização foi concebida para manter uma relação clara entre intenção, acção e consequência formal. A redução de carga cognitiva e a adequação desta sequência a diferentes perfis permanecem hipóteses de design que exigem avaliação com utilizadores (Peixoto et al., 2025; Quintero et al., 2018).</w:t>
      </w:r>
    </w:p>
    <w:p>
      <w:pPr>
        <w:pStyle w:val="TextoNormal-IPCA"/>
      </w:pPr>
      <w:r>
        <w:t>Uma decisão relevante reside na tradução da lógica paramétrica para linguagem operacional. Cada controlo dá acesso a uma relação geométrica definida no modelo. A plataforma expõe uma parte delimitada do espaço de configuração e reserva parâmetros críticos a regras ou perfis com maior responsabilidade. Esta contenção reduz a possibilidade de combinações fora dos limites declarados, embora o seu efeito na compreensão e na confiança ainda não tenha sido medido.</w:t>
      </w:r>
    </w:p>
    <w:p>
      <w:pPr>
        <w:pStyle w:val="TextoNormal-IPCA"/>
      </w:pPr>
      <w:r>
        <w:t>A articulação entre edição paramétrica e pré-visualização constitui outra decisão relevante, pois a renderização local através de WebAssembly permite que a resposta visual resulte directamente da geometria gerada pelo sistema, evitando o recurso a imagens estáticas ou a representações simplificadas desligadas do modelo.</w:t>
      </w:r>
    </w:p>
    <w:p>
      <w:pPr>
        <w:pStyle w:val="TextoNormal-IPCA"/>
      </w:pPr>
      <w:r>
        <w:t>A pré-visualização resulta da geometria gerada e permite comparar o valor introduzido com a forma apresentada. O Web Worker separa o cálculo da tarefa principal da interface. Esta decisão técnica evita o bloqueio directo durante a execução, mas o tempo percebido, a compreensão dos estados e a qualidade da interacção não foram medidos (Abbas Alili et al., 2023; Colombo et al., 2015; Peixoto et al., 2025).</w:t>
      </w:r>
    </w:p>
    <w:p>
      <w:pPr>
        <w:pStyle w:val="TextoNormal-IPCA"/>
      </w:pPr>
      <w:r>
        <w:t>A interface privilegia a clareza operacional em relação à exuberância formal, em coerência com o contexto do projecto: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acções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interacção constitui uma especificação projectual para expor parâmetros, resultados e estados guardados. A avaliação da clareza desta especificação requer observação de uso futura.</w:t>
      </w:r>
    </w:p>
    <w:p>
      <w:pPr>
        <w:pStyle w:val="TextoNormal-IPCA"/>
      </w:pPr>
      <w:r>
        <w:t>A interface medeia o conhecimento técnico, os dados de entrada e a decisão de projecto. A sua organização preserva continuidade com a lógica paramétrica e com o papel de apoio atribuído à IA.</w:t>
      </w:r>
    </w:p>
    <w:p>
      <w:pPr>
        <w:pStyle w:val="Cabealho2"/>
        <w:numPr>
          <w:ilvl w:val="1"/>
          <w:numId w:val="0"/>
        </w:numPr>
      </w:pPr>
      <w:r>
        <w:t>7.2 Papéis previstos e distribuição de decisões</w:t>
      </w:r>
    </w:p>
    <w:p>
      <w:pPr>
        <w:pStyle w:val="TextoNormal-IPCA"/>
      </w:pPr>
      <w:r>
        <w:t>A plataforma prevê formas distintas de participação, porque designers, técnicos, clínicos e utilizadores finais não intervêm sobre os mesmos parâmetros nem assumem o mesmo grau de responsabilidade. Estes papéis resultam do enquadramento teórico e da arquitectura de permissões; não foram confirmados por observação de práticas profissionais ou por testes com utilizadores.</w:t>
      </w:r>
    </w:p>
    <w:p>
      <w:pPr>
        <w:pStyle w:val="TextoNormal-IPCA"/>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aspectos estéticos que o utilizador consegue avaliar directamente, a sua participação torna-se mais substantiva.</w:t>
      </w:r>
    </w:p>
    <w:p>
      <w:pPr>
        <w:pStyle w:val="TextoNormal-IPCA"/>
      </w:pPr>
      <w:r>
        <w:t>O contraste entre estes domínios é central para compreender a diferenciação entre perfis de uso, ainda que a literatura directa sobre plataformas paramétricas para o membro superior permaneça escassa e muitas conclusões tenham de ser complementadas por evidência transferível de contextos adjacentes (Cordella et al., 2016; Saldarriaga et al., 2024).</w:t>
      </w:r>
    </w:p>
    <w:p>
      <w:pPr>
        <w:pStyle w:val="TextoNormal-IPCA"/>
      </w:pPr>
      <w:r>
        <w:t>Para o designer, o técnico de próteses e ortóteses ou o clínico, a plataforma foi concebida como ambiente de configuração, teste, comparação e supervisão. A literatura indica que estes profissionais valorizam relações compreensíveis entre parâmetros e consequências geométricas, continuidade com o raciocínio técnico e preservação do conhecimento prático. A adequação da implementação a essas expectativas permanece por testar (Colombo et al., 2015; Quintero et al., 2018; Bai et al., 2024).</w:t>
      </w:r>
    </w:p>
    <w:p>
      <w:pPr>
        <w:pStyle w:val="TextoNormal-IPCA"/>
      </w:pPr>
      <w:r>
        <w:t>Para o utilizador final, foram previstos consulta da configuração, visualização do modelo e acompanhamento do processo. O estudo não permite afirmar que estas funções aumentem a compreensão, a confiança ou a participação.</w:t>
      </w:r>
    </w:p>
    <w:p>
      <w:pPr>
        <w:pStyle w:val="TextoNormal-IPCA"/>
      </w:pPr>
      <w:r>
        <w:t>A aceitação de uma prótese relaciona-se com o desempenho funcional, a percepção de adequação, a participação e o controlo sobre o resultado. Os estudos analisados indicam que a comunicação do funcionamento pode influenciar a experiência de utilização.</w:t>
      </w:r>
    </w:p>
    <w:p>
      <w:pPr>
        <w:pStyle w:val="TextoNormal-IPCA"/>
      </w:pPr>
      <w:r>
        <w:t>Na plataforma, os limites dos parâmetros e os efeitos geométricos são apresentados como suporte à decisão. O efeito desta apresentação na facilidade de utilização e na confiança subjectiva permanece por avaliar.</w:t>
      </w:r>
    </w:p>
    <w:p>
      <w:pPr>
        <w:pStyle w:val="TextoNormal-IPCA"/>
      </w:pPr>
      <w:r>
        <w:t>As plataformas de personalização estética e os sistemas com visualização explícita do espaço de decisão sugerem que a participação activa do utilizador aumenta quando as opções editáveis são claras, compreensíveis e associadas a consequências de baixo risco. (Peixoto et al., 2025).</w:t>
      </w:r>
    </w:p>
    <w:p>
      <w:pPr>
        <w:pStyle w:val="TextoNormal-IPCA"/>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directa. O terceiro domínio relaciona-se com a personalização estética e identitária, em que a autonomia do utilizador pode ser mais ampla, dado que o risco clínico e biomecânico é menor e o critério de adequação depende mais directamente da sua percepção.</w:t>
      </w:r>
    </w:p>
    <w:p>
      <w:pPr>
        <w:pStyle w:val="TextoNormal-IPCA"/>
      </w:pPr>
      <w:r>
        <w:t>A coexistência destes perfis e domínios justifica a adopção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acções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TextoNormal-IPCA"/>
      </w:pPr>
      <w:r>
        <w:t>A plataforma propõe uma colaboração assimétrica: o perfil técnico possui maior capacidade de configuração e o utilizador final dispõe de consulta e acompanhamento. Esta distribuição é coerente com abordagens de supervisão humana contínua e com a necessidade de supervisão, mas os seus efeitos sobre rapidez, compreensão e qualidade da decisão não foram avaliados (Alili et al., 2023; Oldfrey et al., 2024).</w:t>
      </w:r>
    </w:p>
    <w:p>
      <w:pPr>
        <w:pStyle w:val="Cabealho2"/>
        <w:numPr>
          <w:ilvl w:val="1"/>
          <w:numId w:val="0"/>
        </w:numPr>
      </w:pPr>
      <w:r>
        <w:t>7.3 Mediação do processo de design e reflexão crítica</w:t>
      </w:r>
    </w:p>
    <w:p>
      <w:pPr>
        <w:pStyle w:val="TextoNormal-IPCA"/>
      </w:pPr>
      <w:r>
        <w:t>A interface permite editar parâmetros e medeia o processo de design. Introduz uma camada entre o modelo algorítmico, a decisão técnica e a interpretação do utilizador, organizando uma sequência de leitura de dados, proposta de configuração, avaliação visual, revisão e eventual exportação para fabrico. Esta sequência corresponde ao processo implementado; os seus efeitos no trabalho de diferentes intervenientes são inferências projectuais apoiadas pela literatura.</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Ao disponibilizar parâmetros editáveis, visualização tridimensional, sugestões apoiadas por IA e gestão de versões, a plataforma contribui para estruturar o trabalho de projecto e documentar a evolução das decisões. Essa estrutura estabelece igualmente limites: o utilizador explora o espaço de soluções permitido pelo modelo e pela interface. Os estudos analisados sugerem que as plataformas relevantes neste domínio recorrem a mecanismos concretos de mediação, como controlo diferenciado de permissões, exposição selectiva de variáveis, pontos de partida algorítmicos, visualização orientada pelo problema e supervisão integrada na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perspectiva, a mediação digital participa na forma como as decisões de projecto são preparadas, avaliadas e justificadas. Esta observação conduz a uma reflexão crítica sobre o papel da plataforma no próprio processo de design.</w:t>
      </w:r>
    </w:p>
    <w:p>
      <w:pPr>
        <w:pStyle w:val="TextoNormal-IPCA"/>
      </w:pPr>
      <w:r>
        <w:t>Uma interface bem desenhada pode criar uma sensação de evidência ou neutralidade em decisões condicionadas por critérios de projecto, pressupostos técnicos e escolhas interpretativas. A apresentação de um parâmetro como controlo disponível, ou de uma sugestão com aparência de coerência técnica, não significa que a solução esteja validada ou represente a melhor opção em todos os contextos.</w:t>
      </w:r>
    </w:p>
    <w:p>
      <w:pPr>
        <w:pStyle w:val="TextoNormal-IPCA"/>
      </w:pPr>
      <w:r>
        <w:t>A mediação da interface deve ser avaliada pela eficiência e pela forma como torna visíveis dependências, incertezas e responsabilidades. Peixoto et al. (2025), Quintero et al. (2018) e Bai et al. (2024) reforçam esta cautela: resultados positivos de usabilidade ou rapidez de afinação mantêm a necessidade de definir quem decide, quais parâmetros podem ser alterados, quais decisões ficam pré-estruturadas pelo sistema e em que condições essas alterações são seguras ou adequadas.</w:t>
      </w:r>
    </w:p>
    <w:p>
      <w:pPr>
        <w:pStyle w:val="TextoNormal-IPCA"/>
      </w:pPr>
      <w:r>
        <w:t>A mediação do processo de design preserva a responsabilidade pelas decisões de projecto e a necessidade de validação técnica, reorganizando ambas num ambiente digital mais controlado e explícito.</w:t>
      </w:r>
    </w:p>
    <w:p>
      <w:pPr>
        <w:pStyle w:val="TextoNormal-IPCA"/>
      </w:pPr>
      <w:r>
        <w:t>A plataforma foi concebida para distribuir a capacidade de intervenção de forma diferenciada: concentra certas decisões em perfis técnicos, abre outras ao acompanhamento do utilizador e enquadra outras através de sugestões produzidas por IA.</w:t>
      </w:r>
    </w:p>
    <w:p>
      <w:pPr>
        <w:pStyle w:val="TextoNormal-IPCA"/>
      </w:pPr>
      <w:r>
        <w:t>É precisamente nessa articulação entre interface, lógica paramétrica, sugestão apoiada, visibilidade selectiva e responsabilidade crítica que reside o valor metodológico deste sistema enquanto contributo para o design de próteses personalizadas.</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 xml:space="preserve">Notas: o código regista oito anomalias do documento de origem.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registada como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w:t>
      </w:r>
      <w:r>
        <w:t>dataqualitynote</w:t>
      </w:r>
      <w:r>
        <w:t>.</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rPr>
                <w:b/>
              </w:rPr>
              <w:t>Estudos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11</w:t>
            </w:r>
          </w:p>
        </w:tc>
        <w:tc>
          <w:tcPr>
            <w:tcW w:w="0" w:type="auto"/>
          </w:tcPr>
          <w:p>
            <w:pPr>
              <w:pStyle w:val="TextoNormal-IPCA"/>
              <w:jc w:val="left"/>
            </w:pPr>
            <w:r>
              <w:t>cerca de 85</w:t>
            </w:r>
          </w:p>
        </w:tc>
      </w:tr>
    </w:tbl>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